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43074D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02.10</w:t>
      </w:r>
      <w:r w:rsidR="002A6391">
        <w:rPr>
          <w:b/>
          <w:sz w:val="28"/>
          <w:szCs w:val="28"/>
        </w:rPr>
        <w:t>.2017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138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</w:t>
      </w:r>
      <w:r w:rsidR="00810889">
        <w:rPr>
          <w:b/>
          <w:sz w:val="28"/>
          <w:szCs w:val="28"/>
        </w:rPr>
        <w:t>е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2A6391" w:rsidRPr="003C7619" w:rsidRDefault="002A6391" w:rsidP="002A6391">
      <w:pPr>
        <w:numPr>
          <w:ilvl w:val="0"/>
          <w:numId w:val="2"/>
        </w:numPr>
        <w:suppressAutoHyphens/>
        <w:spacing w:line="240" w:lineRule="atLeast"/>
        <w:jc w:val="both"/>
        <w:rPr>
          <w:b/>
          <w:sz w:val="28"/>
          <w:szCs w:val="28"/>
        </w:rPr>
      </w:pPr>
      <w:r w:rsidRPr="003C761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D233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233A1">
        <w:rPr>
          <w:sz w:val="28"/>
          <w:szCs w:val="28"/>
        </w:rPr>
        <w:t>постановление</w:t>
      </w:r>
      <w:r w:rsidRPr="003C7619">
        <w:rPr>
          <w:sz w:val="28"/>
          <w:szCs w:val="28"/>
        </w:rPr>
        <w:t xml:space="preserve"> Администрации Куйбышевского сельского поселения от </w:t>
      </w:r>
      <w:r w:rsidRPr="00CA0487">
        <w:rPr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>» следующие изменения: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1 изложить в редакции, согласно приложению № 1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Приложение № 7 изложить в редакции, согласно приложению № </w:t>
      </w:r>
      <w:r w:rsidR="00B94330">
        <w:rPr>
          <w:sz w:val="28"/>
          <w:szCs w:val="28"/>
        </w:rPr>
        <w:t>2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2A6391" w:rsidRPr="0065477C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proofErr w:type="gramStart"/>
      <w:r w:rsidRPr="003C7619">
        <w:rPr>
          <w:szCs w:val="28"/>
        </w:rPr>
        <w:t>Контроль за</w:t>
      </w:r>
      <w:proofErr w:type="gramEnd"/>
      <w:r w:rsidRPr="003C7619">
        <w:rPr>
          <w:szCs w:val="28"/>
        </w:rPr>
        <w:t xml:space="preserve"> выполнением постановления оставляю за собой.</w:t>
      </w:r>
    </w:p>
    <w:p w:rsidR="002A6391" w:rsidRPr="0065477C" w:rsidRDefault="002A6391" w:rsidP="003B2A2C">
      <w:pPr>
        <w:pStyle w:val="a5"/>
        <w:widowControl w:val="0"/>
        <w:suppressAutoHyphens/>
        <w:spacing w:line="240" w:lineRule="atLeast"/>
        <w:ind w:left="720" w:firstLine="0"/>
        <w:rPr>
          <w:spacing w:val="-4"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>Приложение № 1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 xml:space="preserve">от </w:t>
      </w:r>
      <w:r w:rsidR="0048491F">
        <w:rPr>
          <w:sz w:val="24"/>
          <w:szCs w:val="24"/>
        </w:rPr>
        <w:t>02.10</w:t>
      </w:r>
      <w:r>
        <w:rPr>
          <w:sz w:val="24"/>
          <w:szCs w:val="24"/>
        </w:rPr>
        <w:t xml:space="preserve">.2017 </w:t>
      </w:r>
      <w:r w:rsidRPr="003C7619">
        <w:rPr>
          <w:sz w:val="24"/>
          <w:szCs w:val="24"/>
        </w:rPr>
        <w:t xml:space="preserve">№ </w:t>
      </w:r>
      <w:r w:rsidR="0048491F">
        <w:rPr>
          <w:sz w:val="24"/>
          <w:szCs w:val="24"/>
        </w:rPr>
        <w:t>138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 по </w:t>
            </w:r>
            <w:r w:rsidR="00F80483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F80483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F80483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32096,4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5215,3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3552,4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3075,5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167,1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3010,2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поселенческой 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3C7619">
        <w:rPr>
          <w:sz w:val="28"/>
          <w:szCs w:val="28"/>
        </w:rPr>
        <w:t>развития</w:t>
      </w:r>
      <w:proofErr w:type="gramEnd"/>
      <w:r w:rsidRPr="003C7619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3C76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C7619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</w:t>
      </w:r>
      <w:proofErr w:type="gramEnd"/>
      <w:r w:rsidRPr="003C7619">
        <w:rPr>
          <w:sz w:val="28"/>
          <w:szCs w:val="28"/>
        </w:rPr>
        <w:t xml:space="preserve">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2A6391" w:rsidRPr="003C7619" w:rsidRDefault="002A6391" w:rsidP="002A6391">
      <w:pPr>
        <w:spacing w:line="240" w:lineRule="atLeast"/>
        <w:ind w:firstLine="708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</w:t>
      </w:r>
      <w:proofErr w:type="gramStart"/>
      <w:r w:rsidRPr="003C7619">
        <w:rPr>
          <w:sz w:val="28"/>
          <w:szCs w:val="28"/>
        </w:rPr>
        <w:t>поселения</w:t>
      </w:r>
      <w:proofErr w:type="gramEnd"/>
      <w:r w:rsidRPr="003C7619">
        <w:rPr>
          <w:sz w:val="28"/>
          <w:szCs w:val="28"/>
        </w:rPr>
        <w:t xml:space="preserve">» в структуру </w:t>
      </w:r>
      <w:proofErr w:type="gramStart"/>
      <w:r w:rsidRPr="003C7619">
        <w:rPr>
          <w:sz w:val="28"/>
          <w:szCs w:val="28"/>
        </w:rPr>
        <w:t>которого</w:t>
      </w:r>
      <w:proofErr w:type="gramEnd"/>
      <w:r w:rsidRPr="003C7619">
        <w:rPr>
          <w:sz w:val="28"/>
          <w:szCs w:val="28"/>
        </w:rPr>
        <w:t xml:space="preserve"> входят: Русский сельский клуб, Новобахмутский сельский клуб, Примиусский сельский клуб, Свободненский сельский клуб и Куйбышевский сельский клуб. </w:t>
      </w:r>
      <w:r w:rsidRPr="003C7619">
        <w:rPr>
          <w:sz w:val="28"/>
          <w:szCs w:val="28"/>
        </w:rPr>
        <w:lastRenderedPageBreak/>
        <w:t>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A6391" w:rsidRPr="003C7619" w:rsidRDefault="002A6391" w:rsidP="002A6391">
      <w:pPr>
        <w:pStyle w:val="32"/>
        <w:spacing w:after="0" w:line="240" w:lineRule="atLeast"/>
        <w:ind w:right="-1" w:firstLine="708"/>
        <w:jc w:val="both"/>
        <w:rPr>
          <w:sz w:val="28"/>
          <w:szCs w:val="28"/>
        </w:rPr>
      </w:pPr>
      <w:proofErr w:type="gramStart"/>
      <w:r w:rsidRPr="003C7619">
        <w:rPr>
          <w:sz w:val="28"/>
          <w:szCs w:val="28"/>
        </w:rPr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</w:t>
      </w:r>
      <w:r>
        <w:rPr>
          <w:sz w:val="28"/>
          <w:szCs w:val="28"/>
        </w:rPr>
        <w:t>,</w:t>
      </w:r>
      <w:r w:rsidRPr="003C7619">
        <w:rPr>
          <w:sz w:val="28"/>
          <w:szCs w:val="28"/>
        </w:rPr>
        <w:t xml:space="preserve"> решением от 14.07.2011 года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3C7619">
        <w:rPr>
          <w:sz w:val="28"/>
          <w:szCs w:val="28"/>
        </w:rPr>
        <w:t xml:space="preserve"> клуба</w:t>
      </w:r>
      <w:r>
        <w:rPr>
          <w:sz w:val="28"/>
          <w:szCs w:val="28"/>
        </w:rPr>
        <w:t>.</w:t>
      </w:r>
      <w:r w:rsidRPr="003C76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C7619">
        <w:rPr>
          <w:sz w:val="28"/>
          <w:szCs w:val="28"/>
        </w:rPr>
        <w:t xml:space="preserve"> 29.09.2011 года и на протяжении 2016 года Примиусский СК не функционировал.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Для эффективной деятел</w:t>
      </w:r>
      <w:r>
        <w:rPr>
          <w:sz w:val="28"/>
          <w:szCs w:val="28"/>
        </w:rPr>
        <w:t>ьности сельских клубов, в методический кабинет</w:t>
      </w:r>
      <w:r w:rsidRPr="003C7619">
        <w:rPr>
          <w:sz w:val="28"/>
          <w:szCs w:val="28"/>
        </w:rPr>
        <w:t xml:space="preserve"> приобретён принтер. В русском сельском клубе заменён</w:t>
      </w:r>
      <w:r>
        <w:rPr>
          <w:sz w:val="28"/>
          <w:szCs w:val="28"/>
        </w:rPr>
        <w:t xml:space="preserve"> водный счетчик. В К</w:t>
      </w:r>
      <w:r w:rsidRPr="003C7619">
        <w:rPr>
          <w:sz w:val="28"/>
          <w:szCs w:val="28"/>
        </w:rPr>
        <w:t>уйбышевский сельский клуб, для эстетического оформления фасада здания, приобретен баннер.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Финансирование программных мероприятий осуществлялось за счет средств бюджета Куйбышевского сельского поселения в объемах, предусмотренных </w:t>
      </w: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  <w:r w:rsidRPr="003C7619">
        <w:rPr>
          <w:sz w:val="28"/>
          <w:szCs w:val="28"/>
        </w:rPr>
        <w:t xml:space="preserve">. </w:t>
      </w:r>
    </w:p>
    <w:p w:rsidR="002A6391" w:rsidRPr="003C7619" w:rsidRDefault="002A6391" w:rsidP="002A6391">
      <w:pPr>
        <w:spacing w:line="240" w:lineRule="atLeast"/>
        <w:ind w:firstLine="708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Финансирование программных мероприятий осуществлялось за счет средств бюджета Куйбышевского сельского поселения в объемах, предусмотренных долгосрочной целевой программой сельского поселения «Развитие культуры и туризма». 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left="284"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«Кубок» (количество участников 17 человек)</w:t>
      </w:r>
      <w:r>
        <w:rPr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рамках работы, направленной на развитие патриотического воспитания населения за отчетный год проведено 62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Pr="003C7619">
        <w:rPr>
          <w:sz w:val="28"/>
          <w:szCs w:val="28"/>
        </w:rPr>
        <w:t>7709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24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2016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пери</w:t>
      </w:r>
      <w:r>
        <w:rPr>
          <w:rFonts w:ascii="Times New Roman" w:hAnsi="Times New Roman"/>
          <w:sz w:val="28"/>
          <w:szCs w:val="28"/>
        </w:rPr>
        <w:t>од 2016 года было проведено 156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2016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</w:t>
      </w:r>
      <w:proofErr w:type="spellStart"/>
      <w:r w:rsidRPr="003C7619">
        <w:rPr>
          <w:rFonts w:ascii="Times New Roman" w:hAnsi="Times New Roman"/>
          <w:sz w:val="28"/>
          <w:szCs w:val="28"/>
        </w:rPr>
        <w:t>конкурсно</w:t>
      </w:r>
      <w:r>
        <w:rPr>
          <w:rFonts w:ascii="Times New Roman" w:hAnsi="Times New Roman"/>
          <w:sz w:val="28"/>
          <w:szCs w:val="28"/>
        </w:rPr>
        <w:t>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2016 года провед</w:t>
      </w:r>
      <w:r>
        <w:rPr>
          <w:rFonts w:ascii="Times New Roman" w:hAnsi="Times New Roman"/>
          <w:sz w:val="28"/>
          <w:szCs w:val="28"/>
        </w:rPr>
        <w:t>ено 46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1180 человек. (Спортивно-игровые, развлекательные программы, походы, экскурсии, познавательные программы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proofErr w:type="gramStart"/>
      <w:r w:rsidRPr="003C7619">
        <w:rPr>
          <w:b/>
          <w:bCs/>
          <w:sz w:val="28"/>
          <w:szCs w:val="28"/>
        </w:rPr>
        <w:t>направленные</w:t>
      </w:r>
      <w:proofErr w:type="gramEnd"/>
      <w:r w:rsidRPr="003C7619">
        <w:rPr>
          <w:b/>
          <w:bCs/>
          <w:sz w:val="28"/>
          <w:szCs w:val="28"/>
        </w:rPr>
        <w:t xml:space="preserve">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2016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2016-го</w:t>
      </w:r>
      <w:r w:rsidRPr="003C7619">
        <w:rPr>
          <w:rFonts w:ascii="Times New Roman" w:hAnsi="Times New Roman"/>
          <w:sz w:val="28"/>
          <w:szCs w:val="28"/>
        </w:rPr>
        <w:t xml:space="preserve"> года для людей с ограниченными возможностями было проведено 4 мероприятий, в которых приняли участие 71 человек. (Поздравления на дому, адресные поздравления, поздравительные программы с чаепитием).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2016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Перечень мероприятий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09.02.2016г.</w:t>
      </w:r>
      <w:r>
        <w:rPr>
          <w:bCs/>
          <w:sz w:val="28"/>
          <w:szCs w:val="28"/>
        </w:rPr>
        <w:t xml:space="preserve"> - Поздравительная программа «</w:t>
      </w:r>
      <w:r w:rsidRPr="003C7619">
        <w:rPr>
          <w:bCs/>
          <w:sz w:val="28"/>
          <w:szCs w:val="28"/>
        </w:rPr>
        <w:t>С Днем рожденья ветеран!»</w:t>
      </w:r>
    </w:p>
    <w:p w:rsidR="002A6391" w:rsidRPr="003C7619" w:rsidRDefault="002A6391" w:rsidP="002A6391">
      <w:pPr>
        <w:spacing w:line="240" w:lineRule="atLeast"/>
        <w:ind w:left="720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(Скляр Мария Ивановна)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11.02.2016г.</w:t>
      </w:r>
      <w:r>
        <w:rPr>
          <w:bCs/>
          <w:sz w:val="28"/>
          <w:szCs w:val="28"/>
        </w:rPr>
        <w:t xml:space="preserve"> </w:t>
      </w:r>
      <w:r w:rsidRPr="003C7619">
        <w:rPr>
          <w:bCs/>
          <w:sz w:val="28"/>
          <w:szCs w:val="28"/>
        </w:rPr>
        <w:t>- Поздравительная программа « С Днем рожденья ветеран!» (Патока И.И.)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12.08.201г.- Поздравительная программа «</w:t>
      </w:r>
      <w:r>
        <w:rPr>
          <w:bCs/>
          <w:sz w:val="28"/>
          <w:szCs w:val="28"/>
        </w:rPr>
        <w:t xml:space="preserve"> С Днем рожденья ветеран!» </w:t>
      </w:r>
      <w:r w:rsidRPr="003C7619">
        <w:rPr>
          <w:bCs/>
          <w:sz w:val="28"/>
          <w:szCs w:val="28"/>
        </w:rPr>
        <w:t>(Ткаленко С.И.)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Хутор Свободный, адресные поздравления, с Днем пожилого человека.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Свободненский СК, посиделки с чаепитием, посвященные Дню пожилого человека.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01.10.2016г. Новобахмутский СК. Чаепитие, посвященное Дню пожилого человека «</w:t>
      </w:r>
      <w:proofErr w:type="gramStart"/>
      <w:r w:rsidRPr="003C7619">
        <w:rPr>
          <w:bCs/>
          <w:sz w:val="28"/>
          <w:szCs w:val="28"/>
        </w:rPr>
        <w:t>Мои</w:t>
      </w:r>
      <w:proofErr w:type="gramEnd"/>
      <w:r w:rsidRPr="003C7619">
        <w:rPr>
          <w:bCs/>
          <w:sz w:val="28"/>
          <w:szCs w:val="28"/>
        </w:rPr>
        <w:t xml:space="preserve"> года, моё богатство».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06.10.2016г. РДК. Участие в посиде</w:t>
      </w:r>
      <w:r>
        <w:rPr>
          <w:bCs/>
          <w:sz w:val="28"/>
          <w:szCs w:val="28"/>
        </w:rPr>
        <w:t xml:space="preserve">лках с чаепитием, </w:t>
      </w:r>
      <w:proofErr w:type="gramStart"/>
      <w:r>
        <w:rPr>
          <w:bCs/>
          <w:sz w:val="28"/>
          <w:szCs w:val="28"/>
        </w:rPr>
        <w:t>посвящённые</w:t>
      </w:r>
      <w:proofErr w:type="gramEnd"/>
      <w:r>
        <w:rPr>
          <w:bCs/>
          <w:sz w:val="28"/>
          <w:szCs w:val="28"/>
        </w:rPr>
        <w:t xml:space="preserve"> </w:t>
      </w:r>
      <w:r w:rsidRPr="003C7619">
        <w:rPr>
          <w:bCs/>
          <w:sz w:val="28"/>
          <w:szCs w:val="28"/>
        </w:rPr>
        <w:t>Дню пожилого человека.</w:t>
      </w:r>
    </w:p>
    <w:p w:rsidR="002A6391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08.10.2016г. Поздравительная программа «С Днём рож</w:t>
      </w:r>
      <w:r>
        <w:rPr>
          <w:bCs/>
          <w:sz w:val="28"/>
          <w:szCs w:val="28"/>
        </w:rPr>
        <w:t>денья ветеран!</w:t>
      </w:r>
    </w:p>
    <w:p w:rsidR="002A6391" w:rsidRPr="003C7619" w:rsidRDefault="002A6391" w:rsidP="002A6391">
      <w:pPr>
        <w:spacing w:line="240" w:lineRule="atLeast"/>
        <w:ind w:left="644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>(Елькина Л.Д.).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lastRenderedPageBreak/>
        <w:t xml:space="preserve">12.10.2016г. Поздравительная программа </w:t>
      </w:r>
      <w:r>
        <w:rPr>
          <w:bCs/>
          <w:sz w:val="28"/>
          <w:szCs w:val="28"/>
        </w:rPr>
        <w:t>«</w:t>
      </w:r>
      <w:r w:rsidRPr="003C7619">
        <w:rPr>
          <w:bCs/>
          <w:sz w:val="28"/>
          <w:szCs w:val="28"/>
        </w:rPr>
        <w:t>С Днем рожденья ветеран!» (Ларионов В.С.).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 14.11.2016г. Поздравительная программа «С Днем рожденья ветеран!» (Нестеренко Н.Н.).</w:t>
      </w:r>
    </w:p>
    <w:p w:rsidR="002A6391" w:rsidRPr="003C7619" w:rsidRDefault="002A6391" w:rsidP="002A6391">
      <w:pPr>
        <w:numPr>
          <w:ilvl w:val="0"/>
          <w:numId w:val="6"/>
        </w:numPr>
        <w:spacing w:line="240" w:lineRule="atLeast"/>
        <w:jc w:val="both"/>
        <w:rPr>
          <w:bCs/>
          <w:sz w:val="28"/>
          <w:szCs w:val="28"/>
        </w:rPr>
      </w:pPr>
      <w:r w:rsidRPr="003C7619">
        <w:rPr>
          <w:bCs/>
          <w:sz w:val="28"/>
          <w:szCs w:val="28"/>
        </w:rPr>
        <w:t xml:space="preserve"> 04.12.2016г. Поздравительная программа «С Днем рожденья ветеран!» (Балясников</w:t>
      </w:r>
      <w:r>
        <w:rPr>
          <w:bCs/>
          <w:sz w:val="28"/>
          <w:szCs w:val="28"/>
        </w:rPr>
        <w:t xml:space="preserve"> Н.Б.)</w:t>
      </w:r>
      <w:r w:rsidRPr="003C7619"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В 2016 году проведено 28 мероприятий, направленных на работу с семьей. В них приняли участие 1135 человек. (Концерты, посиделки, чаепития, конкурсные программы). 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  <w:proofErr w:type="gramEnd"/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>оселения способствовало создание возможностей получения жителями поселения доступа к культурным ценностям (включая памятники истории и культуры),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lastRenderedPageBreak/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3C7619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7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</w:t>
      </w:r>
      <w:proofErr w:type="spellStart"/>
      <w:r w:rsidRPr="003C7619">
        <w:rPr>
          <w:color w:val="auto"/>
          <w:kern w:val="2"/>
          <w:sz w:val="28"/>
          <w:szCs w:val="28"/>
        </w:rPr>
        <w:t>c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lastRenderedPageBreak/>
        <w:t xml:space="preserve">дефицит </w:t>
      </w:r>
      <w:proofErr w:type="spellStart"/>
      <w:r w:rsidRPr="003C7619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3C7619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3C7619">
        <w:rPr>
          <w:color w:val="auto"/>
          <w:kern w:val="2"/>
          <w:sz w:val="28"/>
          <w:szCs w:val="28"/>
        </w:rPr>
        <w:t>факторов</w:t>
      </w:r>
      <w:proofErr w:type="gramEnd"/>
      <w:r w:rsidRPr="003C7619">
        <w:rPr>
          <w:color w:val="auto"/>
          <w:kern w:val="2"/>
          <w:sz w:val="28"/>
          <w:szCs w:val="28"/>
        </w:rPr>
        <w:t xml:space="preserve">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Важное значение</w:t>
      </w:r>
      <w:proofErr w:type="gramEnd"/>
      <w:r w:rsidRPr="003C7619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3C7619">
        <w:rPr>
          <w:kern w:val="2"/>
          <w:sz w:val="28"/>
          <w:szCs w:val="28"/>
        </w:rPr>
        <w:t xml:space="preserve">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Изменение стоимости предоставления услуг (выполнения работ) может негативно сказаться на структуре потребительских предпочтений населения. </w:t>
      </w:r>
      <w:r w:rsidRPr="003C7619">
        <w:rPr>
          <w:kern w:val="2"/>
          <w:sz w:val="28"/>
          <w:szCs w:val="28"/>
        </w:rPr>
        <w:lastRenderedPageBreak/>
        <w:t>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сопряжённых </w:t>
      </w:r>
      <w:proofErr w:type="gramStart"/>
      <w:r w:rsidRPr="003C7619">
        <w:rPr>
          <w:kern w:val="2"/>
          <w:sz w:val="28"/>
          <w:szCs w:val="28"/>
        </w:rPr>
        <w:t>государствах</w:t>
      </w:r>
      <w:proofErr w:type="gramEnd"/>
      <w:r w:rsidRPr="003C7619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proofErr w:type="spellStart"/>
      <w:r w:rsidRPr="003C7619">
        <w:rPr>
          <w:kern w:val="2"/>
          <w:sz w:val="28"/>
          <w:szCs w:val="28"/>
        </w:rPr>
        <w:t>засилием</w:t>
      </w:r>
      <w:proofErr w:type="spellEnd"/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lastRenderedPageBreak/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Pr="003C7619">
        <w:rPr>
          <w:kern w:val="2"/>
          <w:sz w:val="28"/>
          <w:szCs w:val="28"/>
        </w:rPr>
        <w:t>муниципальной</w:t>
      </w:r>
      <w:proofErr w:type="gramEnd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191442">
        <w:rPr>
          <w:kern w:val="2"/>
          <w:sz w:val="28"/>
          <w:szCs w:val="28"/>
        </w:rPr>
        <w:t>32096,4</w:t>
      </w:r>
      <w:r w:rsidR="00191442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68621390" r:id="rId9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ЦИП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КЦИ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3C7619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3C7619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68621391" r:id="rId11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где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t>БЗФ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spellStart"/>
      <w:r w:rsidRPr="003C7619">
        <w:rPr>
          <w:kern w:val="2"/>
          <w:sz w:val="28"/>
          <w:szCs w:val="28"/>
        </w:rPr>
        <w:lastRenderedPageBreak/>
        <w:t>БЗП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3C7619">
        <w:rPr>
          <w:kern w:val="2"/>
          <w:sz w:val="28"/>
          <w:szCs w:val="28"/>
        </w:rPr>
        <w:t>КБЗ</w:t>
      </w:r>
      <w:proofErr w:type="gramStart"/>
      <w:r w:rsidRPr="003C7619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651A85">
        <w:rPr>
          <w:rFonts w:ascii="Times New Roman" w:hAnsi="Times New Roman"/>
          <w:kern w:val="2"/>
          <w:sz w:val="28"/>
          <w:szCs w:val="28"/>
        </w:rPr>
        <w:t>ожидаемому</w:t>
      </w:r>
      <w:proofErr w:type="gramEnd"/>
      <w:r w:rsidRPr="00651A85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F770BB">
        <w:rPr>
          <w:b/>
          <w:i/>
          <w:kern w:val="2"/>
          <w:sz w:val="28"/>
          <w:szCs w:val="28"/>
        </w:rPr>
        <w:t xml:space="preserve">социальным </w:t>
      </w:r>
      <w:r w:rsidRPr="00EB61E5">
        <w:rPr>
          <w:b/>
          <w:i/>
          <w:kern w:val="2"/>
          <w:sz w:val="28"/>
          <w:szCs w:val="28"/>
        </w:rPr>
        <w:t>вопросам, культур</w:t>
      </w:r>
      <w:r w:rsidR="00F770BB">
        <w:rPr>
          <w:b/>
          <w:i/>
          <w:kern w:val="2"/>
          <w:sz w:val="28"/>
          <w:szCs w:val="28"/>
        </w:rPr>
        <w:t>е,</w:t>
      </w:r>
      <w:r w:rsidRPr="00EB61E5">
        <w:rPr>
          <w:b/>
          <w:i/>
          <w:kern w:val="2"/>
          <w:sz w:val="28"/>
          <w:szCs w:val="28"/>
        </w:rPr>
        <w:t xml:space="preserve"> 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организует реализацию муниципальной программы, вносит предложения Главе Администрации Куйбышевского сельского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lastRenderedPageBreak/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</w:t>
      </w:r>
      <w:proofErr w:type="gramEnd"/>
      <w:r w:rsidRPr="00EB61E5">
        <w:rPr>
          <w:rFonts w:ascii="Times New Roman" w:hAnsi="Times New Roman"/>
          <w:kern w:val="2"/>
          <w:sz w:val="28"/>
          <w:szCs w:val="28"/>
        </w:rPr>
        <w:t xml:space="preserve">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информацию, необходимую для подготовки отчётов об исполнении плана реализации Программы по итогам полугодия, 9 месяцев – до 15-го числа месяца, следующего за отчётным периодом, за год – до 25 января года, следующего за отчётным,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ежегодно, до 10 февраля года, следующего за отчётным, направляют ответственному исполнителю информацию, необходимую для подготовки отчёта о реализации Программы по итогам года,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–п</w:t>
            </w:r>
            <w:proofErr w:type="gramEnd"/>
            <w:r>
              <w:rPr>
                <w:kern w:val="2"/>
                <w:sz w:val="28"/>
                <w:szCs w:val="28"/>
              </w:rPr>
              <w:t>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–и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D67E0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АКСП),</w:t>
            </w:r>
            <w:r w:rsidRPr="003C7619">
              <w:rPr>
                <w:sz w:val="28"/>
                <w:szCs w:val="28"/>
              </w:rPr>
              <w:t xml:space="preserve"> инспектор по </w:t>
            </w:r>
            <w:r w:rsidR="00D67E03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D67E03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D67E03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–п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3C7619">
              <w:rPr>
                <w:kern w:val="2"/>
                <w:sz w:val="28"/>
                <w:szCs w:val="28"/>
              </w:rPr>
              <w:t>–р</w:t>
            </w:r>
            <w:proofErr w:type="gramEnd"/>
            <w:r w:rsidRPr="003C7619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32096,4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5215,3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3552,4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3075,5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167,1 тыс</w:t>
            </w:r>
            <w:proofErr w:type="gramStart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3010,2 тыс</w:t>
            </w:r>
            <w:proofErr w:type="gramStart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>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</w:t>
      </w:r>
      <w:r w:rsidRPr="003C7619">
        <w:rPr>
          <w:kern w:val="2"/>
          <w:sz w:val="28"/>
          <w:szCs w:val="28"/>
        </w:rPr>
        <w:lastRenderedPageBreak/>
        <w:t>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3C7619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</w:t>
      </w:r>
      <w:proofErr w:type="gramStart"/>
      <w:r w:rsidRPr="003C7619">
        <w:rPr>
          <w:kern w:val="2"/>
          <w:sz w:val="28"/>
          <w:szCs w:val="28"/>
        </w:rPr>
        <w:t>контроль за</w:t>
      </w:r>
      <w:proofErr w:type="gramEnd"/>
      <w:r w:rsidRPr="003C7619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proofErr w:type="gramStart"/>
      <w:r w:rsidRPr="003C7619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</w:t>
      </w:r>
      <w:r w:rsidRPr="003C7619">
        <w:rPr>
          <w:bCs/>
          <w:kern w:val="2"/>
          <w:sz w:val="28"/>
          <w:szCs w:val="28"/>
        </w:rPr>
        <w:lastRenderedPageBreak/>
        <w:t>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3C7619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3C7619">
        <w:rPr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lastRenderedPageBreak/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Несоответствие материально-технического состояния и оснащённости учреждений культуры и образования современным нормам и </w:t>
      </w:r>
      <w:proofErr w:type="spellStart"/>
      <w:r w:rsidRPr="003C7619">
        <w:rPr>
          <w:kern w:val="2"/>
          <w:sz w:val="28"/>
          <w:szCs w:val="28"/>
        </w:rPr>
        <w:t>социокультурным</w:t>
      </w:r>
      <w:proofErr w:type="spellEnd"/>
      <w:r w:rsidRPr="003C7619">
        <w:rPr>
          <w:kern w:val="2"/>
          <w:sz w:val="28"/>
          <w:szCs w:val="28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proofErr w:type="gramStart"/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  <w:proofErr w:type="gramEnd"/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lastRenderedPageBreak/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разработка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 xml:space="preserve">составление </w:t>
      </w:r>
      <w:proofErr w:type="gramStart"/>
      <w:r w:rsidRPr="0001036D">
        <w:rPr>
          <w:rFonts w:ascii="Times New Roman" w:hAnsi="Times New Roman"/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01036D">
        <w:rPr>
          <w:rFonts w:ascii="Times New Roman" w:hAnsi="Times New Roman"/>
          <w:kern w:val="2"/>
          <w:sz w:val="28"/>
          <w:szCs w:val="28"/>
        </w:rPr>
        <w:t xml:space="preserve">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выделение средств МБУК «КС КСП» </w:t>
      </w:r>
      <w:proofErr w:type="gramStart"/>
      <w:r w:rsidRPr="0009463C">
        <w:rPr>
          <w:rFonts w:ascii="Times New Roman" w:hAnsi="Times New Roman"/>
          <w:bCs/>
          <w:kern w:val="2"/>
          <w:sz w:val="28"/>
          <w:szCs w:val="28"/>
        </w:rPr>
        <w:t>на</w:t>
      </w:r>
      <w:proofErr w:type="gramEnd"/>
      <w:r w:rsidRPr="0009463C">
        <w:rPr>
          <w:rFonts w:ascii="Times New Roman" w:hAnsi="Times New Roman"/>
          <w:bCs/>
          <w:kern w:val="2"/>
          <w:sz w:val="28"/>
          <w:szCs w:val="28"/>
        </w:rPr>
        <w:t xml:space="preserve">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Праздник призывной и допризывной молодёжи;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</w:t>
      </w:r>
      <w:proofErr w:type="gramStart"/>
      <w:r w:rsidRPr="003C7619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2016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Система разви</w:t>
      </w:r>
      <w:r>
        <w:rPr>
          <w:b/>
          <w:bCs/>
          <w:sz w:val="28"/>
          <w:szCs w:val="28"/>
        </w:rPr>
        <w:t xml:space="preserve">тия декоративно – прикладного, </w:t>
      </w:r>
      <w:r w:rsidRPr="003C7619">
        <w:rPr>
          <w:b/>
          <w:bCs/>
          <w:sz w:val="28"/>
          <w:szCs w:val="28"/>
        </w:rPr>
        <w:t>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Издательская и выставочная деятельность:</w:t>
      </w:r>
    </w:p>
    <w:p w:rsidR="002A6391" w:rsidRDefault="002A6391" w:rsidP="002A6391">
      <w:pPr>
        <w:ind w:right="-1"/>
        <w:rPr>
          <w:bCs/>
          <w:sz w:val="28"/>
          <w:szCs w:val="28"/>
          <w:lang w:eastAsia="en-US"/>
        </w:rPr>
      </w:pPr>
    </w:p>
    <w:p w:rsidR="002A6391" w:rsidRPr="001753E1" w:rsidRDefault="002A6391" w:rsidP="002A6391">
      <w:pPr>
        <w:pStyle w:val="ae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>С 01.03 по 04.03 2016г.г. состоялась выставка детских работ «Топи арий», на базе Свободненского сельского клуба.</w:t>
      </w:r>
    </w:p>
    <w:p w:rsidR="002A6391" w:rsidRPr="001753E1" w:rsidRDefault="002A6391" w:rsidP="002A6391">
      <w:pPr>
        <w:pStyle w:val="ae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>С 26.11. по 26.11.2016г. состоялась выставка детских работ на базе Свободненского сельского клуба. Декоративные корзины «Краски осени».</w:t>
      </w:r>
    </w:p>
    <w:p w:rsidR="002A6391" w:rsidRPr="001753E1" w:rsidRDefault="002A6391" w:rsidP="002A6391">
      <w:pPr>
        <w:pStyle w:val="ae"/>
        <w:numPr>
          <w:ilvl w:val="0"/>
          <w:numId w:val="28"/>
        </w:numPr>
        <w:ind w:right="-1"/>
        <w:rPr>
          <w:rFonts w:ascii="Times New Roman" w:hAnsi="Times New Roman"/>
          <w:bCs/>
          <w:sz w:val="28"/>
          <w:szCs w:val="28"/>
        </w:rPr>
      </w:pPr>
      <w:r w:rsidRPr="001753E1">
        <w:rPr>
          <w:rFonts w:ascii="Times New Roman" w:hAnsi="Times New Roman"/>
          <w:bCs/>
          <w:sz w:val="28"/>
          <w:szCs w:val="28"/>
        </w:rPr>
        <w:t xml:space="preserve">07.05.2016 г. На базе Новобахмутского сельского клуба состоялась </w:t>
      </w:r>
      <w:proofErr w:type="spellStart"/>
      <w:r w:rsidRPr="001753E1">
        <w:rPr>
          <w:rFonts w:ascii="Times New Roman" w:hAnsi="Times New Roman"/>
          <w:bCs/>
          <w:sz w:val="28"/>
          <w:szCs w:val="28"/>
        </w:rPr>
        <w:t>фото-выставка</w:t>
      </w:r>
      <w:proofErr w:type="spellEnd"/>
      <w:r w:rsidRPr="001753E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1753E1">
        <w:rPr>
          <w:rFonts w:ascii="Times New Roman" w:hAnsi="Times New Roman"/>
          <w:bCs/>
          <w:sz w:val="28"/>
          <w:szCs w:val="28"/>
        </w:rPr>
        <w:t>посвящённая</w:t>
      </w:r>
      <w:proofErr w:type="gramEnd"/>
      <w:r w:rsidRPr="001753E1">
        <w:rPr>
          <w:rFonts w:ascii="Times New Roman" w:hAnsi="Times New Roman"/>
          <w:bCs/>
          <w:sz w:val="28"/>
          <w:szCs w:val="28"/>
        </w:rPr>
        <w:t xml:space="preserve"> Дню победы «Эхо войны».</w:t>
      </w:r>
    </w:p>
    <w:p w:rsidR="002A6391" w:rsidRPr="001753E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lastRenderedPageBreak/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08.01.2016г. – Участие в районном, творческим фестивале Дедов Морозов и Снегурочек, «Новогодний слёт»;</w:t>
      </w:r>
      <w:proofErr w:type="gramEnd"/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19.02-26.02.2016г. – участие в районной выставке фоторабот, фотоплакатов, рисунков и творческих поделок, </w:t>
      </w:r>
      <w:proofErr w:type="gramStart"/>
      <w:r>
        <w:rPr>
          <w:rFonts w:ascii="Times New Roman" w:hAnsi="Times New Roman"/>
          <w:bCs/>
          <w:sz w:val="28"/>
          <w:szCs w:val="28"/>
        </w:rPr>
        <w:t>посвящённая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Дню защитника Отечества;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02.03.-10.03.2016г. – участие в районной выставке работ самодеятельных мастеров ДПТ «Весенняя феерия»;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21.04.2016г. – участие в районном фестивале самодеятельного художественного творчества муниципальных служащих и представителей органов местного самоуправления «Вдохновение»;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26.06.2016г. – участие в районном фестивале, посвящённом Дню молодёжи «Новая Россия - здоровая Россия!»;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– участие в открытом межрайонном фестивале казачьей культуры «Душа казака»;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29.07.2016г. – участие в выставке-продаже работ мастеров в сфере изобразительного, декоративно-прикладного творчества «Душа казака»;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20.08.2016г. – участие в районном фестивале шансон «Песня жизни»;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10.10.2016г. – участие в районной выставке «Краски осени»;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17.10.2016г. – участие в районной выставке творчества инвалидов «Берег Надежды!»;</w:t>
      </w:r>
    </w:p>
    <w:p w:rsidR="002A6391" w:rsidRDefault="002A6391" w:rsidP="002A6391">
      <w:pPr>
        <w:pStyle w:val="ae"/>
        <w:numPr>
          <w:ilvl w:val="0"/>
          <w:numId w:val="5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02.12.2016г. – участие в открытом межрайонном фестивале юмора «Провинция Голодаевка».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  <w:r w:rsidRPr="00741626">
        <w:rPr>
          <w:bCs/>
        </w:rPr>
        <w:t xml:space="preserve"> </w:t>
      </w:r>
    </w:p>
    <w:p w:rsidR="002A6391" w:rsidRPr="00BF3287" w:rsidRDefault="002A6391" w:rsidP="002A6391">
      <w:pPr>
        <w:rPr>
          <w:kern w:val="2"/>
          <w:sz w:val="28"/>
          <w:szCs w:val="28"/>
        </w:rPr>
        <w:sectPr w:rsidR="002A6391" w:rsidRPr="00BF3287" w:rsidSect="00AC67C8">
          <w:footerReference w:type="even" r:id="rId12"/>
          <w:footerReference w:type="default" r:id="rId13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C73C85">
        <w:rPr>
          <w:kern w:val="2"/>
          <w:sz w:val="24"/>
          <w:szCs w:val="24"/>
        </w:rPr>
        <w:t>2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C73C85">
        <w:rPr>
          <w:sz w:val="24"/>
          <w:szCs w:val="24"/>
        </w:rPr>
        <w:t>02.10</w:t>
      </w:r>
      <w:r w:rsidR="00912B60">
        <w:rPr>
          <w:sz w:val="24"/>
          <w:szCs w:val="24"/>
        </w:rPr>
        <w:t xml:space="preserve">.2017 </w:t>
      </w:r>
      <w:r w:rsidR="00912B60" w:rsidRPr="003C7619">
        <w:rPr>
          <w:sz w:val="24"/>
          <w:szCs w:val="24"/>
        </w:rPr>
        <w:t xml:space="preserve">№ </w:t>
      </w:r>
      <w:r w:rsidR="00C73C85">
        <w:rPr>
          <w:sz w:val="24"/>
          <w:szCs w:val="24"/>
        </w:rPr>
        <w:t>138</w:t>
      </w: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554523" w:rsidRPr="003C7619" w:rsidRDefault="00554523" w:rsidP="00554523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C7619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</w:t>
      </w:r>
      <w:r w:rsidRPr="003C761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C7619">
        <w:rPr>
          <w:sz w:val="24"/>
          <w:szCs w:val="24"/>
        </w:rPr>
        <w:t>Куйбышевского сельского поселения</w:t>
      </w:r>
    </w:p>
    <w:p w:rsidR="00554523" w:rsidRPr="003C7619" w:rsidRDefault="00554523" w:rsidP="00554523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8973D5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96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5215,3</w:t>
            </w:r>
          </w:p>
        </w:tc>
        <w:tc>
          <w:tcPr>
            <w:tcW w:w="963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3552,4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3075,5</w:t>
            </w:r>
          </w:p>
        </w:tc>
        <w:tc>
          <w:tcPr>
            <w:tcW w:w="962" w:type="dxa"/>
          </w:tcPr>
          <w:p w:rsidR="002A6391" w:rsidRPr="00DD2045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FF1152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107,3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135,6</w:t>
            </w:r>
          </w:p>
        </w:tc>
        <w:tc>
          <w:tcPr>
            <w:tcW w:w="962" w:type="dxa"/>
          </w:tcPr>
          <w:p w:rsidR="002A6391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C36F4F" w:rsidP="00FF1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462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989,1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3416,8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2939,9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146230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2A6391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146230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</w:t>
            </w:r>
            <w:proofErr w:type="gramStart"/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5B630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1.5.5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Прочие мероприятия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D0336D" w:rsidRDefault="00D0336D" w:rsidP="00D0336D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D0336D" w:rsidRDefault="00D0336D" w:rsidP="00D0336D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</w:t>
      </w:r>
      <w:r>
        <w:rPr>
          <w:bCs/>
        </w:rPr>
        <w:tab/>
        <w:t>И.И.Хворостов</w:t>
      </w:r>
      <w:r w:rsidRPr="00741626">
        <w:rPr>
          <w:bCs/>
        </w:rPr>
        <w:t xml:space="preserve"> </w:t>
      </w: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12B60" w:rsidRDefault="00912B60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31" w:rsidRDefault="001C1231" w:rsidP="00EB4C96">
      <w:r>
        <w:separator/>
      </w:r>
    </w:p>
  </w:endnote>
  <w:endnote w:type="continuationSeparator" w:id="0">
    <w:p w:rsidR="001C1231" w:rsidRDefault="001C1231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4D" w:rsidRDefault="0043074D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074D" w:rsidRDefault="0043074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4D" w:rsidRDefault="0043074D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36D">
      <w:rPr>
        <w:rStyle w:val="ab"/>
        <w:noProof/>
      </w:rPr>
      <w:t>35</w:t>
    </w:r>
    <w:r>
      <w:rPr>
        <w:rStyle w:val="ab"/>
      </w:rPr>
      <w:fldChar w:fldCharType="end"/>
    </w:r>
  </w:p>
  <w:p w:rsidR="0043074D" w:rsidRPr="00A7389B" w:rsidRDefault="0043074D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31" w:rsidRDefault="001C1231" w:rsidP="00EB4C96">
      <w:r>
        <w:separator/>
      </w:r>
    </w:p>
  </w:footnote>
  <w:footnote w:type="continuationSeparator" w:id="0">
    <w:p w:rsidR="001C1231" w:rsidRDefault="001C1231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2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"/>
  </w:num>
  <w:num w:numId="5">
    <w:abstractNumId w:val="22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27"/>
  </w:num>
  <w:num w:numId="11">
    <w:abstractNumId w:val="24"/>
  </w:num>
  <w:num w:numId="12">
    <w:abstractNumId w:val="26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  <w:num w:numId="20">
    <w:abstractNumId w:val="23"/>
  </w:num>
  <w:num w:numId="21">
    <w:abstractNumId w:val="20"/>
  </w:num>
  <w:num w:numId="22">
    <w:abstractNumId w:val="18"/>
  </w:num>
  <w:num w:numId="23">
    <w:abstractNumId w:val="13"/>
  </w:num>
  <w:num w:numId="24">
    <w:abstractNumId w:val="17"/>
  </w:num>
  <w:num w:numId="25">
    <w:abstractNumId w:val="14"/>
  </w:num>
  <w:num w:numId="26">
    <w:abstractNumId w:val="25"/>
  </w:num>
  <w:num w:numId="27">
    <w:abstractNumId w:val="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91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4BB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230"/>
    <w:rsid w:val="00146409"/>
    <w:rsid w:val="00146660"/>
    <w:rsid w:val="001467A5"/>
    <w:rsid w:val="00146BF5"/>
    <w:rsid w:val="00147DB0"/>
    <w:rsid w:val="001504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0C50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1DA0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231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8F3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3EBE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9EC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72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B79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74D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91F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523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630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889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9C1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66B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330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3C85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36D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3A1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67E03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96A54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0BB"/>
    <w:rsid w:val="00F7784B"/>
    <w:rsid w:val="00F80483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4690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52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9691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64801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2017-10-04T09:03:00Z</cp:lastPrinted>
  <dcterms:created xsi:type="dcterms:W3CDTF">2017-10-03T14:15:00Z</dcterms:created>
  <dcterms:modified xsi:type="dcterms:W3CDTF">2017-10-04T09:23:00Z</dcterms:modified>
</cp:coreProperties>
</file>