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0A04C8" w:rsidRPr="009B1CFC" w:rsidRDefault="000A04C8" w:rsidP="000A04C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CFC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порядка и </w:t>
      </w:r>
      <w:r w:rsidRPr="009B1CFC">
        <w:rPr>
          <w:rFonts w:ascii="Times New Roman" w:hAnsi="Times New Roman" w:cs="Times New Roman"/>
          <w:b/>
          <w:kern w:val="2"/>
          <w:sz w:val="28"/>
          <w:szCs w:val="28"/>
        </w:rPr>
        <w:t>профилактика правонарушений</w:t>
      </w:r>
      <w:r w:rsidRPr="009B1C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 w:rsidR="001A7E77">
        <w:rPr>
          <w:rFonts w:ascii="Times New Roman" w:hAnsi="Times New Roman" w:cs="Times New Roman"/>
          <w:sz w:val="26"/>
          <w:szCs w:val="26"/>
        </w:rPr>
        <w:t>.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0A04C8" w:rsidRPr="00990FF9" w:rsidRDefault="00DA040F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0A04C8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0A04C8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0A04C8" w:rsidRPr="00990FF9" w:rsidRDefault="00DA040F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0A04C8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0A04C8" w:rsidRPr="00990FF9" w:rsidTr="00FB315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04C8" w:rsidRPr="00990FF9" w:rsidRDefault="000A04C8" w:rsidP="000A04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0A04C8" w:rsidRPr="00990FF9" w:rsidTr="00FB3154">
        <w:trPr>
          <w:tblHeader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A04C8" w:rsidRPr="00990FF9" w:rsidTr="00FB3154">
        <w:trPr>
          <w:trHeight w:val="202"/>
          <w:tblCellSpacing w:w="5" w:type="nil"/>
        </w:trPr>
        <w:tc>
          <w:tcPr>
            <w:tcW w:w="426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215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"Профилактика экстремизма и терроризма в Куйбышевском сельском поселении"</w:t>
            </w:r>
          </w:p>
        </w:tc>
        <w:tc>
          <w:tcPr>
            <w:tcW w:w="226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0A04C8" w:rsidRPr="00990FF9" w:rsidRDefault="000A04C8" w:rsidP="00FB3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0A04C8" w:rsidRPr="00990FF9" w:rsidRDefault="000A04C8" w:rsidP="00FB3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4C8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0A04C8" w:rsidRPr="008A787C" w:rsidRDefault="000A04C8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>Основное мероприятие 1.1. И</w:t>
            </w:r>
            <w:r w:rsidRPr="008A787C">
              <w:rPr>
                <w:rFonts w:ascii="Times New Roman" w:hAnsi="Times New Roman" w:cs="Times New Roman"/>
                <w:kern w:val="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:rsidR="000A04C8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3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0A04C8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0A04C8" w:rsidRPr="008A787C" w:rsidRDefault="001A7E77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0A04C8" w:rsidRPr="008A787C" w:rsidRDefault="009B75E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  <w:p w:rsidR="009B75E1" w:rsidRPr="008A787C" w:rsidRDefault="009B75E1" w:rsidP="009B75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средства не освоены в связи с ограничением проводить закупки в период </w:t>
            </w:r>
            <w:proofErr w:type="spellStart"/>
            <w:r w:rsidRPr="008A787C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A787C">
              <w:rPr>
                <w:rFonts w:ascii="Times New Roman" w:hAnsi="Times New Roman" w:cs="Times New Roman"/>
              </w:rPr>
              <w:t xml:space="preserve"> инфекции </w:t>
            </w:r>
            <w:r w:rsidR="001A7E77" w:rsidRPr="008A787C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9413C1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413C1" w:rsidRPr="008A787C" w:rsidRDefault="009413C1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413C1" w:rsidRPr="008A787C" w:rsidRDefault="009413C1" w:rsidP="00FB3154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1.2. </w:t>
            </w:r>
            <w:r w:rsidRPr="008A787C">
              <w:rPr>
                <w:rFonts w:ascii="Times New Roman" w:hAnsi="Times New Roman" w:cs="Times New Roman"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9413C1" w:rsidRPr="008A787C" w:rsidRDefault="009413C1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9413C1" w:rsidRPr="008A787C" w:rsidRDefault="009413C1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413C1" w:rsidRPr="008A787C" w:rsidRDefault="009413C1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413C1" w:rsidRPr="008A787C" w:rsidRDefault="009413C1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6F5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FA26F5" w:rsidRPr="008A787C" w:rsidRDefault="00FA26F5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FA26F5" w:rsidRPr="008A787C" w:rsidRDefault="00FA26F5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1.3. </w:t>
            </w:r>
            <w:r w:rsidRPr="008A787C">
              <w:rPr>
                <w:rFonts w:ascii="Times New Roman" w:hAnsi="Times New Roman" w:cs="Times New Roman"/>
                <w:kern w:val="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2268" w:type="dxa"/>
          </w:tcPr>
          <w:p w:rsidR="00FA26F5" w:rsidRPr="008A787C" w:rsidRDefault="00FA26F5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снижение количества зарегистрированных преступлений с применением огнестрельного оружия, взрывчатых веществ и взрывных устройств в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:rsidR="00FA26F5" w:rsidRPr="008A787C" w:rsidRDefault="00FA26F5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FA26F5" w:rsidRPr="008A787C" w:rsidRDefault="00FA26F5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A26F5" w:rsidRPr="008A787C" w:rsidRDefault="00FA26F5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A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</w:rPr>
              <w:t>Подпрограмма 2. Противодействие коррупции в Куйбышевском сельском поселении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787C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92151B" w:rsidRPr="008A787C" w:rsidRDefault="0092151B" w:rsidP="00FB3154">
            <w:pPr>
              <w:widowControl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bCs/>
              </w:rPr>
              <w:t>совершенствование пра</w:t>
            </w:r>
            <w:r w:rsidRPr="008A787C">
              <w:rPr>
                <w:rFonts w:ascii="Times New Roman" w:hAnsi="Times New Roman" w:cs="Times New Roman"/>
                <w:bCs/>
              </w:rPr>
              <w:softHyphen/>
              <w:t>вового регулирования в сфере противодействия коррупции</w:t>
            </w:r>
          </w:p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приведение нормативных правовых актов Администрации Куйбышевск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B315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2.2. </w:t>
            </w:r>
            <w:r w:rsidRPr="008A787C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выявление в нормативных правовых актах Администрации Куйбышевского района и их проектах </w:t>
            </w:r>
            <w:proofErr w:type="spellStart"/>
            <w:r w:rsidRPr="008A787C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8A787C">
              <w:rPr>
                <w:rStyle w:val="extended-textfull"/>
                <w:rFonts w:ascii="Times New Roman" w:hAnsi="Times New Roman" w:cs="Times New Roman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2.6. </w:t>
            </w:r>
            <w:r w:rsidRPr="008A787C">
              <w:rPr>
                <w:rFonts w:ascii="Times New Roman" w:hAnsi="Times New Roman" w:cs="Times New Roman"/>
                <w:bCs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A787C">
              <w:rPr>
                <w:rFonts w:ascii="Times New Roman" w:hAnsi="Times New Roman" w:cs="Times New Roman"/>
              </w:rPr>
              <w:t>органах местного самоуправления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</w:t>
            </w:r>
            <w:r w:rsidRPr="008A787C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антикоррупционного поведения должностных лиц, обеспечение соблюдения ими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2.9. 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9A0484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b/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92151B" w:rsidRPr="008A787C" w:rsidRDefault="00921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3.1. Проведение мониторинга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и работы по организации профилактики наркомании в Куйбышевском сельском поселении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921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 xml:space="preserve">обороту наркотических средств, психотропных веществ и профилактики наркомании </w:t>
            </w:r>
          </w:p>
          <w:p w:rsidR="0092151B" w:rsidRPr="008A787C" w:rsidRDefault="0092151B" w:rsidP="0092151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на основе периодического уточнения реальной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образа жизни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3.5. Организация цикла печатных публикаций, направленных на пропаганду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антинаркотического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мировоззрения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ной власти в противодействии незаконному обороту наркотиков, принимаемых ими мерах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1B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2151B" w:rsidRPr="008A787C" w:rsidRDefault="0092151B" w:rsidP="00FB3154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268" w:type="dxa"/>
          </w:tcPr>
          <w:p w:rsidR="0092151B" w:rsidRPr="008A787C" w:rsidRDefault="0092151B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92151B" w:rsidRPr="008A787C" w:rsidRDefault="0092151B" w:rsidP="0092151B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мотивирование жителей Куйбышевского сельского поселения на участие в профилактике наркомании, </w:t>
            </w:r>
          </w:p>
          <w:p w:rsidR="0092151B" w:rsidRPr="008A787C" w:rsidRDefault="0092151B" w:rsidP="0092151B">
            <w:pPr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на отказ от потребления наркотиков;</w:t>
            </w:r>
          </w:p>
          <w:p w:rsidR="0092151B" w:rsidRPr="008A787C" w:rsidRDefault="0092151B" w:rsidP="0092151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92151B" w:rsidRPr="008A787C" w:rsidRDefault="0092151B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151B" w:rsidRPr="008A787C" w:rsidRDefault="0092151B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A13A0" w:rsidRPr="008A787C" w:rsidRDefault="005A13A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A13A0" w:rsidRPr="008A787C" w:rsidRDefault="005A13A0" w:rsidP="005A13A0">
            <w:pPr>
              <w:spacing w:line="260" w:lineRule="exact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3.8. Ликвидация местной  сырьевой базы для изготовления и производства </w:t>
            </w:r>
            <w:r w:rsidRPr="008A787C">
              <w:rPr>
                <w:rFonts w:ascii="Times New Roman" w:hAnsi="Times New Roman" w:cs="Times New Roman"/>
                <w:kern w:val="2"/>
              </w:rPr>
              <w:lastRenderedPageBreak/>
              <w:t>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5A13A0" w:rsidRPr="008A787C" w:rsidRDefault="005A13A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</w:rPr>
              <w:t xml:space="preserve">снижение доступности наркотиков, сокращение </w:t>
            </w:r>
            <w:r w:rsidRPr="008A787C">
              <w:rPr>
                <w:rFonts w:ascii="Times New Roman" w:hAnsi="Times New Roman" w:cs="Times New Roman"/>
              </w:rPr>
              <w:lastRenderedPageBreak/>
              <w:t>их предложения, нелегального производства и изготовления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rHeight w:val="263"/>
          <w:tblCellSpacing w:w="5" w:type="nil"/>
        </w:trPr>
        <w:tc>
          <w:tcPr>
            <w:tcW w:w="426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A13A0" w:rsidRPr="008A787C" w:rsidRDefault="005A13A0" w:rsidP="00E874FC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A787C">
              <w:rPr>
                <w:rFonts w:ascii="Times New Roman" w:hAnsi="Times New Roman" w:cs="Times New Roman"/>
                <w:kern w:val="2"/>
              </w:rPr>
              <w:t xml:space="preserve"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8A787C">
              <w:rPr>
                <w:rFonts w:ascii="Times New Roman" w:hAnsi="Times New Roman" w:cs="Times New Roman"/>
                <w:kern w:val="2"/>
              </w:rPr>
              <w:t>психоактивных</w:t>
            </w:r>
            <w:proofErr w:type="spellEnd"/>
            <w:r w:rsidRPr="008A787C">
              <w:rPr>
                <w:rFonts w:ascii="Times New Roman" w:hAnsi="Times New Roman" w:cs="Times New Roman"/>
                <w:kern w:val="2"/>
              </w:rPr>
              <w:t xml:space="preserve"> веществ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Администрация Куйбышевского сельского поселения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8A787C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0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5A13A0" w:rsidRPr="008A787C" w:rsidRDefault="000C15F7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A13A0" w:rsidRPr="008A787C" w:rsidRDefault="00360699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0</w:t>
            </w:r>
          </w:p>
        </w:tc>
      </w:tr>
      <w:tr w:rsidR="005A13A0" w:rsidRPr="008A787C" w:rsidTr="00FB3154">
        <w:trPr>
          <w:tblCellSpacing w:w="5" w:type="nil"/>
        </w:trPr>
        <w:tc>
          <w:tcPr>
            <w:tcW w:w="426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A13A0" w:rsidRPr="008A787C" w:rsidRDefault="005A13A0" w:rsidP="00FB31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78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A13A0" w:rsidRPr="008A787C" w:rsidRDefault="005A13A0" w:rsidP="00FB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A04C8" w:rsidRPr="008A787C" w:rsidRDefault="000A04C8" w:rsidP="000A04C8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</w:rPr>
      </w:pPr>
      <w:bookmarkStart w:id="0" w:name="Par1413"/>
      <w:bookmarkEnd w:id="0"/>
    </w:p>
    <w:p w:rsidR="000A04C8" w:rsidRDefault="000A04C8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767F" w:rsidRDefault="00360699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8244EB">
        <w:rPr>
          <w:rFonts w:ascii="Times New Roman" w:hAnsi="Times New Roman" w:cs="Times New Roman"/>
          <w:sz w:val="24"/>
          <w:szCs w:val="24"/>
        </w:rPr>
        <w:t>Г</w:t>
      </w:r>
      <w:r w:rsidR="00120FE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0FE6">
        <w:rPr>
          <w:rFonts w:ascii="Times New Roman" w:hAnsi="Times New Roman" w:cs="Times New Roman"/>
          <w:sz w:val="24"/>
          <w:szCs w:val="24"/>
        </w:rPr>
        <w:t xml:space="preserve"> Администрации  Куйбышевского</w:t>
      </w:r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  <w:r w:rsidR="00360699">
        <w:rPr>
          <w:rFonts w:ascii="Times New Roman" w:hAnsi="Times New Roman" w:cs="Times New Roman"/>
          <w:sz w:val="24"/>
          <w:szCs w:val="24"/>
        </w:rPr>
        <w:t>Н.Н.Варшавский</w:t>
      </w:r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08"/>
  <w:characterSpacingControl w:val="doNotCompress"/>
  <w:compat/>
  <w:rsids>
    <w:rsidRoot w:val="007D767F"/>
    <w:rsid w:val="000A04C8"/>
    <w:rsid w:val="000C15F7"/>
    <w:rsid w:val="00120FE6"/>
    <w:rsid w:val="00157C8A"/>
    <w:rsid w:val="001A7E77"/>
    <w:rsid w:val="00360699"/>
    <w:rsid w:val="0059622D"/>
    <w:rsid w:val="005A13A0"/>
    <w:rsid w:val="005A157C"/>
    <w:rsid w:val="007D767F"/>
    <w:rsid w:val="008244EB"/>
    <w:rsid w:val="008A787C"/>
    <w:rsid w:val="0092151B"/>
    <w:rsid w:val="009413C1"/>
    <w:rsid w:val="0098065A"/>
    <w:rsid w:val="009A0484"/>
    <w:rsid w:val="009B1CFC"/>
    <w:rsid w:val="009B75E1"/>
    <w:rsid w:val="00A05065"/>
    <w:rsid w:val="00DA040F"/>
    <w:rsid w:val="00E874FC"/>
    <w:rsid w:val="00F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767F"/>
    <w:pPr>
      <w:spacing w:after="140" w:line="288" w:lineRule="auto"/>
    </w:pPr>
  </w:style>
  <w:style w:type="paragraph" w:styleId="a5">
    <w:name w:val="List"/>
    <w:basedOn w:val="a4"/>
    <w:rsid w:val="007D767F"/>
    <w:rPr>
      <w:rFonts w:cs="Mangal"/>
    </w:rPr>
  </w:style>
  <w:style w:type="paragraph" w:styleId="a6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  <w:style w:type="character" w:customStyle="1" w:styleId="HTML">
    <w:name w:val="Стандартный HTML Знак"/>
    <w:rsid w:val="009413C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9A04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AMD1</cp:lastModifiedBy>
  <cp:revision>19</cp:revision>
  <cp:lastPrinted>2018-07-09T09:22:00Z</cp:lastPrinted>
  <dcterms:created xsi:type="dcterms:W3CDTF">2020-06-25T05:19:00Z</dcterms:created>
  <dcterms:modified xsi:type="dcterms:W3CDTF">2020-07-02T07:39:00Z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