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0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мес</w:t>
      </w:r>
      <w:r>
        <w:rPr>
          <w:rFonts w:ascii="Times New Roman" w:hAnsi="Times New Roman"/>
          <w:sz w:val="26"/>
        </w:rPr>
        <w:t>яцев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3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5000000">
      <w:pPr>
        <w:pStyle w:val="Style_1"/>
        <w:rPr>
          <w:rFonts w:ascii="Times New Roman" w:hAnsi="Times New Roman"/>
          <w:sz w:val="26"/>
        </w:rPr>
      </w:pPr>
    </w:p>
    <w:p w14:paraId="16000000">
      <w:pPr>
        <w:pStyle w:val="Style_1"/>
        <w:ind/>
        <w:jc w:val="center"/>
        <w:rPr>
          <w:rFonts w:ascii="Times New Roman" w:hAnsi="Times New Roman"/>
          <w:sz w:val="26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rFonts w:ascii="Times New Roman" w:hAnsi="Times New Roman"/>
                <w:color w:val="000000"/>
                <w:sz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52,0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«Строительство газовых сетей, включая  разработку проектно-сметной документации»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сновное </w:t>
            </w:r>
            <w:r>
              <w:rPr>
                <w:rFonts w:ascii="Times New Roman" w:hAnsi="Times New Roman"/>
                <w:sz w:val="28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.: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1.12.2023</w:t>
            </w:r>
          </w:p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</w:t>
            </w:r>
            <w:r>
              <w:rPr>
                <w:rFonts w:ascii="Times New Roman" w:hAnsi="Times New Roman"/>
                <w:sz w:val="28"/>
              </w:rPr>
              <w:t>мероприятие 1.3</w:t>
            </w:r>
            <w:r>
              <w:rPr>
                <w:rFonts w:ascii="Times New Roman" w:hAnsi="Times New Roman"/>
                <w:sz w:val="28"/>
              </w:rPr>
              <w:t xml:space="preserve">.: </w:t>
            </w:r>
            <w:r>
              <w:rPr>
                <w:rFonts w:ascii="Times New Roman" w:hAnsi="Times New Roman"/>
                <w:sz w:val="28"/>
              </w:rPr>
              <w:t>Разработка и актуализация схемы теплоснабжения</w:t>
            </w:r>
            <w:r>
              <w:rPr>
                <w:rFonts w:ascii="Times New Roman" w:hAnsi="Times New Roman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уровня теплофикации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Куйбышевского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поселения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1.12.2023</w:t>
            </w:r>
          </w:p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rPr>
                <w:rFonts w:ascii="Times New Roman" w:hAnsi="Times New Roman"/>
                <w:strike w:val="1"/>
                <w:sz w:val="26"/>
                <w:u w:val="none"/>
              </w:rPr>
            </w:pPr>
            <w:r>
              <w:rPr>
                <w:rFonts w:ascii="Times New Roman" w:hAnsi="Times New Roman"/>
                <w:strike w:val="1"/>
                <w:sz w:val="26"/>
                <w:u w:val="none"/>
              </w:rPr>
              <w:t>5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9662,7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9662,7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3020,2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«Содержание мест захоронения</w:t>
            </w:r>
            <w:r>
              <w:rPr>
                <w:rFonts w:ascii="Times New Roman" w:hAnsi="Times New Roman"/>
                <w:sz w:val="26"/>
              </w:rPr>
              <w:t>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5B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443,4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 xml:space="preserve">456,6/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7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ренности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1775,0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1775,0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694,6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 xml:space="preserve">1080,4/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8.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Содержание и оплата за электроэнергию уличного освещения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6687,7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6687,7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1753,7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 xml:space="preserve">4934,0/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9.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2.4. «</w:t>
            </w:r>
            <w:r>
              <w:rPr>
                <w:rFonts w:ascii="Times New Roman" w:hAnsi="Times New Roman"/>
                <w:sz w:val="28"/>
              </w:rPr>
              <w:t xml:space="preserve">Установка </w:t>
            </w:r>
            <w:r>
              <w:rPr>
                <w:rFonts w:ascii="Times New Roman" w:hAnsi="Times New Roman"/>
                <w:sz w:val="28"/>
              </w:rPr>
              <w:t>указателей с наименованием улиц и номерами домов, размещение и содержание малых архитектурных форм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</w:t>
            </w:r>
            <w:r>
              <w:rPr>
                <w:rFonts w:ascii="Times New Roman" w:hAnsi="Times New Roman"/>
                <w:color w:val="000000"/>
                <w:sz w:val="24"/>
              </w:rPr>
              <w:t>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 xml:space="preserve">37,5/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2.5.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5,0/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t>2.7. «Прочие мероприятия по благоустройству»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 xml:space="preserve">109,0/ </w:t>
            </w:r>
            <w:r>
              <w:rPr>
                <w:rFonts w:ascii="Times New Roman" w:hAnsi="Times New Roman"/>
                <w:sz w:val="26"/>
              </w:rPr>
              <w:t xml:space="preserve">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2.8.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Изготовление проектно-сметной </w:t>
            </w:r>
            <w:r>
              <w:rPr>
                <w:rFonts w:ascii="Times New Roman" w:hAnsi="Times New Roman"/>
                <w:sz w:val="28"/>
              </w:rPr>
              <w:t>документации</w:t>
            </w:r>
            <w:r>
              <w:rPr>
                <w:rFonts w:ascii="Times New Roman" w:hAnsi="Times New Roman"/>
                <w:sz w:val="28"/>
              </w:rPr>
              <w:t xml:space="preserve"> на объекты благоустройства включая прохождение экспертизы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4"/>
              </w:rPr>
              <w:t>удовлетво-рённости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A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  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14:paraId="A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E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AF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p w14:paraId="B0000000"/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2023-07-05T13:37:34Z</dcterms:modified>
</cp:coreProperties>
</file>