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</w:rPr>
        <w:t>»</w:t>
      </w:r>
    </w:p>
    <w:p w14:paraId="0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мес</w:t>
      </w:r>
      <w:r>
        <w:rPr>
          <w:rFonts w:ascii="Times New Roman" w:hAnsi="Times New Roman"/>
          <w:sz w:val="26"/>
        </w:rPr>
        <w:t>яцев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3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5000000">
      <w:pPr>
        <w:pStyle w:val="Style_1"/>
        <w:rPr>
          <w:rFonts w:ascii="Times New Roman" w:hAnsi="Times New Roman"/>
          <w:sz w:val="26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Сохранение биологического разнообразия и природных памятников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увеличение доли площади, занятой ООПТ регионального и местного значения с </w:t>
            </w:r>
            <w:r>
              <w:rPr>
                <w:rFonts w:ascii="Times New Roman" w:hAnsi="Times New Roman"/>
              </w:rPr>
              <w:t>0,2 % до 0,4 %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Комплексные услуги по обращению с ртутью содержащими отходами»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28,7/оставшиеся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spacing w:line="240" w:lineRule="auto"/>
              <w:ind/>
              <w:rPr>
                <w:rFonts w:ascii="Times New Roman" w:hAnsi="Times New Roman"/>
                <w:color w:val="000000"/>
                <w:spacing w:val="-6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Основное мероприятие 1.3.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Экологическое просвещение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и формирование экологической культуры, обеспечение  информацией о состоянии окружающей среды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5.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spacing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Основное мероприятие 1.4.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Организация детско-юношеского экологического движения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водохозяйственного комплекса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7.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«Выполнение мероприятий по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экологическому содержанию водных объектов»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состояния  водных объектов, оздоровление экологической обстановки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 водных объектах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64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14:paraId="6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</w:t>
      </w:r>
    </w:p>
    <w:p w14:paraId="6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7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 xml:space="preserve">С.Л. </w:t>
      </w:r>
      <w:r>
        <w:rPr>
          <w:rFonts w:ascii="Times New Roman" w:hAnsi="Times New Roman"/>
          <w:sz w:val="28"/>
        </w:rPr>
        <w:t>Слепченко</w:t>
      </w:r>
    </w:p>
    <w:p w14:paraId="7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7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79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p w14:paraId="7A000000"/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WW8Num1z1"/>
    <w:link w:val="Style_10_ch"/>
  </w:style>
  <w:style w:styleId="Style_10_ch" w:type="character">
    <w:name w:val="WW8Num1z1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2023-07-05T12:55:38Z</dcterms:modified>
</cp:coreProperties>
</file>