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bookmarkStart w:id="2" w:name="_GoBack"/>
      <w:r>
        <w:rPr>
          <w:rFonts w:ascii="Times New Roman" w:hAnsi="Times New Roman"/>
          <w:sz w:val="28"/>
        </w:rPr>
        <w:t>ОТЧЕТ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спорта»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 9 мес. 2022г.</w:t>
      </w:r>
      <w:bookmarkEnd w:id="2"/>
    </w:p>
    <w:p w14:paraId="0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rHeight w:hRule="atLeast" w:val="573"/>
        </w:trP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9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(должность/ ФИО) &lt;1&gt;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C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Фактическая дата окончания </w:t>
            </w:r>
            <w:r>
              <w:rPr>
                <w:rFonts w:ascii="Times New Roman" w:hAnsi="Times New Roman"/>
                <w:sz w:val="26"/>
              </w:rPr>
              <w:t xml:space="preserve">реализации, 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контроль-</w:t>
            </w:r>
            <w:r>
              <w:rPr>
                <w:rFonts w:ascii="Times New Roman" w:hAnsi="Times New Roman"/>
                <w:sz w:val="26"/>
              </w:rPr>
              <w:t>ного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type="dxa" w:w="21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11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3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ной</w:t>
            </w:r>
            <w:r>
              <w:rPr>
                <w:rFonts w:ascii="Times New Roman" w:hAnsi="Times New Roman"/>
                <w:sz w:val="26"/>
              </w:rPr>
              <w:t xml:space="preserve"> программой</w:t>
            </w:r>
          </w:p>
        </w:tc>
        <w:tc>
          <w:tcPr>
            <w:tcW w:type="dxa" w:w="1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2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blHeader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массового спорта в Куйбышевском сельском поселении»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2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</w:t>
            </w:r>
            <w:r>
              <w:rPr>
                <w:rFonts w:ascii="Times New Roman" w:hAnsi="Times New Roman"/>
                <w:sz w:val="24"/>
              </w:rPr>
              <w:t>участников массовых спортивных и физкультурных 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8,1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11,9/реализация </w:t>
            </w:r>
            <w:r>
              <w:rPr>
                <w:rFonts w:ascii="Times New Roman" w:hAnsi="Times New Roman"/>
                <w:sz w:val="24"/>
              </w:rPr>
              <w:t>запланирова на второе  полугодие 2022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0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14:paraId="31000000">
            <w:pPr>
              <w:pStyle w:val="Style_4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поселения, инспектор по социальным вопросам, культуре, спорту и молодежной политики (Чернявская Г.А.)</w:t>
            </w:r>
          </w:p>
          <w:p w14:paraId="33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</w:t>
            </w:r>
            <w:r>
              <w:rPr>
                <w:rFonts w:ascii="Times New Roman" w:hAnsi="Times New Roman"/>
                <w:sz w:val="24"/>
              </w:rPr>
              <w:t xml:space="preserve">спортом; 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8,1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6,9/реализация запланирова на второе полугодие 2022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</w:p>
          <w:p w14:paraId="3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42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5,0/реализация запланирована второе полугодие 2022</w:t>
            </w:r>
          </w:p>
        </w:tc>
      </w:tr>
      <w:t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</w:t>
            </w:r>
            <w:r>
              <w:rPr>
                <w:rFonts w:ascii="Times New Roman" w:hAnsi="Times New Roman"/>
                <w:sz w:val="24"/>
              </w:rPr>
              <w:t xml:space="preserve">политики </w:t>
            </w:r>
            <w:r>
              <w:rPr>
                <w:rFonts w:ascii="Times New Roman" w:hAnsi="Times New Roman"/>
                <w:sz w:val="24"/>
              </w:rPr>
              <w:t>(Чернявская Г.А.)</w:t>
            </w:r>
          </w:p>
          <w:p w14:paraId="5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8,1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11,9</w:t>
            </w:r>
          </w:p>
        </w:tc>
      </w:tr>
    </w:tbl>
    <w:p w14:paraId="5E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  <w:bookmarkStart w:id="3" w:name="Par1413"/>
      <w:bookmarkEnd w:id="3"/>
    </w:p>
    <w:p w14:paraId="5F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</w:p>
    <w:p w14:paraId="60000000">
      <w:pPr>
        <w:widowControl w:val="0"/>
        <w:spacing w:after="0" w:line="240" w:lineRule="auto"/>
        <w:ind w:hanging="142" w:left="142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  <w:r>
        <w:rPr>
          <w:rFonts w:ascii="Times New Roman" w:hAnsi="Times New Roman"/>
          <w:sz w:val="28"/>
        </w:rPr>
        <w:t xml:space="preserve"> главы Администрации</w:t>
      </w:r>
    </w:p>
    <w:p w14:paraId="61000000">
      <w:pPr>
        <w:widowControl w:val="0"/>
        <w:spacing w:after="0" w:line="240" w:lineRule="auto"/>
        <w:ind w:hanging="142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                                                                                     С.Н. Терещенко</w:t>
      </w:r>
    </w:p>
    <w:p w14:paraId="62000000">
      <w:pPr>
        <w:ind w:hanging="142" w:left="142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53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нак1"/>
    <w:basedOn w:val="Style_5"/>
    <w:link w:val="Style_1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0_ch" w:type="character">
    <w:name w:val="Знак1"/>
    <w:basedOn w:val="Style_5_ch"/>
    <w:link w:val="Style_10"/>
    <w:rPr>
      <w:rFonts w:ascii="Tahoma" w:hAnsi="Tahoma"/>
      <w:sz w:val="20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5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5"/>
    <w:link w:val="Style_22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6" w:type="paragraph">
    <w:name w:val="toc 5"/>
    <w:next w:val="Style_5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30_ch" w:type="character">
    <w:name w:val="heading 2"/>
    <w:basedOn w:val="Style_5_ch"/>
    <w:link w:val="Style_30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2022-10-12T11:39:43Z</dcterms:modified>
</cp:coreProperties>
</file>