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Par1326"/>
      <w:bookmarkEnd w:id="0"/>
      <w:r>
        <w:rPr>
          <w:rFonts w:ascii="Times New Roman" w:hAnsi="Times New Roman"/>
          <w:sz w:val="28"/>
          <w:szCs w:val="28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исполнении плана  реализации муниципальной программы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природопользование» за отчетный период  6 мес. 2016 г.</w:t>
      </w:r>
    </w:p>
    <w:tbl>
      <w:tblPr>
        <w:tblW w:w="15168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5" w:type="dxa"/>
        </w:tblCellMar>
        <w:tblLook w:val="0000"/>
      </w:tblPr>
      <w:tblGrid>
        <w:gridCol w:w="849"/>
        <w:gridCol w:w="2835"/>
        <w:gridCol w:w="1843"/>
        <w:gridCol w:w="1700"/>
        <w:gridCol w:w="1700"/>
        <w:gridCol w:w="1560"/>
        <w:gridCol w:w="1984"/>
        <w:gridCol w:w="1275"/>
        <w:gridCol w:w="2"/>
        <w:gridCol w:w="1418"/>
      </w:tblGrid>
      <w:tr>
        <w:trPr>
          <w:trHeight w:val="854" w:hRule="atLeast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основного мероприятия,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</w:t>
              <w:br/>
              <w:t xml:space="preserve"> исполнитель  </w:t>
              <w:br/>
              <w:t xml:space="preserve">  (ФИО)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 дата окончания</w:t>
              <w:br/>
              <w:t xml:space="preserve">реализации  </w:t>
              <w:br/>
              <w:t xml:space="preserve">мероприятия, </w:t>
              <w:br/>
              <w:t xml:space="preserve">наступления  </w:t>
              <w:br/>
              <w:t xml:space="preserve">контрольного </w:t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   </w:t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Заключено   </w:t>
              <w:br/>
              <w:t xml:space="preserve">контрактов на отчетную дату, тыс. руб.   </w:t>
              <w:br/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>
        <w:trPr>
          <w:trHeight w:val="720" w:hRule="atLeast"/>
        </w:trPr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2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1  </w:t>
            </w:r>
            <w:r>
              <w:rPr>
                <w:sz w:val="24"/>
                <w:szCs w:val="24"/>
              </w:rPr>
              <w:t xml:space="preserve">  «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Охрана окружающей среды в Куйбышевском сельском поселении»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экологической безопасности и качества окружающей среды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Сокращение количества свалочных очагов и несанкционированных мусорных свалок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1.2.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Сохранение биологического разнообразия и природных памятников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сохранение природных памятников и экосистем,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доли площади, занятой ООПТ регионального и местного значения с 0,2 % до 0,4 %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90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Экологическое просвещение, формирование экологической культуры населения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экологической грамотности населения; вовлечение широких слоев населения в природоохранные мероприятия; обеспечение органов местного самоуправления,  школ и библиотек сельского поселения информацией о состоянии окружающей среды и природных ресурсов района, формирование у подрастающего поколения бережного отношения к природе, активизация детского и молодежного экологического движения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комплексной системы управления отходами и вторичными материальными ресурсами на территории Куйбышевского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материальной базы муниципального образования в сфере обращения с твердыми бытовыми отходами, включая приобретение мусоровозов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несанкционированных свалочных очагов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материальной базы муниципального образования в сфере обращения с твердыми бытовыми отходами, включая приобретение  бункеров (бункеров накопителей)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сокращение несанкционированных свалочных очагов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Куйбышевского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И.И. Хворостов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Исп. Варшавский Н.Н..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8(86348)31-8-58</w:t>
      </w:r>
      <w:r>
        <w:rPr>
          <w:rFonts w:ascii="Times New Roman" w:hAnsi="Times New Roman"/>
          <w:sz w:val="24"/>
          <w:szCs w:val="24"/>
        </w:rPr>
        <w:t xml:space="preserve">   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510" w:right="1134" w:header="0" w:top="28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373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503c2c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LibreOffice/5.0.4.2$Windows_x86 LibreOffice_project/2b9802c1994aa0b7dc6079e128979269cf95bc78</Application>
  <Paragraphs>88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2014-07-03T11:10:00Z</dcterms:created>
  <dc:creator>XTreme</dc:creator>
  <dc:language>ru-RU</dc:language>
  <cp:lastPrinted>2016-07-11T08:55:43Z</cp:lastPrinted>
  <dcterms:modified xsi:type="dcterms:W3CDTF">2016-07-11T08:57:02Z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