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Par1326"/>
      <w:bookmarkEnd w:id="0"/>
      <w:r>
        <w:rPr>
          <w:rFonts w:ascii="Times New Roman" w:hAnsi="Times New Roman"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 6 мес. 2016 г.</w:t>
      </w:r>
    </w:p>
    <w:tbl>
      <w:tblPr>
        <w:tblW w:w="15168" w:type="dxa"/>
        <w:jc w:val="left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5" w:type="dxa"/>
        </w:tblCellMar>
        <w:tblLook w:val="0000"/>
      </w:tblPr>
      <w:tblGrid>
        <w:gridCol w:w="849"/>
        <w:gridCol w:w="2835"/>
        <w:gridCol w:w="1843"/>
        <w:gridCol w:w="1700"/>
        <w:gridCol w:w="1700"/>
        <w:gridCol w:w="1561"/>
        <w:gridCol w:w="1984"/>
        <w:gridCol w:w="1276"/>
        <w:gridCol w:w="1"/>
        <w:gridCol w:w="1417"/>
      </w:tblGrid>
      <w:tr>
        <w:trPr>
          <w:trHeight w:val="854" w:hRule="atLeast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основного мероприятия,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  </w:t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Фактическая дата начала   </w:t>
              <w:br/>
              <w:t xml:space="preserve">реализации </w:t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 дата окончания</w:t>
              <w:br/>
              <w:t xml:space="preserve">реализации  </w:t>
              <w:br/>
              <w:t xml:space="preserve">мероприятия,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</w:t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Заключено   </w:t>
              <w:br/>
              <w:t xml:space="preserve">контрактов на отчетную дату, тыс. руб.   </w:t>
              <w:br/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>
        <w:trPr>
          <w:trHeight w:val="720" w:hRule="atLeast"/>
        </w:trPr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  </w:t>
            </w:r>
            <w:r>
              <w:rPr>
                <w:sz w:val="24"/>
                <w:szCs w:val="24"/>
              </w:rPr>
              <w:t xml:space="preserve">  «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Создание условий для обеспечение качественными коммунальными услугами населения Куйбышевского сельского поселения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Строительство, и реконструкция  объектов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обслуживания;</w:t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0/0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1.2.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газовых сетей, включая  разработку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населения </w:t>
              <w:br/>
              <w:t>Куйбышевского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290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Техническое присоединение энергопринимающих устройств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объектов благоустройства Куйбышевского сельского поселения»</w:t>
            </w:r>
          </w:p>
        </w:tc>
      </w:tr>
      <w:tr>
        <w:trPr>
          <w:trHeight w:val="360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1/99,9</w:t>
            </w:r>
          </w:p>
        </w:tc>
      </w:tr>
      <w:tr>
        <w:trPr/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объектов озеленения и благоустройства.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</w:t>
              <w:br/>
              <w:t>ренности населения Куйбышевского сельского поселения  уровнем коммунального обслуживания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1/99,9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оплата за электроэнергию уличного освещения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3950,3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375,8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3/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2375,8</w:t>
            </w:r>
          </w:p>
        </w:tc>
      </w:tr>
      <w:tr>
        <w:trPr>
          <w:trHeight w:val="269" w:hRule="atLeast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указателей с наименованием улиц и номерами домов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повышение удовлетво-рённости населения Куйбышевского сельского поселения уровнем коммунального обслуживания</w:t>
              <w:b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01.01.2016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0/0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Куйбышевского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И.И. Хворостов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Исп. Варшавский Н.Н..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8(86348)31-8-58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>
      <w:type w:val="nextPage"/>
      <w:pgSz w:orient="landscape" w:w="16838" w:h="11906"/>
      <w:pgMar w:left="510" w:right="1134" w:header="0" w:top="28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73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5373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LibreOffice/5.0.4.2$Windows_x86 LibreOffice_project/2b9802c1994aa0b7dc6079e128979269cf95bc78</Application>
  <Paragraphs>104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2014-07-03T11:10:00Z</dcterms:created>
  <dc:creator>XTreme</dc:creator>
  <dc:language>ru-RU</dc:language>
  <cp:lastPrinted>2016-07-11T14:05:40Z</cp:lastPrinted>
  <dcterms:modified xsi:type="dcterms:W3CDTF">2016-07-11T14:07:10Z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