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2825115</wp:posOffset>
            </wp:positionH>
            <wp:positionV relativeFrom="paragraph">
              <wp:posOffset>22860</wp:posOffset>
            </wp:positionV>
            <wp:extent cx="561975" cy="7239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61975" cy="7239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color w:themeColor="background1" w:val="FFFFFF"/>
          <w:sz w:val="16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 w:firstLine="0" w:left="-540"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10000000">
      <w:pPr>
        <w:rPr>
          <w:b w:val="1"/>
          <w:sz w:val="28"/>
        </w:rPr>
      </w:pPr>
    </w:p>
    <w:p w14:paraId="11000000">
      <w:pPr>
        <w:ind/>
        <w:jc w:val="both"/>
      </w:pPr>
      <w:r>
        <w:rPr>
          <w:b w:val="1"/>
          <w:sz w:val="28"/>
        </w:rPr>
        <w:t>28.12.2023                                               № 91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           с. Куйбышево</w:t>
      </w:r>
    </w:p>
    <w:p w14:paraId="12000000">
      <w:pPr>
        <w:ind/>
        <w:jc w:val="center"/>
        <w:rPr>
          <w:b w:val="1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 Куйбышевского сельского поселения от 28.12.2022 № 98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 w:firstLine="0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</w:t>
      </w:r>
      <w:r>
        <w:rPr>
          <w:sz w:val="28"/>
        </w:rPr>
        <w:t>дении Порядка разработки, реализации и оценки эффективности муниципальных программ Куйбышевского сельского поселения»: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Внести изменения в приложение к распоряжению Администрации Куйбышевского сельского поселения от 28.12.2022 № 98 «Об утверждении плана </w:t>
      </w:r>
      <w:r>
        <w:rPr>
          <w:sz w:val="28"/>
        </w:rPr>
        <w:t>реализации муниципальной программы Куйбышевского сельского поселения «Развитие культуры и туризма» на 2023 год» (далее - план реализации) согласно приложению к настоящему распоряжению.</w:t>
      </w:r>
    </w:p>
    <w:p w14:paraId="1800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2. Старшему </w:t>
      </w:r>
      <w:r>
        <w:rPr>
          <w:spacing w:val="-2"/>
          <w:sz w:val="28"/>
        </w:rPr>
        <w:t>Инспектору по социальным вопросам, культуре, спорту и моло</w:t>
      </w:r>
      <w:r>
        <w:rPr>
          <w:spacing w:val="-2"/>
          <w:sz w:val="28"/>
        </w:rPr>
        <w:t>дежной политике Администрации Куйбышевского сельского поселения Чернявской Г.А.</w:t>
      </w:r>
      <w:r>
        <w:rPr>
          <w:sz w:val="28"/>
        </w:rPr>
        <w:t xml:space="preserve"> обеспечить исполнение плана реализации, настоящего распоряжения.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Настоящее распоряжение вступает в силу со дня его подписания.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4. Контроль за исполнением настоящего распо</w:t>
      </w:r>
      <w:r>
        <w:rPr>
          <w:sz w:val="28"/>
        </w:rPr>
        <w:t xml:space="preserve">ряжения оставляю за собой. 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F000000">
      <w:pPr>
        <w:rPr>
          <w:sz w:val="28"/>
        </w:rPr>
      </w:pPr>
      <w:r>
        <w:rPr>
          <w:sz w:val="28"/>
        </w:rPr>
        <w:t>Куйбышевского</w:t>
      </w:r>
    </w:p>
    <w:p w14:paraId="20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21000000">
      <w:pPr>
        <w:rPr>
          <w:sz w:val="20"/>
        </w:rPr>
      </w:pPr>
    </w:p>
    <w:p w14:paraId="22000000">
      <w:pPr>
        <w:rPr>
          <w:sz w:val="22"/>
        </w:rPr>
      </w:pPr>
      <w:r>
        <w:rPr>
          <w:sz w:val="22"/>
        </w:rPr>
        <w:t>Распоряжение вносит:</w:t>
      </w:r>
    </w:p>
    <w:p w14:paraId="23000000">
      <w:pPr>
        <w:rPr>
          <w:sz w:val="22"/>
        </w:rPr>
      </w:pPr>
      <w:r>
        <w:rPr>
          <w:sz w:val="22"/>
        </w:rPr>
        <w:t>инспектор по социальным вопросам, культуре,</w:t>
      </w:r>
    </w:p>
    <w:p w14:paraId="24000000">
      <w:r>
        <w:rPr>
          <w:sz w:val="22"/>
        </w:rPr>
        <w:t xml:space="preserve">спорту и </w:t>
      </w:r>
      <w:r>
        <w:rPr>
          <w:sz w:val="22"/>
        </w:rPr>
        <w:t>молодежной политике</w:t>
      </w:r>
      <w:r>
        <w:br w:type="page"/>
      </w:r>
    </w:p>
    <w:p w14:paraId="25000000">
      <w:pPr>
        <w:sectPr>
          <w:headerReference r:id="rId1" w:type="default"/>
          <w:pgSz w:h="16838" w:orient="portrait" w:w="11906"/>
          <w:pgMar w:bottom="1134" w:footer="709" w:gutter="0" w:header="709" w:left="1701" w:right="567" w:top="1134"/>
          <w:pgNumType w:start="1"/>
          <w:titlePg/>
        </w:sectPr>
      </w:pPr>
    </w:p>
    <w:p w14:paraId="26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 w:firstLine="0"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14:paraId="28000000">
      <w:pPr>
        <w:ind w:firstLine="0" w:left="10772"/>
        <w:jc w:val="center"/>
        <w:rPr>
          <w:sz w:val="28"/>
        </w:rPr>
      </w:pPr>
      <w:r>
        <w:rPr>
          <w:sz w:val="28"/>
        </w:rPr>
        <w:t>от 28.12.2023 № 91</w:t>
      </w:r>
    </w:p>
    <w:p w14:paraId="29000000">
      <w:pPr>
        <w:ind w:firstLine="0" w:left="10772"/>
        <w:jc w:val="center"/>
        <w:rPr>
          <w:sz w:val="28"/>
        </w:rPr>
      </w:pPr>
    </w:p>
    <w:p w14:paraId="2A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B000000">
      <w:pPr>
        <w:ind w:firstLine="0"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</w:t>
      </w:r>
      <w:r>
        <w:rPr>
          <w:sz w:val="28"/>
        </w:rPr>
        <w:t xml:space="preserve"> сельского поселения</w:t>
      </w:r>
    </w:p>
    <w:p w14:paraId="2C000000">
      <w:pPr>
        <w:ind w:firstLine="0" w:left="10772"/>
        <w:jc w:val="center"/>
        <w:rPr>
          <w:sz w:val="28"/>
        </w:rPr>
      </w:pPr>
      <w:r>
        <w:rPr>
          <w:sz w:val="28"/>
        </w:rPr>
        <w:t>от 28.12.2022 № 98</w:t>
      </w:r>
    </w:p>
    <w:p w14:paraId="2D000000">
      <w:pPr>
        <w:ind w:firstLine="0" w:left="10772"/>
        <w:jc w:val="center"/>
        <w:rPr>
          <w:sz w:val="28"/>
        </w:rPr>
      </w:pPr>
    </w:p>
    <w:p w14:paraId="2E00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</w:t>
      </w:r>
    </w:p>
    <w:p w14:paraId="2F00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 на 2023 год</w:t>
      </w:r>
    </w:p>
    <w:p w14:paraId="30000000">
      <w:pPr>
        <w:ind/>
        <w:jc w:val="center"/>
        <w:outlineLvl w:val="1"/>
        <w:rPr>
          <w:b w:val="1"/>
        </w:rPr>
      </w:pP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31"/>
        <w:gridCol w:w="1685"/>
        <w:gridCol w:w="2387"/>
        <w:gridCol w:w="983"/>
        <w:gridCol w:w="1123"/>
        <w:gridCol w:w="1123"/>
        <w:gridCol w:w="983"/>
        <w:gridCol w:w="1123"/>
        <w:gridCol w:w="1966"/>
      </w:tblGrid>
      <w:tr>
        <w:trPr>
          <w:trHeight w:hRule="atLeast" w:val="617"/>
        </w:trPr>
        <w:tc>
          <w:tcPr>
            <w:tcW w:type="dxa" w:w="32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подпрограммы, основного мероприятия, мероприятия ведомственной целевой программы, </w:t>
            </w:r>
            <w:r>
              <w:rPr>
                <w:sz w:val="22"/>
              </w:rPr>
              <w:t>контрольного события программы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 (ФИО)</w:t>
            </w:r>
          </w:p>
        </w:tc>
        <w:tc>
          <w:tcPr>
            <w:tcW w:type="dxa" w:w="2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 (краткое описание)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реализа</w:t>
            </w:r>
          </w:p>
          <w:p w14:paraId="3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ции</w:t>
            </w:r>
          </w:p>
          <w:p w14:paraId="3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  <w:tc>
          <w:tcPr>
            <w:tcW w:type="dxa" w:w="631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 w:firstLine="0" w:left="-108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Объем расходов на 2023 год (тыс. руб.)</w:t>
            </w:r>
          </w:p>
        </w:tc>
      </w:tr>
      <w:tr>
        <w:trPr>
          <w:trHeight w:hRule="atLeast" w:val="747"/>
        </w:trPr>
        <w:tc>
          <w:tcPr>
            <w:tcW w:type="dxa" w:w="32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Федерал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бюджет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Внебюджетный источник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программа «Развитие культуры и туризма»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обеспечение достижения целей, решение задач и выполнение показателей муниципальной программы Куйбышевского сельского поселения </w:t>
            </w:r>
            <w:r>
              <w:rPr>
                <w:sz w:val="22"/>
              </w:rPr>
              <w:t>«Развитие культуры и туризма».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10771,0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10771,0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 1.</w:t>
            </w:r>
          </w:p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«Развитие культуры»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10771,0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10771,0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36"/>
        </w:trPr>
        <w:tc>
          <w:tcPr>
            <w:tcW w:type="dxa" w:w="32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Развитие культурно-досуговой деятельности.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10651,0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10651,0</w:t>
            </w:r>
            <w:bookmarkStart w:id="1" w:name="_GoBack"/>
            <w:bookmarkEnd w:id="1"/>
          </w:p>
        </w:tc>
        <w:tc>
          <w:tcPr>
            <w:tcW w:type="dxa" w:w="1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607"/>
        </w:trPr>
        <w:tc>
          <w:tcPr>
            <w:tcW w:type="dxa" w:w="32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объектов культурного наследия документацией по государственной охране;</w:t>
            </w:r>
          </w:p>
          <w:p w14:paraId="64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наличие информации о состоянии объектов </w:t>
            </w:r>
            <w:r>
              <w:rPr>
                <w:sz w:val="22"/>
              </w:rPr>
              <w:t>культурного наследия</w:t>
            </w:r>
          </w:p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1.2. Развитие материально-технической базы сферы культуры. (Капитальный ремонт памятников и братских могил:Капитальный ремонт братской могилы №38 общей площадью 0,9 кв.м.,инв.№4155,Ростовская область, </w:t>
            </w:r>
            <w:r>
              <w:rPr>
                <w:sz w:val="22"/>
              </w:rPr>
              <w:t>Куйбышевский район, с. Куйбышево, ул. Октябрьская, дом 54)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сохранности зданий учреждений культуры;</w:t>
            </w:r>
          </w:p>
          <w:p w14:paraId="68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создание безопасных и благоприятных условий нахождения граждан в учреждениях культуры;</w:t>
            </w:r>
          </w:p>
          <w:p w14:paraId="69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улучшение технического состояния зданий </w:t>
            </w:r>
            <w:r>
              <w:rPr>
                <w:sz w:val="22"/>
              </w:rPr>
              <w:t>учреждений культуры;</w:t>
            </w:r>
          </w:p>
          <w:p w14:paraId="6A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 зданий учреждений культуры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1.5.  Субсидия на текущий ремонт кровли Свободненского сельского клуба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создание безопасных и </w:t>
            </w:r>
            <w:r>
              <w:rPr>
                <w:sz w:val="22"/>
              </w:rPr>
              <w:t xml:space="preserve">благоприятных условий нахождения граждан в учреждениях </w:t>
            </w:r>
            <w:r>
              <w:rPr>
                <w:sz w:val="22"/>
              </w:rPr>
              <w:t>культуры;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1.6. Субсидия на реализацию инициативных проектов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  <w:p w14:paraId="7C000000">
            <w:pPr>
              <w:ind w:firstLine="0" w:left="-108"/>
              <w:jc w:val="center"/>
              <w:rPr>
                <w:spacing w:val="-2"/>
                <w:sz w:val="22"/>
              </w:rPr>
            </w:pP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сохранности зданий учреждений культуры;</w:t>
            </w:r>
          </w:p>
          <w:p w14:paraId="7E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создание </w:t>
            </w:r>
            <w:r>
              <w:rPr>
                <w:sz w:val="22"/>
              </w:rPr>
              <w:t>безопасных и благоприятных условий нахождения граждан в учреждениях культуры;</w:t>
            </w:r>
          </w:p>
          <w:p w14:paraId="7F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улучшение технического состояния зданий учреждений культуры;</w:t>
            </w:r>
          </w:p>
          <w:p w14:paraId="80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 зданий учреждений культуры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 w:firstLine="0" w:left="-108"/>
              <w:jc w:val="center"/>
              <w:rPr>
                <w:sz w:val="22"/>
              </w:rPr>
            </w:pPr>
          </w:p>
          <w:p w14:paraId="8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t>1.7.  Разработка проектно-сметной документации на капитальный ремонт памятника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  <w:p w14:paraId="8A000000">
            <w:pPr>
              <w:ind w:firstLine="0" w:left="-108"/>
              <w:jc w:val="center"/>
              <w:rPr>
                <w:spacing w:val="-2"/>
                <w:sz w:val="22"/>
              </w:rPr>
            </w:pP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объектов культурного наследия документацией по государственной охране;</w:t>
            </w:r>
          </w:p>
          <w:p w14:paraId="8C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наличие информации о состоянии объектов культурного наследия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93000000">
      <w:pPr>
        <w:ind w:firstLine="708" w:left="0"/>
        <w:jc w:val="both"/>
      </w:pPr>
    </w:p>
    <w:p w14:paraId="94000000">
      <w:pPr>
        <w:ind w:firstLine="708" w:left="0"/>
        <w:jc w:val="both"/>
      </w:pPr>
    </w:p>
    <w:p w14:paraId="95000000">
      <w:pPr>
        <w:ind w:firstLine="708" w:left="0"/>
        <w:jc w:val="both"/>
      </w:pPr>
    </w:p>
    <w:p w14:paraId="96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97000000">
      <w:pPr>
        <w:tabs>
          <w:tab w:leader="none" w:pos="7080" w:val="left"/>
        </w:tabs>
        <w:ind/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С.Л. Слепченко</w:t>
      </w:r>
    </w:p>
    <w:sectPr>
      <w:headerReference r:id="rId2" w:type="default"/>
      <w:pgSz w:h="11906" w:orient="landscape" w:w="16838"/>
      <w:pgMar w:bottom="567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Обычный1"/>
    <w:link w:val="Style_3_ch"/>
    <w:rPr>
      <w:sz w:val="24"/>
    </w:rPr>
  </w:style>
  <w:style w:styleId="Style_3_ch" w:type="character">
    <w:name w:val="Обычный1"/>
    <w:link w:val="Style_3"/>
    <w:rPr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сновной шрифт абзаца2"/>
    <w:link w:val="Style_8_ch"/>
  </w:style>
  <w:style w:styleId="Style_8_ch" w:type="character">
    <w:name w:val="Основной шрифт абзаца2"/>
    <w:link w:val="Style_8"/>
  </w:style>
  <w:style w:styleId="Style_9" w:type="paragraph">
    <w:name w:val="toc 6"/>
    <w:next w:val="Style_2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шрифт абзаца4"/>
    <w:link w:val="Style_12_ch"/>
  </w:style>
  <w:style w:styleId="Style_12_ch" w:type="character">
    <w:name w:val="Основной шрифт абзаца4"/>
    <w:link w:val="Style_12"/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Гиперссылка4"/>
    <w:link w:val="Style_14_ch"/>
    <w:rPr>
      <w:color w:val="0000FF"/>
      <w:u w:val="single"/>
    </w:rPr>
  </w:style>
  <w:style w:styleId="Style_14_ch" w:type="character">
    <w:name w:val="Гиперссылка4"/>
    <w:link w:val="Style_14"/>
    <w:rPr>
      <w:color w:val="0000FF"/>
      <w:u w:val="single"/>
    </w:rPr>
  </w:style>
  <w:style w:styleId="Style_15" w:type="paragraph">
    <w:name w:val="Основной шрифт абзаца3"/>
    <w:link w:val="Style_15_ch"/>
  </w:style>
  <w:style w:styleId="Style_15_ch" w:type="character">
    <w:name w:val="Основной шрифт абзаца3"/>
    <w:link w:val="Style_15"/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toc 3"/>
    <w:next w:val="Style_2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бычный1"/>
    <w:link w:val="Style_19_ch"/>
    <w:rPr>
      <w:sz w:val="24"/>
    </w:rPr>
  </w:style>
  <w:style w:styleId="Style_19_ch" w:type="character">
    <w:name w:val="Обычный1"/>
    <w:link w:val="Style_19"/>
    <w:rPr>
      <w:sz w:val="24"/>
    </w:rPr>
  </w:style>
  <w:style w:styleId="Style_20" w:type="paragraph">
    <w:name w:val="Обычный1"/>
    <w:link w:val="Style_20_ch"/>
    <w:rPr>
      <w:sz w:val="24"/>
    </w:rPr>
  </w:style>
  <w:style w:styleId="Style_20_ch" w:type="character">
    <w:name w:val="Обычный1"/>
    <w:link w:val="Style_20"/>
    <w:rPr>
      <w:sz w:val="24"/>
    </w:rPr>
  </w:style>
  <w:style w:styleId="Style_21" w:type="paragraph">
    <w:name w:val="heading 5"/>
    <w:next w:val="Style_2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2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Гиперссылка3"/>
    <w:link w:val="Style_25_ch"/>
    <w:rPr>
      <w:color w:val="0000FF"/>
      <w:u w:val="single"/>
    </w:rPr>
  </w:style>
  <w:style w:styleId="Style_25_ch" w:type="character">
    <w:name w:val="Гиперссылка3"/>
    <w:link w:val="Style_25"/>
    <w:rPr>
      <w:color w:val="0000FF"/>
      <w:u w:val="single"/>
    </w:rPr>
  </w:style>
  <w:style w:styleId="Style_26" w:type="paragraph">
    <w:name w:val="toc 1"/>
    <w:next w:val="Style_2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toc 9"/>
    <w:next w:val="Style_2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Обычный1"/>
    <w:link w:val="Style_29_ch"/>
    <w:rPr>
      <w:sz w:val="24"/>
    </w:rPr>
  </w:style>
  <w:style w:styleId="Style_29_ch" w:type="character">
    <w:name w:val="Обычный1"/>
    <w:link w:val="Style_29"/>
    <w:rPr>
      <w:sz w:val="24"/>
    </w:rPr>
  </w:style>
  <w:style w:styleId="Style_30" w:type="paragraph">
    <w:name w:val="Гиперссылка3"/>
    <w:link w:val="Style_30_ch"/>
    <w:rPr>
      <w:color w:val="0000FF"/>
      <w:u w:val="single"/>
    </w:rPr>
  </w:style>
  <w:style w:styleId="Style_30_ch" w:type="character">
    <w:name w:val="Гиперссылка3"/>
    <w:link w:val="Style_30"/>
    <w:rPr>
      <w:color w:val="0000FF"/>
      <w:u w:val="single"/>
    </w:rPr>
  </w:style>
  <w:style w:styleId="Style_31" w:type="paragraph">
    <w:name w:val="toc 8"/>
    <w:next w:val="Style_2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Обычный1"/>
    <w:link w:val="Style_33_ch"/>
    <w:rPr>
      <w:sz w:val="24"/>
    </w:rPr>
  </w:style>
  <w:style w:styleId="Style_33_ch" w:type="character">
    <w:name w:val="Обычный1"/>
    <w:link w:val="Style_33"/>
    <w:rPr>
      <w:sz w:val="24"/>
    </w:rPr>
  </w:style>
  <w:style w:styleId="Style_34" w:type="paragraph">
    <w:name w:val="toc 5"/>
    <w:next w:val="Style_2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Balloon Text"/>
    <w:basedOn w:val="Style_2"/>
    <w:link w:val="Style_35_ch"/>
    <w:rPr>
      <w:rFonts w:ascii="Tahoma" w:hAnsi="Tahoma"/>
      <w:sz w:val="16"/>
    </w:rPr>
  </w:style>
  <w:style w:styleId="Style_35_ch" w:type="character">
    <w:name w:val="Balloon Text"/>
    <w:basedOn w:val="Style_2_ch"/>
    <w:link w:val="Style_35"/>
    <w:rPr>
      <w:rFonts w:ascii="Tahoma" w:hAnsi="Tahoma"/>
      <w:sz w:val="16"/>
    </w:rPr>
  </w:style>
  <w:style w:styleId="Style_36" w:type="paragraph">
    <w:name w:val="Subtitle"/>
    <w:next w:val="Style_2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2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2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Гиперссылка2"/>
    <w:link w:val="Style_39_ch"/>
    <w:rPr>
      <w:color w:val="0000FF"/>
      <w:u w:val="single"/>
    </w:rPr>
  </w:style>
  <w:style w:styleId="Style_39_ch" w:type="character">
    <w:name w:val="Гиперссылка2"/>
    <w:link w:val="Style_39"/>
    <w:rPr>
      <w:color w:val="0000FF"/>
      <w:u w:val="single"/>
    </w:rPr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heading 2"/>
    <w:next w:val="Style_2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2023-12-28T11:47:10Z</dcterms:modified>
</cp:coreProperties>
</file>