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ind w:firstLine="0" w:left="0"/>
        <w:rPr>
          <w:sz w:val="28"/>
        </w:rPr>
      </w:pPr>
      <w:bookmarkStart w:id="1" w:name="_GoBack"/>
      <w:bookmarkEnd w:id="1"/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E000000">
      <w:pPr>
        <w:ind/>
        <w:jc w:val="right"/>
        <w:rPr>
          <w:b w:val="1"/>
          <w:sz w:val="28"/>
        </w:rPr>
      </w:pPr>
    </w:p>
    <w:p w14:paraId="0F000000">
      <w:pPr>
        <w:pStyle w:val="Style_2"/>
        <w:ind w:firstLine="0" w:left="0"/>
        <w:rPr>
          <w:sz w:val="28"/>
        </w:rPr>
      </w:pPr>
      <w:r>
        <w:rPr>
          <w:sz w:val="28"/>
        </w:rPr>
        <w:t>РАСПОРЯЖЕНИЕ</w:t>
      </w:r>
    </w:p>
    <w:p w14:paraId="10000000">
      <w:pPr>
        <w:ind/>
        <w:jc w:val="right"/>
        <w:rPr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</w:t>
      </w:r>
      <w:r>
        <w:rPr>
          <w:b w:val="1"/>
          <w:sz w:val="28"/>
        </w:rPr>
        <w:t xml:space="preserve">.12.2022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91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    </w:t>
      </w:r>
      <w:r>
        <w:rPr>
          <w:b w:val="1"/>
          <w:sz w:val="28"/>
        </w:rPr>
        <w:t>с. Куйбышево</w:t>
      </w:r>
    </w:p>
    <w:p w14:paraId="12000000">
      <w:pPr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распоряжение Администрации Куйбышевского сельского поселения от 30.12.2021 № 92</w:t>
      </w:r>
    </w:p>
    <w:p w14:paraId="14000000">
      <w:pPr>
        <w:ind/>
        <w:jc w:val="center"/>
        <w:rPr>
          <w:sz w:val="28"/>
        </w:rPr>
      </w:pPr>
    </w:p>
    <w:p w14:paraId="15000000">
      <w:pPr>
        <w:pStyle w:val="Style_3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</w:t>
      </w:r>
      <w:r>
        <w:rPr>
          <w:sz w:val="28"/>
        </w:rPr>
        <w:t>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 w:firstLine="567" w:left="0"/>
        <w:jc w:val="both"/>
        <w:rPr>
          <w:b w:val="1"/>
          <w:sz w:val="28"/>
        </w:rPr>
      </w:pPr>
      <w:r>
        <w:rPr>
          <w:sz w:val="28"/>
        </w:rPr>
        <w:t>1. Внести изменения в распоряжение Администрации Куйбышевского сельского поселения от 3</w:t>
      </w:r>
      <w:r>
        <w:rPr>
          <w:sz w:val="28"/>
        </w:rPr>
        <w:t>0.12.2021 № 92 «Об ут</w:t>
      </w:r>
      <w:r>
        <w:rPr>
          <w:sz w:val="28"/>
        </w:rPr>
        <w:t>верждении  плана реализации муниципальной программы Куйбышевского сельского поселения «Обеспечение общественного порядка и профилактика правонарушений»на 2022 год</w:t>
      </w:r>
      <w:r>
        <w:rPr>
          <w:sz w:val="28"/>
        </w:rPr>
        <w:t xml:space="preserve"> согласно приложению к настоящему распоряжению.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2.</w:t>
      </w:r>
      <w:r>
        <w:rPr>
          <w:spacing w:val="-2"/>
          <w:sz w:val="28"/>
        </w:rPr>
        <w:t xml:space="preserve"> Ведущему специалисту по юридическим и кадро</w:t>
      </w:r>
      <w:r>
        <w:rPr>
          <w:spacing w:val="-2"/>
          <w:sz w:val="28"/>
        </w:rPr>
        <w:t>вым вопросам Администрации Куйбышевского сельского поселения обеспечить исполнение плана реализации указанного в пункте 1 настоящего распоряжения.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4. Контроль за исполнением настоящего распор</w:t>
      </w:r>
      <w:r>
        <w:rPr>
          <w:sz w:val="28"/>
        </w:rPr>
        <w:t xml:space="preserve">яжения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20000000">
      <w:pPr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С.Л.Слепченко</w:t>
      </w:r>
    </w:p>
    <w:p w14:paraId="21000000">
      <w:pPr>
        <w:widowControl w:val="1"/>
        <w:ind/>
        <w:rPr>
          <w:sz w:val="28"/>
        </w:rPr>
      </w:pPr>
    </w:p>
    <w:p w14:paraId="22000000">
      <w:pPr>
        <w:widowControl w:val="1"/>
        <w:ind/>
        <w:rPr>
          <w:sz w:val="28"/>
        </w:rPr>
      </w:pPr>
    </w:p>
    <w:p w14:paraId="23000000">
      <w:pPr>
        <w:widowControl w:val="1"/>
        <w:ind/>
        <w:rPr>
          <w:sz w:val="28"/>
        </w:rPr>
      </w:pPr>
    </w:p>
    <w:p w14:paraId="24000000">
      <w:pPr>
        <w:widowControl w:val="1"/>
        <w:ind/>
        <w:rPr>
          <w:sz w:val="28"/>
        </w:rPr>
      </w:pPr>
    </w:p>
    <w:p w14:paraId="25000000">
      <w:pPr>
        <w:rPr>
          <w:sz w:val="18"/>
        </w:rPr>
      </w:pPr>
      <w:r>
        <w:rPr>
          <w:sz w:val="18"/>
        </w:rPr>
        <w:t>Распоряжение вносит:</w:t>
      </w:r>
    </w:p>
    <w:p w14:paraId="26000000">
      <w:pPr>
        <w:rPr>
          <w:sz w:val="18"/>
        </w:rPr>
      </w:pPr>
      <w:r>
        <w:rPr>
          <w:sz w:val="18"/>
        </w:rPr>
        <w:t xml:space="preserve">ведущий специалист по </w:t>
      </w:r>
    </w:p>
    <w:p w14:paraId="27000000">
      <w:pPr>
        <w:rPr>
          <w:sz w:val="18"/>
        </w:rPr>
      </w:pPr>
      <w:r>
        <w:rPr>
          <w:sz w:val="18"/>
        </w:rPr>
        <w:t>юридическим и кадровым вопросам</w:t>
      </w:r>
    </w:p>
    <w:p w14:paraId="28000000">
      <w:pPr>
        <w:sectPr>
          <w:footerReference r:id="rId1" w:type="first"/>
          <w:foot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29000000">
      <w:pPr>
        <w:ind w:firstLine="0" w:left="9639"/>
        <w:rPr>
          <w:sz w:val="24"/>
        </w:rPr>
      </w:pPr>
    </w:p>
    <w:p w14:paraId="2A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C000000">
      <w:pPr>
        <w:ind w:firstLine="0" w:left="10772"/>
        <w:jc w:val="center"/>
        <w:rPr>
          <w:sz w:val="28"/>
        </w:rPr>
      </w:pPr>
      <w:r>
        <w:rPr>
          <w:sz w:val="28"/>
        </w:rPr>
        <w:t>от  27.12.2022 № 91</w:t>
      </w:r>
    </w:p>
    <w:p w14:paraId="2D000000">
      <w:pPr>
        <w:ind w:firstLine="0" w:left="10772"/>
        <w:jc w:val="center"/>
        <w:rPr>
          <w:sz w:val="28"/>
        </w:rPr>
      </w:pPr>
    </w:p>
    <w:p w14:paraId="2E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F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0000000">
      <w:pPr>
        <w:ind w:firstLine="0" w:left="10772"/>
        <w:jc w:val="center"/>
        <w:rPr>
          <w:sz w:val="28"/>
        </w:rPr>
      </w:pPr>
      <w:r>
        <w:rPr>
          <w:sz w:val="28"/>
        </w:rPr>
        <w:t>от 30.12.2021 № 92</w:t>
      </w: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Куйбышевского сельского поселения Куйбышевского сельского поселения «Обеспечение общественного порядка и профилактика правонарушений»на 2022 год</w:t>
      </w:r>
    </w:p>
    <w:p w14:paraId="34000000">
      <w:pPr>
        <w:ind/>
        <w:jc w:val="center"/>
        <w:rPr>
          <w:b w:val="1"/>
          <w:sz w:val="32"/>
        </w:rPr>
      </w:pPr>
    </w:p>
    <w:tbl>
      <w:tblPr>
        <w:tblStyle w:val="Style_4"/>
        <w:tblInd w:type="dxa" w:w="-25"/>
        <w:tblLayout w:type="fixed"/>
      </w:tblPr>
      <w:tblGrid>
        <w:gridCol w:w="3177"/>
        <w:gridCol w:w="1839"/>
        <w:gridCol w:w="3349"/>
        <w:gridCol w:w="1255"/>
        <w:gridCol w:w="698"/>
        <w:gridCol w:w="1116"/>
        <w:gridCol w:w="1396"/>
        <w:gridCol w:w="977"/>
        <w:gridCol w:w="1213"/>
      </w:tblGrid>
      <w:tr>
        <w:trPr>
          <w:trHeight w:hRule="atLeast" w:val="303"/>
        </w:trPr>
        <w:tc>
          <w:tcPr>
            <w:tcW w:type="dxa" w:w="3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подпрограммы, основного мероприятия, мероприятия ведомственной</w:t>
            </w:r>
            <w:r>
              <w:rPr>
                <w:sz w:val="24"/>
              </w:rPr>
              <w:t xml:space="preserve"> целевой программы, контрольного события программы</w:t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type="dxa" w:w="3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39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type="dxa" w:w="540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2022 год (тыс. руб.)</w:t>
            </w:r>
          </w:p>
        </w:tc>
      </w:tr>
      <w:tr>
        <w:trPr>
          <w:trHeight w:hRule="atLeast" w:val="1271"/>
        </w:trPr>
        <w:tc>
          <w:tcPr>
            <w:tcW w:type="dxa" w:w="3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 w:firstLine="0" w:left="-108" w:right="-1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Внебюджетный источник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 w:firstLine="0" w:left="-83" w:right="-108"/>
              <w:jc w:val="center"/>
              <w:rPr>
                <w:sz w:val="24"/>
              </w:rPr>
            </w:pP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 w:firstLine="0" w:left="-108"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Информационно-пропагандистское </w:t>
            </w:r>
            <w:r>
              <w:rPr>
                <w:sz w:val="24"/>
              </w:rPr>
              <w:t>противодействие экстремизму и терроризму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</w:t>
            </w:r>
            <w:r>
              <w:rPr>
                <w:spacing w:val="-2"/>
                <w:sz w:val="24"/>
              </w:rPr>
              <w:t xml:space="preserve">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гармонизация межэтнических и межкультурных отношений, формирование толерантного </w:t>
            </w:r>
            <w:r>
              <w:rPr>
                <w:sz w:val="24"/>
              </w:rPr>
              <w:t xml:space="preserve">сознания и поведения студентов, </w:t>
            </w:r>
            <w:r>
              <w:rPr>
                <w:sz w:val="24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Ведущий специалист по юридическим и кадровым вопросам Администрации Куйбышевского сельского поселения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</w:t>
            </w:r>
            <w:r>
              <w:rPr>
                <w:sz w:val="24"/>
              </w:rPr>
              <w:t>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Организация добровольной сдачи гражданами незаконно хранящихся огнестрельного оружия, боеприпасов, взрывчатых </w:t>
            </w:r>
            <w:r>
              <w:rPr>
                <w:sz w:val="24"/>
              </w:rPr>
              <w:t>веществ и взрывных устройств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 вознаграждение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количества зарегистрированных преступлений с применением огнестрельного оружия, взрывчатых </w:t>
            </w:r>
            <w:r>
              <w:rPr>
                <w:sz w:val="24"/>
              </w:rPr>
              <w:t>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</w:t>
            </w:r>
            <w:r>
              <w:rPr>
                <w:sz w:val="24"/>
              </w:rPr>
              <w:t>оеприпасов, взрывчатых веществ и взрывных устройств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</w:p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Противодействие коррупции в Куйбышевском сельском </w:t>
            </w:r>
            <w:r>
              <w:rPr>
                <w:sz w:val="24"/>
              </w:rPr>
              <w:t>поселении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 w:firstLine="0" w:left="-83" w:right="-108"/>
              <w:jc w:val="center"/>
              <w:rPr>
                <w:sz w:val="24"/>
              </w:rPr>
            </w:pP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 w:firstLine="0" w:left="-108" w:right="-108"/>
              <w:jc w:val="center"/>
              <w:rPr>
                <w:sz w:val="24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7C000000">
            <w:pPr>
              <w:ind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совершенствование правового </w:t>
            </w:r>
            <w:r>
              <w:rPr>
                <w:sz w:val="24"/>
              </w:rPr>
              <w:t>регулирования в сфере противодействия коррупции</w:t>
            </w:r>
          </w:p>
          <w:p w14:paraId="7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приведение нормативных правовых актов Администрации Куйбышевского сельского поселения в соответствие с </w:t>
            </w:r>
            <w:r>
              <w:rPr>
                <w:sz w:val="24"/>
              </w:rPr>
              <w:t>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Повышение эффективности механизмов выявления, предотвращения и урегулирования конфликта интересов на </w:t>
            </w:r>
            <w:r>
              <w:rPr>
                <w:sz w:val="24"/>
              </w:rPr>
              <w:t>муниципальной службе на территории Куйбышевского сельского поселения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Предотвращение коррупционных правонарушений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</w:t>
            </w:r>
            <w:r>
              <w:rPr>
                <w:sz w:val="24"/>
              </w:rPr>
              <w:t>а) антикоррупционных норм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</w:t>
            </w:r>
            <w:r>
              <w:rPr>
                <w:sz w:val="24"/>
              </w:rPr>
              <w:t xml:space="preserve"> ответственности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2.4. Осуществление антикоррупционной экспертизы нормативных </w:t>
            </w:r>
            <w:r>
              <w:rPr>
                <w:sz w:val="24"/>
              </w:rPr>
              <w:t xml:space="preserve">правовых актов Администрации Куйбышевского сельского поселения и их проектов с учетом мониторинга соответствующей </w:t>
            </w:r>
            <w:r>
              <w:rPr>
                <w:sz w:val="24"/>
              </w:rPr>
              <w:t>правоприменительной практики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</w:t>
            </w:r>
            <w:r>
              <w:rPr>
                <w:spacing w:val="-2"/>
                <w:sz w:val="24"/>
              </w:rPr>
              <w:t xml:space="preserve">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в нормативных правовых актах Администрации Куйбышевского района и их </w:t>
            </w:r>
            <w:r>
              <w:rPr>
                <w:sz w:val="24"/>
              </w:rPr>
              <w:t xml:space="preserve">проектах </w:t>
            </w:r>
            <w:r>
              <w:rPr>
                <w:rStyle w:val="Style_5_ch"/>
                <w:sz w:val="24"/>
              </w:rPr>
              <w:t xml:space="preserve">коррупциогенных факторов и их </w:t>
            </w:r>
            <w:r>
              <w:rPr>
                <w:rStyle w:val="Style_5_ch"/>
                <w:sz w:val="24"/>
              </w:rPr>
              <w:t>исключение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</w:t>
            </w:r>
            <w:r>
              <w:rPr>
                <w:sz w:val="24"/>
              </w:rPr>
              <w:t>ого самоуправления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</w:t>
            </w:r>
            <w:r>
              <w:rPr>
                <w:spacing w:val="-2"/>
                <w:sz w:val="24"/>
              </w:rPr>
              <w:t xml:space="preserve">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</w:t>
            </w:r>
            <w:r>
              <w:rPr>
                <w:sz w:val="24"/>
              </w:rPr>
              <w:t xml:space="preserve">ормации о фактах коррупции в структурных и отраслевых </w:t>
            </w:r>
            <w:r>
              <w:rPr>
                <w:sz w:val="24"/>
              </w:rPr>
              <w:t>подразделениях Администрации Куйбышевского района и оперативное реагирование на неё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2.8. Активизация работы по антикоррупционному образованию и </w:t>
            </w:r>
            <w:r>
              <w:rPr>
                <w:sz w:val="24"/>
              </w:rPr>
              <w:t>просвещению должностных лиц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антикоррупционного поведения должностных лиц, обеспечение соблюдения ими запретов, ограничений и требований, </w:t>
            </w:r>
            <w:r>
              <w:rPr>
                <w:sz w:val="24"/>
              </w:rPr>
              <w:t>установленных в целях противодействия коррупции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 w:firstLine="0" w:left="-83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spacing w:line="228" w:lineRule="auto"/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3 «Комплексные меры </w:t>
            </w:r>
            <w:r>
              <w:rPr>
                <w:sz w:val="24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 w:firstLine="0" w:left="-83" w:right="-108"/>
              <w:jc w:val="center"/>
              <w:rPr>
                <w:spacing w:val="-2"/>
                <w:sz w:val="24"/>
              </w:rPr>
            </w:pP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 w:firstLine="0" w:left="-108" w:right="-108"/>
              <w:jc w:val="center"/>
              <w:rPr>
                <w:sz w:val="24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Проведение мониторинга наркоситуации и работы по организации профилактики наркомании в Куйбышевском сельском </w:t>
            </w:r>
            <w:r>
              <w:rPr>
                <w:sz w:val="24"/>
              </w:rPr>
              <w:t>поселении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</w:t>
            </w:r>
            <w:r>
              <w:rPr>
                <w:spacing w:val="-2"/>
                <w:sz w:val="24"/>
              </w:rPr>
              <w:t xml:space="preserve">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</w:t>
            </w:r>
            <w:r>
              <w:rPr>
                <w:sz w:val="24"/>
              </w:rPr>
              <w:t>средств, психотропных веществ и профилактики наркомании</w:t>
            </w: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основе периодического уточнения реальной </w:t>
            </w:r>
            <w:r>
              <w:rPr>
                <w:sz w:val="24"/>
              </w:rPr>
              <w:t>наркоситуации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</w:t>
            </w:r>
            <w:r>
              <w:rPr>
                <w:sz w:val="24"/>
              </w:rPr>
              <w:t>семейных отношений, формирования здорового образа жизни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  <w:r>
              <w:rPr>
                <w:sz w:val="24"/>
              </w:rPr>
              <w:t>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</w:t>
            </w:r>
            <w:r>
              <w:rPr>
                <w:sz w:val="24"/>
              </w:rPr>
              <w:t xml:space="preserve"> обороту </w:t>
            </w:r>
            <w:r>
              <w:rPr>
                <w:sz w:val="24"/>
              </w:rPr>
              <w:t>наркотиков, принимаемых ими мерах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3.5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мотивирование жителей Куйбышевского сельского поселения на участие в профилактике наркомании, на отказ от потребления наркотиков;</w:t>
            </w:r>
          </w:p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популяризация здорового</w:t>
            </w:r>
            <w:r>
              <w:rPr>
                <w:sz w:val="24"/>
              </w:rPr>
              <w:t xml:space="preserve"> образа жизни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spacing w:line="260" w:lineRule="exact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Ведущий специалист по юридическим и кадровым вопр</w:t>
            </w:r>
            <w:r>
              <w:rPr>
                <w:spacing w:val="-2"/>
                <w:sz w:val="24"/>
              </w:rPr>
              <w:t xml:space="preserve">осам 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spacing w:line="26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3.9. Организация и проведение мероприятий по </w:t>
            </w:r>
            <w:r>
              <w:rPr>
                <w:sz w:val="24"/>
              </w:rPr>
              <w:t xml:space="preserve">предупреждению, выявлению и пресечению </w:t>
            </w:r>
            <w:r>
              <w:rPr>
                <w:sz w:val="24"/>
              </w:rPr>
              <w:t>возможного вовлечения несовершеннолетних в потребление психоактивных веществ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Ведущий специалист по юридическим и кадровым вопросам </w:t>
            </w:r>
            <w:r>
              <w:rPr>
                <w:spacing w:val="-2"/>
                <w:sz w:val="24"/>
              </w:rPr>
              <w:t xml:space="preserve">Администрации Куйбышевского сельского поселения 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устранение ситуаций, которые могут </w:t>
            </w:r>
            <w:r>
              <w:rPr>
                <w:rFonts w:ascii="Times New Roman" w:hAnsi="Times New Roman"/>
                <w:sz w:val="24"/>
              </w:rPr>
              <w:t xml:space="preserve">привести несовершеннолетних к совершению правонарушений, связанных с незаконным </w:t>
            </w:r>
            <w:r>
              <w:rPr>
                <w:rFonts w:ascii="Times New Roman" w:hAnsi="Times New Roman"/>
                <w:sz w:val="24"/>
              </w:rPr>
              <w:t>оборотом наркотиков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21010000">
      <w:pPr>
        <w:ind w:firstLine="720" w:left="0"/>
        <w:jc w:val="both"/>
        <w:rPr>
          <w:sz w:val="24"/>
        </w:rPr>
      </w:pPr>
    </w:p>
    <w:p w14:paraId="22010000">
      <w:pPr>
        <w:ind w:firstLine="720" w:left="0"/>
        <w:jc w:val="both"/>
        <w:rPr>
          <w:sz w:val="24"/>
        </w:rPr>
      </w:pPr>
    </w:p>
    <w:p w14:paraId="23010000">
      <w:pPr>
        <w:ind w:firstLine="720" w:left="0"/>
        <w:jc w:val="both"/>
        <w:rPr>
          <w:sz w:val="24"/>
        </w:rPr>
      </w:pPr>
    </w:p>
    <w:p w14:paraId="24010000">
      <w:pPr>
        <w:ind/>
        <w:jc w:val="both"/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</w:t>
      </w:r>
      <w:r>
        <w:rPr>
          <w:sz w:val="28"/>
        </w:rPr>
        <w:t>С.Л.Слепченко</w:t>
      </w:r>
    </w:p>
    <w:sectPr>
      <w:footerReference r:id="rId3" w:type="default"/>
      <w:pgSz w:h="11906" w:orient="landscape" w:w="16838"/>
      <w:pgMar w:bottom="426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Указатель1"/>
    <w:basedOn w:val="Style_7"/>
    <w:link w:val="Style_9_ch"/>
  </w:style>
  <w:style w:styleId="Style_9_ch" w:type="character">
    <w:name w:val="Указатель1"/>
    <w:basedOn w:val="Style_7_ch"/>
    <w:link w:val="Style_9"/>
  </w:style>
  <w:style w:styleId="Style_10" w:type="paragraph">
    <w:name w:val="WW8Num1z3"/>
    <w:link w:val="Style_10_ch"/>
  </w:style>
  <w:style w:styleId="Style_10_ch" w:type="character">
    <w:name w:val="WW8Num1z3"/>
    <w:link w:val="Style_10"/>
  </w:style>
  <w:style w:styleId="Style_11" w:type="paragraph">
    <w:name w:val="Style16"/>
    <w:basedOn w:val="Style_7"/>
    <w:link w:val="Style_11_ch"/>
    <w:pPr>
      <w:spacing w:line="312" w:lineRule="exact"/>
      <w:ind/>
      <w:jc w:val="center"/>
    </w:pPr>
    <w:rPr>
      <w:sz w:val="24"/>
    </w:rPr>
  </w:style>
  <w:style w:styleId="Style_11_ch" w:type="character">
    <w:name w:val="Style16"/>
    <w:basedOn w:val="Style_7_ch"/>
    <w:link w:val="Style_11"/>
    <w:rPr>
      <w:sz w:val="24"/>
    </w:rPr>
  </w:style>
  <w:style w:styleId="Style_12" w:type="paragraph">
    <w:name w:val="toc 4"/>
    <w:next w:val="Style_7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"/>
    <w:basedOn w:val="Style_7"/>
    <w:link w:val="Style_13_ch"/>
    <w:pPr>
      <w:widowControl w:val="1"/>
      <w:spacing w:after="120"/>
      <w:ind/>
    </w:pPr>
    <w:rPr>
      <w:sz w:val="24"/>
    </w:rPr>
  </w:style>
  <w:style w:styleId="Style_13_ch" w:type="character">
    <w:name w:val="Body Text"/>
    <w:basedOn w:val="Style_7_ch"/>
    <w:link w:val="Style_13"/>
    <w:rPr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7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7_ch"/>
    <w:link w:val="Style_18"/>
    <w:rPr>
      <w:rFonts w:ascii="Cambria" w:hAnsi="Cambria"/>
      <w:b w:val="1"/>
      <w:sz w:val="26"/>
    </w:rPr>
  </w:style>
  <w:style w:styleId="Style_19" w:type="paragraph">
    <w:name w:val="Style14"/>
    <w:basedOn w:val="Style_7"/>
    <w:link w:val="Style_19_ch"/>
    <w:pPr>
      <w:spacing w:line="326" w:lineRule="exact"/>
      <w:ind/>
    </w:pPr>
    <w:rPr>
      <w:sz w:val="24"/>
    </w:rPr>
  </w:style>
  <w:style w:styleId="Style_19_ch" w:type="character">
    <w:name w:val="Style14"/>
    <w:basedOn w:val="Style_7_ch"/>
    <w:link w:val="Style_19"/>
    <w:rPr>
      <w:sz w:val="24"/>
    </w:rPr>
  </w:style>
  <w:style w:styleId="Style_20" w:type="paragraph">
    <w:name w:val="Знак"/>
    <w:basedOn w:val="Style_7"/>
    <w:link w:val="Style_20_ch"/>
    <w:pPr>
      <w:widowControl w:val="1"/>
      <w:spacing w:after="280" w:before="280"/>
      <w:ind/>
    </w:pPr>
    <w:rPr>
      <w:rFonts w:ascii="Tahoma" w:hAnsi="Tahoma"/>
    </w:rPr>
  </w:style>
  <w:style w:styleId="Style_20_ch" w:type="character">
    <w:name w:val="Знак"/>
    <w:basedOn w:val="Style_7_ch"/>
    <w:link w:val="Style_20"/>
    <w:rPr>
      <w:rFonts w:ascii="Tahoma" w:hAnsi="Tahoma"/>
    </w:rPr>
  </w:style>
  <w:style w:styleId="Style_21" w:type="paragraph">
    <w:name w:val="Номер страницы1"/>
    <w:basedOn w:val="Style_22"/>
    <w:link w:val="Style_21_ch"/>
  </w:style>
  <w:style w:styleId="Style_21_ch" w:type="character">
    <w:name w:val="Номер страницы1"/>
    <w:basedOn w:val="Style_22_ch"/>
    <w:link w:val="Style_21"/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Знак Знак Знак Знак Знак Знак Знак"/>
    <w:basedOn w:val="Style_7"/>
    <w:link w:val="Style_25_ch"/>
    <w:pPr>
      <w:widowControl w:val="1"/>
      <w:spacing w:after="280" w:before="280"/>
      <w:ind/>
    </w:pPr>
    <w:rPr>
      <w:rFonts w:ascii="Tahoma" w:hAnsi="Tahoma"/>
    </w:rPr>
  </w:style>
  <w:style w:styleId="Style_25_ch" w:type="character">
    <w:name w:val="Знак Знак Знак Знак Знак Знак Знак"/>
    <w:basedOn w:val="Style_7_ch"/>
    <w:link w:val="Style_25"/>
    <w:rPr>
      <w:rFonts w:ascii="Tahoma" w:hAnsi="Tahoma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6" w:type="paragraph">
    <w:name w:val="Текст выноски Знак"/>
    <w:link w:val="Style_26_ch"/>
    <w:rPr>
      <w:rFonts w:ascii="Tahoma" w:hAnsi="Tahoma"/>
      <w:sz w:val="16"/>
    </w:rPr>
  </w:style>
  <w:style w:styleId="Style_26_ch" w:type="character">
    <w:name w:val="Текст выноски Знак"/>
    <w:link w:val="Style_26"/>
    <w:rPr>
      <w:rFonts w:ascii="Tahoma" w:hAnsi="Tahoma"/>
      <w:sz w:val="16"/>
    </w:rPr>
  </w:style>
  <w:style w:styleId="Style_3" w:type="paragraph">
    <w:name w:val="ConsPlusNormal"/>
    <w:link w:val="Style_3_ch"/>
    <w:pPr>
      <w:widowControl w:val="0"/>
      <w:ind w:firstLine="720" w:left="0"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Style1"/>
    <w:basedOn w:val="Style_7"/>
    <w:link w:val="Style_29_ch"/>
    <w:rPr>
      <w:sz w:val="24"/>
    </w:rPr>
  </w:style>
  <w:style w:styleId="Style_29_ch" w:type="character">
    <w:name w:val="Style1"/>
    <w:basedOn w:val="Style_7_ch"/>
    <w:link w:val="Style_29"/>
    <w:rPr>
      <w:sz w:val="24"/>
    </w:rPr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Style17"/>
    <w:basedOn w:val="Style_7"/>
    <w:link w:val="Style_31_ch"/>
    <w:pPr>
      <w:spacing w:line="312" w:lineRule="exact"/>
      <w:ind/>
      <w:jc w:val="both"/>
    </w:pPr>
    <w:rPr>
      <w:sz w:val="24"/>
    </w:rPr>
  </w:style>
  <w:style w:styleId="Style_31_ch" w:type="character">
    <w:name w:val="Style17"/>
    <w:basedOn w:val="Style_7_ch"/>
    <w:link w:val="Style_31"/>
    <w:rPr>
      <w:sz w:val="24"/>
    </w:rPr>
  </w:style>
  <w:style w:styleId="Style_32" w:type="paragraph">
    <w:name w:val="toc 3"/>
    <w:next w:val="Style_7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Знак1"/>
    <w:basedOn w:val="Style_7"/>
    <w:link w:val="Style_34_ch"/>
    <w:pPr>
      <w:widowControl w:val="1"/>
      <w:spacing w:after="280" w:before="280"/>
      <w:ind/>
    </w:pPr>
    <w:rPr>
      <w:rFonts w:ascii="Tahoma" w:hAnsi="Tahoma"/>
    </w:rPr>
  </w:style>
  <w:style w:styleId="Style_34_ch" w:type="character">
    <w:name w:val="Знак1"/>
    <w:basedOn w:val="Style_7_ch"/>
    <w:link w:val="Style_34"/>
    <w:rPr>
      <w:rFonts w:ascii="Tahoma" w:hAnsi="Tahoma"/>
    </w:rPr>
  </w:style>
  <w:style w:styleId="Style_35" w:type="paragraph">
    <w:name w:val="WW8Num1z2"/>
    <w:link w:val="Style_35_ch"/>
  </w:style>
  <w:style w:styleId="Style_35_ch" w:type="character">
    <w:name w:val="WW8Num1z2"/>
    <w:link w:val="Style_35"/>
  </w:style>
  <w:style w:styleId="Style_36" w:type="paragraph">
    <w:name w:val="Font Style24"/>
    <w:link w:val="Style_36_ch"/>
    <w:rPr>
      <w:sz w:val="26"/>
    </w:rPr>
  </w:style>
  <w:style w:styleId="Style_36_ch" w:type="character">
    <w:name w:val="Font Style24"/>
    <w:link w:val="Style_36"/>
    <w:rPr>
      <w:sz w:val="26"/>
    </w:rPr>
  </w:style>
  <w:style w:styleId="Style_37" w:type="paragraph">
    <w:name w:val="heading 5"/>
    <w:next w:val="Style_7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2_ch" w:type="character">
    <w:name w:val="heading 1"/>
    <w:basedOn w:val="Style_7_ch"/>
    <w:link w:val="Style_2"/>
    <w:rPr>
      <w:b w:val="1"/>
      <w:sz w:val="24"/>
    </w:rPr>
  </w:style>
  <w:style w:styleId="Style_38" w:type="paragraph">
    <w:name w:val="WW8Num1z5"/>
    <w:link w:val="Style_38_ch"/>
  </w:style>
  <w:style w:styleId="Style_38_ch" w:type="character">
    <w:name w:val="WW8Num1z5"/>
    <w:link w:val="Style_38"/>
  </w:style>
  <w:style w:styleId="Style_39" w:type="paragraph">
    <w:name w:val="Заголовок 2 Знак"/>
    <w:link w:val="Style_39_ch"/>
    <w:rPr>
      <w:b w:val="1"/>
      <w:sz w:val="28"/>
    </w:rPr>
  </w:style>
  <w:style w:styleId="Style_39_ch" w:type="character">
    <w:name w:val="Заголовок 2 Знак"/>
    <w:link w:val="Style_39"/>
    <w:rPr>
      <w:b w:val="1"/>
      <w:sz w:val="28"/>
    </w:rPr>
  </w:style>
  <w:style w:styleId="Style_40" w:type="paragraph">
    <w:name w:val="Заголовок 3 Знак"/>
    <w:basedOn w:val="Style_22"/>
    <w:link w:val="Style_40_ch"/>
    <w:rPr>
      <w:rFonts w:ascii="Cambria" w:hAnsi="Cambria"/>
      <w:b w:val="1"/>
      <w:sz w:val="26"/>
    </w:rPr>
  </w:style>
  <w:style w:styleId="Style_40_ch" w:type="character">
    <w:name w:val="Заголовок 3 Знак"/>
    <w:basedOn w:val="Style_22_ch"/>
    <w:link w:val="Style_40"/>
    <w:rPr>
      <w:rFonts w:ascii="Cambria" w:hAnsi="Cambria"/>
      <w:b w:val="1"/>
      <w:sz w:val="26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Знак Знак Знак1 Знак"/>
    <w:basedOn w:val="Style_7"/>
    <w:link w:val="Style_43_ch"/>
    <w:pPr>
      <w:widowControl w:val="1"/>
      <w:spacing w:after="280" w:before="280"/>
      <w:ind/>
      <w:jc w:val="both"/>
    </w:pPr>
    <w:rPr>
      <w:rFonts w:ascii="Tahoma" w:hAnsi="Tahoma"/>
    </w:rPr>
  </w:style>
  <w:style w:styleId="Style_43_ch" w:type="character">
    <w:name w:val="Знак Знак Знак1 Знак"/>
    <w:basedOn w:val="Style_7_ch"/>
    <w:link w:val="Style_43"/>
    <w:rPr>
      <w:rFonts w:ascii="Tahoma" w:hAnsi="Tahoma"/>
    </w:rPr>
  </w:style>
  <w:style w:styleId="Style_44" w:type="paragraph">
    <w:name w:val="toc 1"/>
    <w:next w:val="Style_7"/>
    <w:link w:val="Style_44_ch"/>
    <w:uiPriority w:val="39"/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ind/>
      <w:jc w:val="both"/>
    </w:pPr>
    <w:rPr>
      <w:rFonts w:ascii="XO Thames" w:hAnsi="XO Thames"/>
    </w:rPr>
  </w:style>
  <w:style w:styleId="Style_45_ch" w:type="character">
    <w:name w:val="Header and Footer"/>
    <w:link w:val="Style_45"/>
    <w:rPr>
      <w:rFonts w:ascii="XO Thames" w:hAnsi="XO Thames"/>
    </w:rPr>
  </w:style>
  <w:style w:styleId="Style_46" w:type="paragraph">
    <w:name w:val="Balloon Text"/>
    <w:basedOn w:val="Style_7"/>
    <w:link w:val="Style_46_ch"/>
    <w:rPr>
      <w:rFonts w:ascii="Tahoma" w:hAnsi="Tahoma"/>
      <w:sz w:val="16"/>
    </w:rPr>
  </w:style>
  <w:style w:styleId="Style_46_ch" w:type="character">
    <w:name w:val="Balloon Text"/>
    <w:basedOn w:val="Style_7_ch"/>
    <w:link w:val="Style_46"/>
    <w:rPr>
      <w:rFonts w:ascii="Tahoma" w:hAnsi="Tahoma"/>
      <w:sz w:val="16"/>
    </w:rPr>
  </w:style>
  <w:style w:styleId="Style_5" w:type="paragraph">
    <w:name w:val="extended-text__full"/>
    <w:link w:val="Style_5_ch"/>
  </w:style>
  <w:style w:styleId="Style_5_ch" w:type="character">
    <w:name w:val="extended-text__full"/>
    <w:link w:val="Style_5"/>
  </w:style>
  <w:style w:styleId="Style_47" w:type="paragraph">
    <w:name w:val="toc 9"/>
    <w:next w:val="Style_7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Знак1"/>
    <w:basedOn w:val="Style_7"/>
    <w:link w:val="Style_48_ch"/>
    <w:pPr>
      <w:widowControl w:val="1"/>
      <w:spacing w:after="280" w:before="280"/>
      <w:ind/>
    </w:pPr>
    <w:rPr>
      <w:rFonts w:ascii="Tahoma" w:hAnsi="Tahoma"/>
    </w:rPr>
  </w:style>
  <w:style w:styleId="Style_48_ch" w:type="character">
    <w:name w:val="Знак1"/>
    <w:basedOn w:val="Style_7_ch"/>
    <w:link w:val="Style_48"/>
    <w:rPr>
      <w:rFonts w:ascii="Tahoma" w:hAnsi="Tahoma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49" w:type="paragraph">
    <w:name w:val="List"/>
    <w:basedOn w:val="Style_13"/>
    <w:link w:val="Style_49_ch"/>
  </w:style>
  <w:style w:styleId="Style_49_ch" w:type="character">
    <w:name w:val="List"/>
    <w:basedOn w:val="Style_13_ch"/>
    <w:link w:val="Style_49"/>
  </w:style>
  <w:style w:styleId="Style_50" w:type="paragraph">
    <w:name w:val="caption"/>
    <w:basedOn w:val="Style_7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7_ch"/>
    <w:link w:val="Style_50"/>
    <w:rPr>
      <w:i w:val="1"/>
      <w:sz w:val="24"/>
    </w:rPr>
  </w:style>
  <w:style w:styleId="Style_51" w:type="paragraph">
    <w:name w:val="toc 8"/>
    <w:next w:val="Style_7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Содержимое врезки"/>
    <w:basedOn w:val="Style_7"/>
    <w:link w:val="Style_52_ch"/>
  </w:style>
  <w:style w:styleId="Style_52_ch" w:type="character">
    <w:name w:val="Содержимое врезки"/>
    <w:basedOn w:val="Style_7_ch"/>
    <w:link w:val="Style_52"/>
  </w:style>
  <w:style w:styleId="Style_53" w:type="paragraph">
    <w:name w:val="toc 5"/>
    <w:next w:val="Style_7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Subtitle"/>
    <w:next w:val="Style_7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Содержимое таблицы"/>
    <w:basedOn w:val="Style_7"/>
    <w:link w:val="Style_55_ch"/>
  </w:style>
  <w:style w:styleId="Style_55_ch" w:type="character">
    <w:name w:val="Содержимое таблицы"/>
    <w:basedOn w:val="Style_7_ch"/>
    <w:link w:val="Style_55"/>
  </w:style>
  <w:style w:styleId="Style_56" w:type="paragraph">
    <w:name w:val="Title"/>
    <w:next w:val="Style_7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7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header"/>
    <w:basedOn w:val="Style_7"/>
    <w:link w:val="Style_58_ch"/>
    <w:pPr>
      <w:tabs>
        <w:tab w:leader="none" w:pos="4677" w:val="center"/>
        <w:tab w:leader="none" w:pos="9355" w:val="right"/>
      </w:tabs>
      <w:ind/>
    </w:pPr>
  </w:style>
  <w:style w:styleId="Style_58_ch" w:type="character">
    <w:name w:val="header"/>
    <w:basedOn w:val="Style_7_ch"/>
    <w:link w:val="Style_58"/>
  </w:style>
  <w:style w:styleId="Style_59" w:type="paragraph">
    <w:name w:val="WW8Num1z7"/>
    <w:link w:val="Style_59_ch"/>
  </w:style>
  <w:style w:styleId="Style_59_ch" w:type="character">
    <w:name w:val="WW8Num1z7"/>
    <w:link w:val="Style_59"/>
  </w:style>
  <w:style w:styleId="Style_60" w:type="paragraph">
    <w:name w:val="heading 2"/>
    <w:basedOn w:val="Style_7"/>
    <w:next w:val="Style_7"/>
    <w:link w:val="Style_60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60_ch" w:type="character">
    <w:name w:val="heading 2"/>
    <w:basedOn w:val="Style_7_ch"/>
    <w:link w:val="Style_60"/>
    <w:rPr>
      <w:b w:val="1"/>
      <w:sz w:val="28"/>
    </w:rPr>
  </w:style>
  <w:style w:styleId="Style_61" w:type="paragraph">
    <w:name w:val="Заголовок таблицы"/>
    <w:basedOn w:val="Style_55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55_ch"/>
    <w:link w:val="Style_61"/>
    <w:rPr>
      <w:b w:val="1"/>
    </w:rPr>
  </w:style>
  <w:style w:styleId="Style_62" w:type="paragraph">
    <w:name w:val="Заголовок 1 Знак"/>
    <w:link w:val="Style_62_ch"/>
    <w:rPr>
      <w:b w:val="1"/>
      <w:sz w:val="24"/>
    </w:rPr>
  </w:style>
  <w:style w:styleId="Style_62_ch" w:type="character">
    <w:name w:val="Заголовок 1 Знак"/>
    <w:link w:val="Style_62"/>
    <w:rPr>
      <w:b w:val="1"/>
      <w:sz w:val="24"/>
    </w:rPr>
  </w:style>
  <w:style w:styleId="Style_63" w:type="paragraph">
    <w:name w:val="WW8Num1z1"/>
    <w:link w:val="Style_63_ch"/>
  </w:style>
  <w:style w:styleId="Style_63_ch" w:type="character">
    <w:name w:val="WW8Num1z1"/>
    <w:link w:val="Style_63"/>
  </w:style>
  <w:style w:styleId="Style_64" w:type="paragraph">
    <w:name w:val="Заголовок1"/>
    <w:basedOn w:val="Style_7"/>
    <w:next w:val="Style_13"/>
    <w:link w:val="Style_6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4_ch" w:type="character">
    <w:name w:val="Заголовок1"/>
    <w:basedOn w:val="Style_7_ch"/>
    <w:link w:val="Style_64"/>
    <w:rPr>
      <w:rFonts w:ascii="Liberation Sans" w:hAnsi="Liberation San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2022-12-30T05:40:17Z</dcterms:modified>
</cp:coreProperties>
</file>