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4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rPr>
          <w:sz w:val="28"/>
        </w:rPr>
      </w:pPr>
      <w:r>
        <w:rPr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F000000">
      <w:pPr>
        <w:ind/>
        <w:jc w:val="right"/>
        <w:rPr>
          <w:b w:val="1"/>
          <w:sz w:val="28"/>
        </w:rPr>
      </w:pPr>
    </w:p>
    <w:p w14:paraId="10000000">
      <w:pPr>
        <w:pStyle w:val="Style_3"/>
        <w:rPr>
          <w:sz w:val="28"/>
        </w:rPr>
      </w:pPr>
      <w:r>
        <w:rPr>
          <w:sz w:val="28"/>
        </w:rPr>
        <w:t>РАСПОРЯЖЕНИЕ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 xml:space="preserve">.2022                          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№ 87                                </w:t>
      </w:r>
      <w:r>
        <w:rPr>
          <w:b w:val="1"/>
          <w:sz w:val="28"/>
        </w:rPr>
        <w:t xml:space="preserve">    с. Куйбышево</w:t>
      </w:r>
    </w:p>
    <w:p w14:paraId="13000000">
      <w:pPr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2023 год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</w:t>
      </w:r>
      <w:r>
        <w:rPr>
          <w:sz w:val="28"/>
        </w:rPr>
        <w:t xml:space="preserve"> </w:t>
      </w:r>
      <w:r>
        <w:rPr>
          <w:sz w:val="28"/>
        </w:rPr>
        <w:t>план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2023 год согласно приложению к настоящему распоряжению.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2.Ведущему специалисту по вопросам жилищно-коммунального хозяйства и благоустройства администрации Куйбышевского сельского поселения Н.Н. Варшавскому обеспечить исполнение плана реализации указанного в пункте 1 настоящего распоряжения.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14:paraId="21000000">
      <w:pPr>
        <w:rPr>
          <w:sz w:val="28"/>
        </w:rPr>
      </w:pPr>
      <w:r>
        <w:rPr>
          <w:sz w:val="28"/>
        </w:rPr>
        <w:t xml:space="preserve">поселения                                                    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С.Л.Слепченко</w:t>
      </w:r>
    </w:p>
    <w:p w14:paraId="22000000">
      <w:pPr>
        <w:widowControl w:val="1"/>
        <w:ind/>
        <w:rPr>
          <w:sz w:val="28"/>
        </w:rPr>
      </w:pPr>
    </w:p>
    <w:p w14:paraId="23000000">
      <w:pPr>
        <w:rPr>
          <w:sz w:val="18"/>
        </w:rPr>
      </w:pPr>
      <w:r>
        <w:rPr>
          <w:sz w:val="18"/>
        </w:rPr>
        <w:t>Распоряжение вносит:</w:t>
      </w:r>
    </w:p>
    <w:p w14:paraId="24000000">
      <w:pPr>
        <w:rPr>
          <w:sz w:val="18"/>
        </w:rPr>
      </w:pPr>
      <w:r>
        <w:rPr>
          <w:sz w:val="18"/>
        </w:rPr>
        <w:t>ведущий специалист по вопросам</w:t>
      </w:r>
    </w:p>
    <w:p w14:paraId="25000000">
      <w:pPr>
        <w:rPr>
          <w:sz w:val="18"/>
        </w:rPr>
      </w:pPr>
      <w:r>
        <w:rPr>
          <w:sz w:val="18"/>
        </w:rPr>
        <w:t>жилищно – коммунального хозяйства,</w:t>
      </w:r>
    </w:p>
    <w:p w14:paraId="26000000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14:paraId="27000000">
      <w:pPr>
        <w:sectPr>
          <w:headerReference r:id="rId2" w:type="first"/>
          <w:headerReference r:id="rId3" w:type="default"/>
          <w:footerReference r:id="rId4" w:type="default"/>
          <w:pgSz w:h="16838" w:orient="portrait" w:w="11906"/>
          <w:pgMar w:bottom="1134" w:footer="720" w:gutter="0" w:header="720" w:left="1701" w:right="567" w:top="1134"/>
          <w:titlePg/>
        </w:sectPr>
      </w:pPr>
    </w:p>
    <w:p w14:paraId="28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B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 xml:space="preserve">.2022 № </w:t>
      </w:r>
      <w:r>
        <w:rPr>
          <w:sz w:val="28"/>
        </w:rPr>
        <w:t>87</w:t>
      </w:r>
    </w:p>
    <w:p w14:paraId="2C000000">
      <w:pPr>
        <w:ind w:firstLine="720" w:left="0"/>
        <w:rPr>
          <w:sz w:val="28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E000000">
      <w:pPr>
        <w:ind/>
        <w:jc w:val="center"/>
      </w:pPr>
      <w:r>
        <w:rPr>
          <w:sz w:val="28"/>
        </w:rPr>
        <w:t xml:space="preserve">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объектах»на 2023 год</w:t>
      </w:r>
    </w:p>
    <w:tbl>
      <w:tblPr>
        <w:tblStyle w:val="Style_4"/>
        <w:tblInd w:type="dxa" w:w="-30"/>
        <w:tblLayout w:type="fixed"/>
      </w:tblPr>
      <w:tblGrid>
        <w:gridCol w:w="3176"/>
        <w:gridCol w:w="1843"/>
        <w:gridCol w:w="2481"/>
        <w:gridCol w:w="1256"/>
        <w:gridCol w:w="976"/>
        <w:gridCol w:w="1396"/>
        <w:gridCol w:w="1395"/>
        <w:gridCol w:w="1116"/>
        <w:gridCol w:w="1387"/>
      </w:tblGrid>
      <w:tr>
        <w:trPr>
          <w:trHeight w:hRule="atLeast" w:val="617"/>
        </w:trPr>
        <w:tc>
          <w:tcPr>
            <w:tcW w:type="dxa" w:w="3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Ответственный исполнитель (заместитель руководителя ОИВ/ФИО)</w:t>
            </w:r>
          </w:p>
        </w:tc>
        <w:tc>
          <w:tcPr>
            <w:tcW w:type="dxa" w:w="2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Ожидаемый результат (краткое описание</w:t>
            </w:r>
          </w:p>
        </w:tc>
        <w:tc>
          <w:tcPr>
            <w:tcW w:type="dxa" w:w="12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</w:pPr>
            <w:r>
              <w:t>Срок</w:t>
            </w:r>
          </w:p>
          <w:p w14:paraId="33000000">
            <w:pPr>
              <w:ind/>
              <w:jc w:val="center"/>
            </w:pPr>
            <w:r>
              <w:t>реализации</w:t>
            </w:r>
          </w:p>
          <w:p w14:paraId="34000000">
            <w:pPr>
              <w:ind/>
              <w:jc w:val="center"/>
            </w:pPr>
            <w:r>
              <w:t>(дата)</w:t>
            </w:r>
          </w:p>
        </w:tc>
        <w:tc>
          <w:tcPr>
            <w:tcW w:type="dxa" w:w="62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Объем расходов на 2022 год (тыс. руб.)</w:t>
            </w:r>
          </w:p>
        </w:tc>
      </w:tr>
      <w:tr>
        <w:trPr>
          <w:trHeight w:hRule="atLeast" w:val="563"/>
          <w:hidden w:val="0"/>
        </w:trPr>
        <w:tc>
          <w:tcPr>
            <w:tcW w:type="dxa" w:w="3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Местный бюджет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  <w:r>
              <w:t>Внебюджетный источник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both"/>
            </w:pPr>
            <w:r>
              <w:rPr>
                <w:sz w:val="28"/>
              </w:rPr>
              <w:t>2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both"/>
            </w:pPr>
            <w:r>
              <w:rPr>
                <w:sz w:val="28"/>
              </w:rPr>
              <w:t>3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</w:pPr>
            <w:r>
              <w:rPr>
                <w:sz w:val="28"/>
              </w:rPr>
              <w:t>4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</w:pPr>
            <w:r>
              <w:rPr>
                <w:sz w:val="28"/>
              </w:rPr>
              <w:t>5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both"/>
            </w:pPr>
            <w:r>
              <w:rPr>
                <w:sz w:val="28"/>
              </w:rPr>
              <w:t>7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both"/>
            </w:pPr>
            <w:r>
              <w:rPr>
                <w:sz w:val="28"/>
              </w:rPr>
              <w:t>8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both"/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</w:p>
          <w:p w14:paraId="45000000"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  <w:p w14:paraId="47000000"/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14:paraId="49000000">
            <w:r>
              <w:rPr>
                <w:sz w:val="24"/>
              </w:rPr>
              <w:t>повышение уровня безопасности населения от чрезвычайных ситуаций природного и техногенного характера, пожаров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r>
              <w:rPr>
                <w:sz w:val="24"/>
              </w:rPr>
              <w:t>Основное мероприятие 1.1 Противопожарное испытание электропроводки  в здании   Куйбышевского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both"/>
            </w:pPr>
            <w:r>
              <w:rPr>
                <w:sz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r>
              <w:rPr>
                <w:sz w:val="24"/>
              </w:rPr>
              <w:t>Основное мероприятие 1.2 Содержание пожарной сигнализации в здании Куйбышевского сельского поселения;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both"/>
            </w:pPr>
            <w:r>
              <w:rPr>
                <w:sz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 Противопожарная опашка лесных насаждений расположенных на территории Куйбышевского сельского поселения;</w:t>
            </w:r>
          </w:p>
          <w:p w14:paraId="63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</w:pPr>
            <w:r>
              <w:rPr>
                <w:sz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rPr>
                <w:sz w:val="24"/>
              </w:rPr>
              <w:t>45,0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r>
              <w:rPr>
                <w:sz w:val="24"/>
              </w:rPr>
              <w:t xml:space="preserve">Основное мероприятие 1.4 Приобретение </w:t>
            </w:r>
            <w:r>
              <w:rPr>
                <w:sz w:val="24"/>
              </w:rPr>
              <w:t>противопожарного оборудования, инвентаря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r>
              <w:rPr>
                <w:spacing w:val="-2"/>
                <w:sz w:val="22"/>
              </w:rPr>
              <w:t xml:space="preserve">Ведущий специалист по </w:t>
            </w:r>
            <w:r>
              <w:rPr>
                <w:spacing w:val="-2"/>
                <w:sz w:val="22"/>
              </w:rPr>
              <w:t xml:space="preserve">вопросам жилищно-коммунального хозяйства и благоустройства Администрации Куйбышевского сельского поселения 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</w:pPr>
            <w:r>
              <w:rPr>
                <w:sz w:val="24"/>
              </w:rPr>
              <w:t xml:space="preserve">улучшение оперативных </w:t>
            </w:r>
            <w:r>
              <w:rPr>
                <w:sz w:val="24"/>
              </w:rPr>
              <w:t>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14:paraId="76000000">
            <w:r>
              <w:rPr>
                <w:sz w:val="24"/>
              </w:rPr>
              <w:t>Защита населения от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/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both"/>
            </w:pP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both"/>
            </w:pPr>
            <w:r>
              <w:rPr>
                <w:sz w:val="24"/>
              </w:rPr>
              <w:t>6,0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80000000">
            <w:r>
              <w:rPr>
                <w:sz w:val="24"/>
              </w:rPr>
              <w:t xml:space="preserve">Мероприятия по ликвидации последствий ЧС природного и техногенного характера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готовности сил и средств</w:t>
            </w:r>
          </w:p>
          <w:p w14:paraId="83000000">
            <w:pPr>
              <w:ind/>
              <w:jc w:val="both"/>
            </w:pP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rPr>
                <w:sz w:val="24"/>
              </w:rPr>
              <w:t xml:space="preserve"> 5,0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8B000000">
            <w:pPr>
              <w:spacing w:line="228" w:lineRule="auto"/>
              <w:ind/>
            </w:pPr>
            <w:r>
              <w:rPr>
                <w:sz w:val="24"/>
              </w:rPr>
              <w:t>Размещение информации в средствах массовой информации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r>
              <w:rPr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/>
              <w:jc w:val="both"/>
            </w:pPr>
            <w:r>
              <w:rPr>
                <w:sz w:val="24"/>
              </w:rPr>
              <w:t xml:space="preserve"> 1,0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rPr>
                <w:sz w:val="24"/>
              </w:rPr>
              <w:t xml:space="preserve"> 1,0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95000000">
            <w:pPr>
              <w:spacing w:line="228" w:lineRule="auto"/>
              <w:ind/>
            </w:pPr>
            <w:r>
              <w:rPr>
                <w:sz w:val="24"/>
              </w:rPr>
              <w:t xml:space="preserve">Предупреждение </w:t>
            </w:r>
            <w:r>
              <w:rPr>
                <w:sz w:val="24"/>
              </w:rPr>
              <w:t>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r>
              <w:rPr>
                <w:spacing w:val="-2"/>
                <w:sz w:val="22"/>
              </w:rPr>
              <w:t xml:space="preserve">Ведущий специалист по </w:t>
            </w:r>
            <w:r>
              <w:rPr>
                <w:spacing w:val="-2"/>
                <w:sz w:val="22"/>
              </w:rPr>
              <w:t>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r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>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both"/>
            </w:pPr>
            <w:r>
              <w:rPr>
                <w:sz w:val="24"/>
              </w:rPr>
              <w:t xml:space="preserve">Весь </w:t>
            </w:r>
            <w:r>
              <w:rPr>
                <w:sz w:val="24"/>
              </w:rPr>
              <w:t>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9F000000">
            <w:pPr>
              <w:spacing w:line="228" w:lineRule="auto"/>
              <w:ind/>
            </w:pPr>
            <w:r>
              <w:rPr>
                <w:sz w:val="24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r>
              <w:rPr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pStyle w:val="Style_5"/>
              <w:ind w:firstLine="709" w:left="0"/>
              <w:rPr>
                <w:rFonts w:ascii="Times New Roman" w:hAnsi="Times New Roman"/>
                <w:sz w:val="24"/>
              </w:rPr>
            </w:pPr>
          </w:p>
          <w:p w14:paraId="A9000000">
            <w:pPr>
              <w:pStyle w:val="Style_5"/>
            </w:pPr>
            <w:r>
              <w:rPr>
                <w:rFonts w:ascii="Times New Roman" w:hAnsi="Times New Roman"/>
                <w:sz w:val="24"/>
              </w:rPr>
              <w:t>Подпрограмма 3. Обеспечение безопасности на воде</w:t>
            </w:r>
          </w:p>
          <w:p w14:paraId="AA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pacing w:val="-2"/>
                <w:sz w:val="24"/>
              </w:rPr>
            </w:pPr>
          </w:p>
          <w:p w14:paraId="AD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/>
              <w:jc w:val="both"/>
              <w:rPr>
                <w:sz w:val="24"/>
              </w:rPr>
            </w:pPr>
          </w:p>
          <w:p w14:paraId="B0000000">
            <w:pPr>
              <w:ind/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4"/>
              </w:rPr>
            </w:pPr>
          </w:p>
          <w:p w14:paraId="B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4"/>
              </w:rPr>
            </w:pPr>
          </w:p>
          <w:p w14:paraId="B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both"/>
              <w:rPr>
                <w:sz w:val="24"/>
              </w:rPr>
            </w:pPr>
          </w:p>
          <w:p w14:paraId="B6000000">
            <w:pPr>
              <w:ind/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4"/>
              </w:rPr>
            </w:pPr>
          </w:p>
          <w:p w14:paraId="B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r>
              <w:rPr>
                <w:sz w:val="24"/>
              </w:rPr>
              <w:t>Основное мероприятие 3.1  Приобретение и установка предупредительных знаков «Купание запрещено».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 w:right="-227"/>
            </w:pPr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</w:t>
            </w:r>
            <w:r>
              <w:rPr>
                <w:spacing w:val="-2"/>
                <w:sz w:val="22"/>
              </w:rPr>
              <w:t>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rPr>
                <w:sz w:val="24"/>
              </w:rPr>
              <w:t xml:space="preserve">снижение уровня защиты населения и территории Куйбышевского </w:t>
            </w:r>
            <w:r>
              <w:rPr>
                <w:sz w:val="24"/>
              </w:rPr>
              <w:t>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r>
              <w:rPr>
                <w:sz w:val="24"/>
              </w:rPr>
              <w:t>Основное мероприятие 3.2  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r>
              <w:rPr>
                <w:sz w:val="24"/>
              </w:rPr>
              <w:t>Основное мероприятие 3.3  Проведение показных, обучающих мероприятий единого Дня безопасности на водеи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pStyle w:val="Style_5"/>
              <w:ind w:firstLine="709" w:left="0"/>
              <w:rPr>
                <w:rFonts w:ascii="Times New Roman" w:hAnsi="Times New Roman"/>
                <w:sz w:val="24"/>
              </w:rPr>
            </w:pPr>
          </w:p>
          <w:p w14:paraId="D5000000">
            <w:pPr>
              <w:pStyle w:val="Style_5"/>
            </w:pPr>
            <w:r>
              <w:rPr>
                <w:rFonts w:ascii="Times New Roman" w:hAnsi="Times New Roman"/>
                <w:sz w:val="24"/>
              </w:rPr>
              <w:t>Подпрограмма 4. «Создание аппаратно-программного комплекса «Безопасный город» на территории Куйбышевского сельского поселения»</w:t>
            </w:r>
          </w:p>
          <w:p w14:paraId="D6000000"/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pacing w:val="-2"/>
                <w:sz w:val="24"/>
              </w:rPr>
            </w:pPr>
          </w:p>
          <w:p w14:paraId="D9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ind/>
              <w:jc w:val="both"/>
            </w:pP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both"/>
              <w:rPr>
                <w:sz w:val="24"/>
              </w:rPr>
            </w:pPr>
          </w:p>
          <w:p w14:paraId="DC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4"/>
              </w:rPr>
            </w:pPr>
          </w:p>
          <w:p w14:paraId="D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4"/>
              </w:rPr>
            </w:pPr>
          </w:p>
          <w:p w14:paraId="E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ind/>
              <w:jc w:val="both"/>
              <w:rPr>
                <w:sz w:val="24"/>
              </w:rPr>
            </w:pPr>
          </w:p>
          <w:p w14:paraId="E2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4"/>
              </w:rPr>
            </w:pPr>
          </w:p>
          <w:p w14:paraId="E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r>
              <w:rPr>
                <w:sz w:val="24"/>
              </w:rPr>
              <w:t>Основное мероприятие 4.1  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r>
              <w:rPr>
                <w:sz w:val="24"/>
              </w:rPr>
              <w:t>Основное мероприятие 4.2 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F7000000">
      <w:pPr>
        <w:ind/>
        <w:jc w:val="both"/>
        <w:rPr>
          <w:sz w:val="28"/>
        </w:rPr>
      </w:pPr>
    </w:p>
    <w:p w14:paraId="F8000000">
      <w:pPr>
        <w:rPr>
          <w:sz w:val="28"/>
        </w:rPr>
      </w:pPr>
      <w:r>
        <w:rPr>
          <w:sz w:val="28"/>
        </w:rPr>
        <w:t xml:space="preserve">         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>С.Л. Слепченко</w:t>
      </w:r>
    </w:p>
    <w:p w14:paraId="F9000000"/>
    <w:sectPr>
      <w:footerReference r:id="rId1" w:type="default"/>
      <w:pgSz w:h="11906" w:orient="landscape" w:w="16838"/>
      <w:pgMar w:bottom="851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  <w:ind/>
      <w:jc w:val="center"/>
    </w:pPr>
  </w:p>
  <w:p w14:paraId="05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Содержимое таблицы"/>
    <w:basedOn w:val="Style_6"/>
    <w:link w:val="Style_7_ch"/>
  </w:style>
  <w:style w:styleId="Style_7_ch" w:type="character">
    <w:name w:val="Содержимое таблицы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Style17"/>
    <w:basedOn w:val="Style_6"/>
    <w:link w:val="Style_9_ch"/>
    <w:pPr>
      <w:spacing w:line="312" w:lineRule="exact"/>
      <w:ind/>
      <w:jc w:val="both"/>
    </w:pPr>
    <w:rPr>
      <w:sz w:val="24"/>
    </w:rPr>
  </w:style>
  <w:style w:styleId="Style_9_ch" w:type="character">
    <w:name w:val="Style17"/>
    <w:basedOn w:val="Style_6_ch"/>
    <w:link w:val="Style_9"/>
    <w:rPr>
      <w:sz w:val="24"/>
    </w:rPr>
  </w:style>
  <w:style w:styleId="Style_10" w:type="paragraph">
    <w:name w:val="Style14"/>
    <w:basedOn w:val="Style_6"/>
    <w:link w:val="Style_10_ch"/>
    <w:pPr>
      <w:spacing w:line="326" w:lineRule="exact"/>
      <w:ind/>
    </w:pPr>
    <w:rPr>
      <w:sz w:val="24"/>
    </w:rPr>
  </w:style>
  <w:style w:styleId="Style_10_ch" w:type="character">
    <w:name w:val="Style14"/>
    <w:basedOn w:val="Style_6_ch"/>
    <w:link w:val="Style_10"/>
    <w:rPr>
      <w:sz w:val="24"/>
    </w:rPr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Style16"/>
    <w:basedOn w:val="Style_6"/>
    <w:link w:val="Style_12_ch"/>
    <w:pPr>
      <w:spacing w:line="312" w:lineRule="exact"/>
      <w:ind/>
      <w:jc w:val="center"/>
    </w:pPr>
    <w:rPr>
      <w:sz w:val="24"/>
    </w:rPr>
  </w:style>
  <w:style w:styleId="Style_12_ch" w:type="character">
    <w:name w:val="Style16"/>
    <w:basedOn w:val="Style_6_ch"/>
    <w:link w:val="Style_12"/>
    <w:rPr>
      <w:sz w:val="24"/>
    </w:rPr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4" w:type="paragraph">
    <w:name w:val="WW8Num1z0"/>
    <w:link w:val="Style_14_ch"/>
  </w:style>
  <w:style w:styleId="Style_14_ch" w:type="character">
    <w:name w:val="WW8Num1z0"/>
    <w:link w:val="Style_14"/>
  </w:style>
  <w:style w:styleId="Style_15" w:type="paragraph">
    <w:name w:val="toc 6"/>
    <w:next w:val="Style_6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caption"/>
    <w:basedOn w:val="Style_6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6_ch"/>
    <w:link w:val="Style_17"/>
    <w:rPr>
      <w:i w:val="1"/>
      <w:sz w:val="24"/>
    </w:rPr>
  </w:style>
  <w:style w:styleId="Style_18" w:type="paragraph">
    <w:name w:val="WW8Num1z1"/>
    <w:link w:val="Style_18_ch"/>
  </w:style>
  <w:style w:styleId="Style_18_ch" w:type="character">
    <w:name w:val="WW8Num1z1"/>
    <w:link w:val="Style_18"/>
  </w:style>
  <w:style w:styleId="Style_19" w:type="paragraph">
    <w:name w:val="Знак Знак Знак1 Знак"/>
    <w:basedOn w:val="Style_6"/>
    <w:link w:val="Style_19_ch"/>
    <w:pPr>
      <w:widowControl w:val="1"/>
      <w:spacing w:after="280" w:before="280"/>
      <w:ind/>
      <w:jc w:val="both"/>
    </w:pPr>
    <w:rPr>
      <w:rFonts w:ascii="Tahoma" w:hAnsi="Tahoma"/>
    </w:rPr>
  </w:style>
  <w:style w:styleId="Style_19_ch" w:type="character">
    <w:name w:val="Знак Знак Знак1 Знак"/>
    <w:basedOn w:val="Style_6_ch"/>
    <w:link w:val="Style_19"/>
    <w:rPr>
      <w:rFonts w:ascii="Tahoma" w:hAnsi="Tahoma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heading 3"/>
    <w:basedOn w:val="Style_6"/>
    <w:next w:val="Style_6"/>
    <w:link w:val="Style_21_ch"/>
    <w:uiPriority w:val="9"/>
    <w:qFormat/>
    <w:pPr>
      <w:keepNext w:val="1"/>
      <w:tabs>
        <w:tab w:leader="none" w:pos="0" w:val="left"/>
      </w:tabs>
      <w:spacing w:after="60" w:before="240"/>
      <w:ind w:hanging="720" w:left="720"/>
      <w:outlineLvl w:val="2"/>
    </w:pPr>
    <w:rPr>
      <w:rFonts w:ascii="Cambria" w:hAnsi="Cambria"/>
      <w:b w:val="1"/>
      <w:sz w:val="26"/>
    </w:rPr>
  </w:style>
  <w:style w:styleId="Style_21_ch" w:type="character">
    <w:name w:val="heading 3"/>
    <w:basedOn w:val="Style_6_ch"/>
    <w:link w:val="Style_21"/>
    <w:rPr>
      <w:rFonts w:ascii="Cambria" w:hAnsi="Cambria"/>
      <w:b w:val="1"/>
      <w:sz w:val="26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2" w:type="paragraph">
    <w:name w:val="Заголовок таблицы"/>
    <w:basedOn w:val="Style_7"/>
    <w:link w:val="Style_22_ch"/>
    <w:pPr>
      <w:ind/>
      <w:jc w:val="center"/>
    </w:pPr>
    <w:rPr>
      <w:b w:val="1"/>
    </w:rPr>
  </w:style>
  <w:style w:styleId="Style_22_ch" w:type="character">
    <w:name w:val="Заголовок таблицы"/>
    <w:basedOn w:val="Style_7_ch"/>
    <w:link w:val="Style_22"/>
    <w:rPr>
      <w:b w:val="1"/>
    </w:rPr>
  </w:style>
  <w:style w:styleId="Style_23" w:type="paragraph">
    <w:name w:val="Знак"/>
    <w:basedOn w:val="Style_6"/>
    <w:link w:val="Style_23_ch"/>
    <w:pPr>
      <w:widowControl w:val="1"/>
      <w:spacing w:after="280" w:before="280"/>
      <w:ind/>
    </w:pPr>
    <w:rPr>
      <w:rFonts w:ascii="Tahoma" w:hAnsi="Tahoma"/>
    </w:rPr>
  </w:style>
  <w:style w:styleId="Style_23_ch" w:type="character">
    <w:name w:val="Знак"/>
    <w:basedOn w:val="Style_6_ch"/>
    <w:link w:val="Style_23"/>
    <w:rPr>
      <w:rFonts w:ascii="Tahoma" w:hAnsi="Tahoma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24" w:type="paragraph">
    <w:name w:val="Body Text"/>
    <w:basedOn w:val="Style_6"/>
    <w:link w:val="Style_24_ch"/>
    <w:pPr>
      <w:widowControl w:val="1"/>
      <w:spacing w:after="120"/>
      <w:ind/>
    </w:pPr>
    <w:rPr>
      <w:sz w:val="24"/>
    </w:rPr>
  </w:style>
  <w:style w:styleId="Style_24_ch" w:type="character">
    <w:name w:val="Body Text"/>
    <w:basedOn w:val="Style_6_ch"/>
    <w:link w:val="Style_24"/>
    <w:rPr>
      <w:sz w:val="24"/>
    </w:rPr>
  </w:style>
  <w:style w:styleId="Style_25" w:type="paragraph">
    <w:name w:val="Заголовок 3 Знак"/>
    <w:basedOn w:val="Style_26"/>
    <w:link w:val="Style_25_ch"/>
    <w:rPr>
      <w:rFonts w:ascii="Cambria" w:hAnsi="Cambria"/>
      <w:b w:val="1"/>
      <w:sz w:val="26"/>
    </w:rPr>
  </w:style>
  <w:style w:styleId="Style_25_ch" w:type="character">
    <w:name w:val="Заголовок 3 Знак"/>
    <w:basedOn w:val="Style_26_ch"/>
    <w:link w:val="Style_25"/>
    <w:rPr>
      <w:rFonts w:ascii="Cambria" w:hAnsi="Cambria"/>
      <w:b w:val="1"/>
      <w:sz w:val="26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Заголовок 1 Знак"/>
    <w:link w:val="Style_28_ch"/>
    <w:rPr>
      <w:b w:val="1"/>
      <w:sz w:val="24"/>
    </w:rPr>
  </w:style>
  <w:style w:styleId="Style_28_ch" w:type="character">
    <w:name w:val="Заголовок 1 Знак"/>
    <w:link w:val="Style_28"/>
    <w:rPr>
      <w:b w:val="1"/>
      <w:sz w:val="24"/>
    </w:rPr>
  </w:style>
  <w:style w:styleId="Style_29" w:type="paragraph">
    <w:name w:val="Указатель1"/>
    <w:basedOn w:val="Style_6"/>
    <w:link w:val="Style_29_ch"/>
  </w:style>
  <w:style w:styleId="Style_29_ch" w:type="character">
    <w:name w:val="Указатель1"/>
    <w:basedOn w:val="Style_6_ch"/>
    <w:link w:val="Style_29"/>
  </w:style>
  <w:style w:styleId="Style_30" w:type="paragraph">
    <w:name w:val="List"/>
    <w:basedOn w:val="Style_24"/>
    <w:link w:val="Style_30_ch"/>
  </w:style>
  <w:style w:styleId="Style_30_ch" w:type="character">
    <w:name w:val="List"/>
    <w:basedOn w:val="Style_24_ch"/>
    <w:link w:val="Style_30"/>
  </w:style>
  <w:style w:styleId="Style_31" w:type="paragraph">
    <w:name w:val="Знак1"/>
    <w:basedOn w:val="Style_6"/>
    <w:link w:val="Style_31_ch"/>
    <w:pPr>
      <w:widowControl w:val="1"/>
      <w:spacing w:after="280" w:before="280"/>
      <w:ind/>
    </w:pPr>
    <w:rPr>
      <w:rFonts w:ascii="Tahoma" w:hAnsi="Tahoma"/>
    </w:rPr>
  </w:style>
  <w:style w:styleId="Style_31_ch" w:type="character">
    <w:name w:val="Знак1"/>
    <w:basedOn w:val="Style_6_ch"/>
    <w:link w:val="Style_31"/>
    <w:rPr>
      <w:rFonts w:ascii="Tahoma" w:hAnsi="Tahoma"/>
    </w:rPr>
  </w:style>
  <w:style w:styleId="Style_32" w:type="paragraph">
    <w:name w:val="toc 3"/>
    <w:next w:val="Style_6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WW8Num1z5"/>
    <w:link w:val="Style_33_ch"/>
  </w:style>
  <w:style w:styleId="Style_33_ch" w:type="character">
    <w:name w:val="WW8Num1z5"/>
    <w:link w:val="Style_33"/>
  </w:style>
  <w:style w:styleId="Style_34" w:type="paragraph">
    <w:name w:val="heading 5"/>
    <w:next w:val="Style_6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3_ch" w:type="character">
    <w:name w:val="heading 1"/>
    <w:basedOn w:val="Style_6_ch"/>
    <w:link w:val="Style_3"/>
    <w:rPr>
      <w:b w:val="1"/>
      <w:sz w:val="24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6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</w:rPr>
  </w:style>
  <w:style w:styleId="Style_39_ch" w:type="character">
    <w:name w:val="Header and Footer"/>
    <w:link w:val="Style_39"/>
    <w:rPr>
      <w:rFonts w:ascii="XO Thames" w:hAnsi="XO Thames"/>
    </w:rPr>
  </w:style>
  <w:style w:styleId="Style_40" w:type="paragraph">
    <w:name w:val="WW8Num1z6"/>
    <w:link w:val="Style_40_ch"/>
  </w:style>
  <w:style w:styleId="Style_40_ch" w:type="character">
    <w:name w:val="WW8Num1z6"/>
    <w:link w:val="Style_40"/>
  </w:style>
  <w:style w:styleId="Style_41" w:type="paragraph">
    <w:name w:val="WW8Num1z2"/>
    <w:link w:val="Style_41_ch"/>
  </w:style>
  <w:style w:styleId="Style_41_ch" w:type="character">
    <w:name w:val="WW8Num1z2"/>
    <w:link w:val="Style_41"/>
  </w:style>
  <w:style w:styleId="Style_42" w:type="paragraph">
    <w:name w:val="toc 9"/>
    <w:next w:val="Style_6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Содержимое врезки"/>
    <w:basedOn w:val="Style_6"/>
    <w:link w:val="Style_43_ch"/>
  </w:style>
  <w:style w:styleId="Style_43_ch" w:type="character">
    <w:name w:val="Содержимое врезки"/>
    <w:basedOn w:val="Style_6_ch"/>
    <w:link w:val="Style_43"/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45" w:type="paragraph">
    <w:name w:val="toc 8"/>
    <w:next w:val="Style_6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47" w:type="paragraph">
    <w:name w:val="Текст выноски Знак"/>
    <w:link w:val="Style_47_ch"/>
    <w:rPr>
      <w:rFonts w:ascii="Tahoma" w:hAnsi="Tahoma"/>
      <w:sz w:val="16"/>
    </w:rPr>
  </w:style>
  <w:style w:styleId="Style_47_ch" w:type="character">
    <w:name w:val="Текст выноски Знак"/>
    <w:link w:val="Style_47"/>
    <w:rPr>
      <w:rFonts w:ascii="Tahoma" w:hAnsi="Tahoma"/>
      <w:sz w:val="16"/>
    </w:rPr>
  </w:style>
  <w:style w:styleId="Style_48" w:type="paragraph">
    <w:name w:val="WW8Num1z4"/>
    <w:link w:val="Style_48_ch"/>
  </w:style>
  <w:style w:styleId="Style_48_ch" w:type="character">
    <w:name w:val="WW8Num1z4"/>
    <w:link w:val="Style_48"/>
  </w:style>
  <w:style w:styleId="Style_49" w:type="paragraph">
    <w:name w:val="Заголовок 2 Знак"/>
    <w:link w:val="Style_49_ch"/>
    <w:rPr>
      <w:b w:val="1"/>
      <w:sz w:val="28"/>
    </w:rPr>
  </w:style>
  <w:style w:styleId="Style_49_ch" w:type="character">
    <w:name w:val="Заголовок 2 Знак"/>
    <w:link w:val="Style_49"/>
    <w:rPr>
      <w:b w:val="1"/>
      <w:sz w:val="28"/>
    </w:rPr>
  </w:style>
  <w:style w:styleId="Style_50" w:type="paragraph">
    <w:name w:val="Style1"/>
    <w:basedOn w:val="Style_6"/>
    <w:link w:val="Style_50_ch"/>
    <w:rPr>
      <w:sz w:val="24"/>
    </w:rPr>
  </w:style>
  <w:style w:styleId="Style_50_ch" w:type="character">
    <w:name w:val="Style1"/>
    <w:basedOn w:val="Style_6_ch"/>
    <w:link w:val="Style_50"/>
    <w:rPr>
      <w:sz w:val="24"/>
    </w:rPr>
  </w:style>
  <w:style w:styleId="Style_51" w:type="paragraph">
    <w:name w:val="WW8Num1z3"/>
    <w:link w:val="Style_51_ch"/>
  </w:style>
  <w:style w:styleId="Style_51_ch" w:type="character">
    <w:name w:val="WW8Num1z3"/>
    <w:link w:val="Style_51"/>
  </w:style>
  <w:style w:styleId="Style_52" w:type="paragraph">
    <w:name w:val="Заголовок"/>
    <w:basedOn w:val="Style_6"/>
    <w:next w:val="Style_24"/>
    <w:link w:val="Style_5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2_ch" w:type="character">
    <w:name w:val="Заголовок"/>
    <w:basedOn w:val="Style_6_ch"/>
    <w:link w:val="Style_52"/>
    <w:rPr>
      <w:rFonts w:ascii="Liberation Sans" w:hAnsi="Liberation Sans"/>
      <w:sz w:val="28"/>
    </w:rPr>
  </w:style>
  <w:style w:styleId="Style_53" w:type="paragraph">
    <w:name w:val="WW8Num1z7"/>
    <w:link w:val="Style_53_ch"/>
  </w:style>
  <w:style w:styleId="Style_53_ch" w:type="character">
    <w:name w:val="WW8Num1z7"/>
    <w:link w:val="Style_53"/>
  </w:style>
  <w:style w:styleId="Style_54" w:type="paragraph">
    <w:name w:val="toc 5"/>
    <w:next w:val="Style_6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Номер страницы1"/>
    <w:basedOn w:val="Style_26"/>
    <w:link w:val="Style_55_ch"/>
  </w:style>
  <w:style w:styleId="Style_55_ch" w:type="character">
    <w:name w:val="Номер страницы1"/>
    <w:basedOn w:val="Style_26_ch"/>
    <w:link w:val="Style_55"/>
  </w:style>
  <w:style w:styleId="Style_56" w:type="paragraph">
    <w:name w:val="Знак Знак Знак Знак Знак Знак Знак"/>
    <w:basedOn w:val="Style_6"/>
    <w:link w:val="Style_56_ch"/>
    <w:pPr>
      <w:widowControl w:val="1"/>
      <w:spacing w:after="280" w:before="280"/>
      <w:ind/>
    </w:pPr>
    <w:rPr>
      <w:rFonts w:ascii="Tahoma" w:hAnsi="Tahoma"/>
    </w:rPr>
  </w:style>
  <w:style w:styleId="Style_56_ch" w:type="character">
    <w:name w:val="Знак Знак Знак Знак Знак Знак Знак"/>
    <w:basedOn w:val="Style_6_ch"/>
    <w:link w:val="Style_56"/>
    <w:rPr>
      <w:rFonts w:ascii="Tahoma" w:hAnsi="Tahoma"/>
    </w:rPr>
  </w:style>
  <w:style w:styleId="Style_57" w:type="paragraph">
    <w:name w:val="Знак1"/>
    <w:basedOn w:val="Style_6"/>
    <w:link w:val="Style_57_ch"/>
    <w:pPr>
      <w:widowControl w:val="1"/>
      <w:spacing w:after="280" w:before="280"/>
      <w:ind/>
    </w:pPr>
    <w:rPr>
      <w:rFonts w:ascii="Tahoma" w:hAnsi="Tahoma"/>
    </w:rPr>
  </w:style>
  <w:style w:styleId="Style_57_ch" w:type="character">
    <w:name w:val="Знак1"/>
    <w:basedOn w:val="Style_6_ch"/>
    <w:link w:val="Style_57"/>
    <w:rPr>
      <w:rFonts w:ascii="Tahoma" w:hAnsi="Tahoma"/>
    </w:rPr>
  </w:style>
  <w:style w:styleId="Style_58" w:type="paragraph">
    <w:name w:val="Subtitle"/>
    <w:next w:val="Style_6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Title"/>
    <w:next w:val="Style_6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next w:val="Style_6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heading 2"/>
    <w:basedOn w:val="Style_6"/>
    <w:next w:val="Style_6"/>
    <w:link w:val="Style_61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61_ch" w:type="character">
    <w:name w:val="heading 2"/>
    <w:basedOn w:val="Style_6_ch"/>
    <w:link w:val="Style_61"/>
    <w:rPr>
      <w:b w:val="1"/>
      <w:sz w:val="28"/>
    </w:rPr>
  </w:style>
  <w:style w:styleId="Style_62" w:type="paragraph">
    <w:name w:val="Font Style24"/>
    <w:link w:val="Style_62_ch"/>
    <w:rPr>
      <w:sz w:val="26"/>
    </w:rPr>
  </w:style>
  <w:style w:styleId="Style_62_ch" w:type="character">
    <w:name w:val="Font Style24"/>
    <w:link w:val="Style_62"/>
    <w:rPr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2022-12-30T09:47:07Z</dcterms:modified>
</cp:coreProperties>
</file>