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КУЙБ</w:t>
      </w:r>
      <w:r>
        <w:rPr>
          <w:b w:val="1"/>
          <w:sz w:val="28"/>
        </w:rPr>
        <w:t>Ы</w:t>
      </w:r>
      <w:r>
        <w:rPr>
          <w:b w:val="1"/>
          <w:sz w:val="28"/>
        </w:rPr>
        <w:t>ШЕВСКИЙ РАЙОН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«КУЙБЫШЕВСКОЕ СЕЛЬСКОЕ ПОСЕЛЕНИЕ»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КУЙБЫШЕВСКОГО СЕЛЬСКОГО </w:t>
      </w:r>
      <w:r>
        <w:rPr>
          <w:b w:val="1"/>
          <w:sz w:val="28"/>
        </w:rPr>
        <w:t>ПОСЕЛЕНИЯ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  <w:r>
        <w:rPr>
          <w:b w:val="1"/>
          <w:sz w:val="28"/>
        </w:rPr>
        <w:t xml:space="preserve"> 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both"/>
        <w:rPr>
          <w:b w:val="1"/>
        </w:rPr>
      </w:pPr>
      <w:r>
        <w:rPr>
          <w:b w:val="1"/>
          <w:sz w:val="28"/>
        </w:rPr>
        <w:t>07.060</w:t>
      </w:r>
      <w:r>
        <w:rPr>
          <w:b w:val="1"/>
          <w:sz w:val="28"/>
        </w:rPr>
        <w:t>.</w:t>
      </w:r>
      <w:r>
        <w:rPr>
          <w:b w:val="1"/>
          <w:sz w:val="28"/>
        </w:rPr>
        <w:t>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                                         </w:t>
      </w:r>
      <w:r>
        <w:rPr>
          <w:b w:val="1"/>
          <w:sz w:val="28"/>
        </w:rPr>
        <w:t>№ 72</w:t>
      </w: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 xml:space="preserve">          </w:t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>с. Куйбышево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         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Администрации </w:t>
      </w:r>
      <w:r>
        <w:rPr>
          <w:b w:val="1"/>
          <w:sz w:val="28"/>
        </w:rPr>
        <w:t>Куйбышевского сельского поселения</w:t>
      </w:r>
      <w:r>
        <w:rPr>
          <w:b w:val="1"/>
          <w:sz w:val="28"/>
        </w:rPr>
        <w:t xml:space="preserve"> от </w:t>
      </w:r>
      <w:r>
        <w:rPr>
          <w:b w:val="1"/>
          <w:sz w:val="28"/>
        </w:rPr>
        <w:t>13.07</w:t>
      </w:r>
      <w:r>
        <w:rPr>
          <w:b w:val="1"/>
          <w:sz w:val="28"/>
        </w:rPr>
        <w:t>.2018 № 1</w:t>
      </w:r>
      <w:r>
        <w:rPr>
          <w:b w:val="1"/>
          <w:sz w:val="28"/>
        </w:rPr>
        <w:t>17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  <w:shd w:fill="FFD821" w:val="clear"/>
        </w:rPr>
      </w:pPr>
    </w:p>
    <w:p w14:paraId="10000000">
      <w:pPr>
        <w:ind w:firstLine="709"/>
        <w:jc w:val="both"/>
        <w:rPr>
          <w:sz w:val="28"/>
        </w:rPr>
      </w:pPr>
      <w:r>
        <w:rPr>
          <w:color w:val="000000"/>
          <w:spacing w:val="0"/>
          <w:sz w:val="28"/>
        </w:rPr>
        <w:t xml:space="preserve">В </w:t>
      </w:r>
      <w:r>
        <w:rPr>
          <w:spacing w:val="0"/>
          <w:sz w:val="28"/>
        </w:rPr>
        <w:t xml:space="preserve">соответствии со </w:t>
      </w:r>
      <w:r>
        <w:rPr>
          <w:color w:val="2B2B2B"/>
          <w:spacing w:val="0"/>
          <w:sz w:val="28"/>
        </w:rPr>
        <w:t xml:space="preserve">статьей </w:t>
      </w:r>
      <w:r>
        <w:rPr>
          <w:spacing w:val="0"/>
          <w:sz w:val="28"/>
        </w:rPr>
        <w:t xml:space="preserve">16 Федерального закона от 06.10.2003 № 131-ФЗ «Об общих принципах организации местного самоуправления </w:t>
      </w:r>
      <w:r>
        <w:rPr>
          <w:color w:val="000000"/>
          <w:spacing w:val="0"/>
          <w:sz w:val="28"/>
        </w:rPr>
        <w:t xml:space="preserve">в </w:t>
      </w:r>
      <w:r>
        <w:rPr>
          <w:spacing w:val="0"/>
          <w:sz w:val="28"/>
        </w:rPr>
        <w:t xml:space="preserve">Российской Федерации», Федеральным законом от 27.07.2010 № </w:t>
      </w:r>
      <w:r>
        <w:rPr>
          <w:color w:val="000000"/>
          <w:spacing w:val="0"/>
          <w:sz w:val="28"/>
        </w:rPr>
        <w:t xml:space="preserve">210-ФЗ </w:t>
      </w:r>
      <w:r>
        <w:rPr>
          <w:spacing w:val="0"/>
          <w:sz w:val="28"/>
        </w:rPr>
        <w:t xml:space="preserve">«Об организации предоставления государственных и муниципальных услуг», Федеральным законом от 28.12.2013 </w:t>
      </w:r>
      <w:r>
        <w:rPr>
          <w:spacing w:val="0"/>
          <w:sz w:val="28"/>
        </w:rPr>
        <w:t xml:space="preserve">№ </w:t>
      </w:r>
      <w:r>
        <w:rPr>
          <w:spacing w:val="0"/>
          <w:sz w:val="28"/>
        </w:rPr>
        <w:t xml:space="preserve">443-ФЗ </w:t>
      </w:r>
      <w:r>
        <w:rPr>
          <w:color w:val="000000"/>
          <w:spacing w:val="0"/>
          <w:sz w:val="28"/>
        </w:rPr>
        <w:t xml:space="preserve">«О </w:t>
      </w:r>
      <w:r>
        <w:rPr>
          <w:spacing w:val="0"/>
          <w:sz w:val="28"/>
        </w:rPr>
        <w:t xml:space="preserve">федеральной </w:t>
      </w:r>
      <w:r>
        <w:rPr>
          <w:spacing w:val="0"/>
          <w:sz w:val="28"/>
        </w:rPr>
        <w:t xml:space="preserve">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05.02.2024 № 124 «О внесении изменений в постановление Правительства Российской </w:t>
      </w:r>
      <w:r>
        <w:rPr>
          <w:color w:val="2B2B2B"/>
          <w:spacing w:val="0"/>
          <w:sz w:val="28"/>
        </w:rPr>
        <w:t xml:space="preserve">Федерации </w:t>
      </w:r>
      <w:r>
        <w:rPr>
          <w:color w:val="000000"/>
          <w:spacing w:val="0"/>
          <w:sz w:val="28"/>
        </w:rPr>
        <w:t xml:space="preserve">от </w:t>
      </w:r>
      <w:r>
        <w:rPr>
          <w:spacing w:val="0"/>
          <w:sz w:val="28"/>
        </w:rPr>
        <w:t>19.</w:t>
      </w:r>
      <w:r>
        <w:rPr>
          <w:color w:val="2B2B2B"/>
          <w:spacing w:val="0"/>
          <w:sz w:val="28"/>
        </w:rPr>
        <w:t>1</w:t>
      </w:r>
      <w:r>
        <w:rPr>
          <w:spacing w:val="0"/>
          <w:sz w:val="28"/>
        </w:rPr>
        <w:t>1.2014 № 1221</w:t>
      </w:r>
      <w:r>
        <w:rPr>
          <w:color w:val="000000"/>
          <w:sz w:val="28"/>
        </w:rPr>
        <w:t>,</w:t>
      </w:r>
      <w:r>
        <w:rPr>
          <w:sz w:val="28"/>
        </w:rPr>
        <w:t xml:space="preserve"> </w:t>
      </w:r>
      <w:r>
        <w:rPr>
          <w:b w:val="1"/>
          <w:i w:val="1"/>
          <w:spacing w:val="40"/>
          <w:sz w:val="28"/>
        </w:rPr>
        <w:t>постановляю:</w:t>
      </w:r>
    </w:p>
    <w:p w14:paraId="11000000">
      <w:pPr>
        <w:ind/>
        <w:jc w:val="both"/>
        <w:rPr>
          <w:sz w:val="28"/>
        </w:rPr>
      </w:pPr>
    </w:p>
    <w:p w14:paraId="12000000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i w:val="0"/>
          <w:spacing w:val="0"/>
          <w:sz w:val="28"/>
          <w:u w:val="none"/>
        </w:rPr>
        <w:t xml:space="preserve">Внести </w:t>
      </w:r>
      <w:r>
        <w:rPr>
          <w:i w:val="0"/>
          <w:color w:val="000000"/>
          <w:spacing w:val="0"/>
          <w:sz w:val="28"/>
          <w:u w:val="none"/>
        </w:rPr>
        <w:t xml:space="preserve">в </w:t>
      </w:r>
      <w:r>
        <w:rPr>
          <w:i w:val="0"/>
          <w:spacing w:val="0"/>
          <w:sz w:val="28"/>
          <w:u w:val="none"/>
        </w:rPr>
        <w:t xml:space="preserve">постановление Администрации Куйбышевского сельского поселения </w:t>
      </w:r>
      <w:r>
        <w:rPr>
          <w:b w:val="0"/>
          <w:sz w:val="28"/>
        </w:rPr>
        <w:t xml:space="preserve">от </w:t>
      </w:r>
      <w:r>
        <w:rPr>
          <w:b w:val="0"/>
          <w:sz w:val="28"/>
        </w:rPr>
        <w:t>13.07</w:t>
      </w:r>
      <w:r>
        <w:rPr>
          <w:b w:val="0"/>
          <w:sz w:val="28"/>
        </w:rPr>
        <w:t>.2018 № 1</w:t>
      </w:r>
      <w:r>
        <w:rPr>
          <w:b w:val="0"/>
          <w:sz w:val="28"/>
        </w:rPr>
        <w:t>17</w:t>
      </w:r>
      <w:r>
        <w:rPr>
          <w:b w:val="0"/>
          <w:sz w:val="28"/>
        </w:rPr>
        <w:t xml:space="preserve"> «</w:t>
      </w:r>
      <w:r>
        <w:rPr>
          <w:b w:val="0"/>
          <w:sz w:val="28"/>
        </w:rPr>
        <w:t>Об утверждении административного регламента по предоставлению муниципальной усл</w:t>
      </w:r>
      <w:r>
        <w:rPr>
          <w:b w:val="0"/>
          <w:sz w:val="28"/>
        </w:rPr>
        <w:t>уги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>Присвоение, изменение и аннулирование адреса объекта адресации</w:t>
      </w:r>
      <w:r>
        <w:rPr>
          <w:b w:val="0"/>
          <w:sz w:val="28"/>
        </w:rPr>
        <w:t>»</w:t>
      </w:r>
      <w:r>
        <w:rPr>
          <w:spacing w:val="0"/>
          <w:sz w:val="28"/>
        </w:rPr>
        <w:t xml:space="preserve"> следующие изменения:</w:t>
      </w:r>
    </w:p>
    <w:p w14:paraId="13000000">
      <w:pPr>
        <w:ind w:firstLine="709" w:left="0"/>
        <w:jc w:val="both"/>
        <w:rPr>
          <w:sz w:val="28"/>
        </w:rPr>
      </w:pPr>
      <w:r>
        <w:rPr>
          <w:spacing w:val="0"/>
          <w:sz w:val="28"/>
        </w:rPr>
        <w:t xml:space="preserve">1.1. Дополнить пункт 2.7 </w:t>
      </w:r>
      <w:r>
        <w:rPr>
          <w:spacing w:val="0"/>
          <w:sz w:val="28"/>
        </w:rPr>
        <w:t>раздела 4</w:t>
      </w:r>
      <w:r>
        <w:rPr>
          <w:spacing w:val="0"/>
          <w:sz w:val="28"/>
        </w:rPr>
        <w:tab/>
      </w:r>
      <w:r>
        <w:rPr>
          <w:spacing w:val="0"/>
          <w:sz w:val="28"/>
        </w:rPr>
        <w:t>абзацем следующего содержания:</w:t>
      </w:r>
    </w:p>
    <w:p w14:paraId="14000000">
      <w:pPr>
        <w:keepNext w:val="0"/>
        <w:keepLines w:val="0"/>
        <w:widowControl w:val="0"/>
        <w:spacing w:after="0" w:before="0" w:line="264" w:lineRule="auto"/>
        <w:ind w:firstLine="709" w:left="0" w:right="0"/>
        <w:jc w:val="both"/>
        <w:rPr>
          <w:sz w:val="28"/>
        </w:rPr>
      </w:pPr>
      <w:r>
        <w:rPr>
          <w:spacing w:val="0"/>
          <w:sz w:val="28"/>
        </w:rPr>
        <w:t xml:space="preserve">«Аннулирование адресов объектов адресации осуществляется уполномоченными органами </w:t>
      </w:r>
      <w:r>
        <w:rPr>
          <w:color w:val="000000"/>
          <w:spacing w:val="0"/>
          <w:sz w:val="28"/>
        </w:rPr>
        <w:t xml:space="preserve">на </w:t>
      </w:r>
      <w:r>
        <w:rPr>
          <w:spacing w:val="0"/>
          <w:sz w:val="28"/>
        </w:rPr>
        <w:t xml:space="preserve">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</w:t>
      </w:r>
      <w:r>
        <w:rPr>
          <w:color w:val="2B2B2B"/>
          <w:spacing w:val="0"/>
          <w:sz w:val="28"/>
        </w:rPr>
        <w:t xml:space="preserve">прав </w:t>
      </w:r>
      <w:r>
        <w:rPr>
          <w:spacing w:val="0"/>
          <w:sz w:val="28"/>
        </w:rPr>
        <w:t xml:space="preserve">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 7 статьи 72 Федерального закона «О государственной регистрации недвижимости», представляемой в установленном </w:t>
      </w:r>
      <w:r>
        <w:rPr>
          <w:spacing w:val="0"/>
          <w:sz w:val="28"/>
        </w:rPr>
        <w:t>Правительством Российской Федерации порядке межведомственного информационного взаимодействия при ведении государственного адресного реестра»;</w:t>
      </w:r>
    </w:p>
    <w:p w14:paraId="15000000">
      <w:pPr>
        <w:keepNext w:val="0"/>
        <w:keepLines w:val="0"/>
        <w:widowControl w:val="0"/>
        <w:spacing w:after="0" w:before="0" w:line="264" w:lineRule="auto"/>
        <w:ind w:firstLine="709" w:left="0" w:right="0"/>
        <w:jc w:val="both"/>
        <w:rPr>
          <w:sz w:val="28"/>
        </w:rPr>
      </w:pPr>
      <w:r>
        <w:rPr>
          <w:spacing w:val="0"/>
          <w:sz w:val="28"/>
        </w:rPr>
        <w:t xml:space="preserve">1.2. Изложить пункт 2.5 </w:t>
      </w:r>
      <w:r>
        <w:rPr>
          <w:spacing w:val="0"/>
          <w:sz w:val="28"/>
        </w:rPr>
        <w:t xml:space="preserve">раздела 4 </w:t>
      </w:r>
      <w:r>
        <w:rPr>
          <w:spacing w:val="0"/>
          <w:sz w:val="28"/>
        </w:rPr>
        <w:t xml:space="preserve">в следующей редакции: «Принятие </w:t>
      </w:r>
      <w:r>
        <w:rPr>
          <w:spacing w:val="0"/>
          <w:sz w:val="28"/>
        </w:rPr>
        <w:t>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16000000">
      <w:pPr>
        <w:keepNext w:val="0"/>
        <w:keepLines w:val="0"/>
        <w:widowControl w:val="0"/>
        <w:tabs>
          <w:tab w:leader="none" w:pos="1253" w:val="left"/>
        </w:tabs>
        <w:spacing w:after="0" w:before="0" w:line="264" w:lineRule="auto"/>
        <w:ind w:firstLine="709" w:left="0" w:right="0"/>
        <w:jc w:val="both"/>
        <w:rPr>
          <w:sz w:val="28"/>
        </w:rPr>
      </w:pPr>
      <w:r>
        <w:rPr>
          <w:spacing w:val="0"/>
          <w:sz w:val="28"/>
        </w:rPr>
        <w:t>а)</w:t>
      </w:r>
      <w:r>
        <w:rPr>
          <w:spacing w:val="0"/>
          <w:sz w:val="28"/>
        </w:rPr>
        <w:tab/>
      </w:r>
      <w:r>
        <w:rPr>
          <w:spacing w:val="0"/>
          <w:sz w:val="28"/>
        </w:rPr>
        <w:t>в случае подачи заявления на бумажном носителе - в срок не более 10 рабочих дней со дня поступления заявления;</w:t>
      </w:r>
    </w:p>
    <w:p w14:paraId="17000000">
      <w:pPr>
        <w:keepNext w:val="0"/>
        <w:keepLines w:val="0"/>
        <w:widowControl w:val="0"/>
        <w:tabs>
          <w:tab w:leader="none" w:pos="1272" w:val="left"/>
        </w:tabs>
        <w:spacing w:after="0" w:before="0" w:line="264" w:lineRule="auto"/>
        <w:ind w:firstLine="709" w:left="0" w:right="0"/>
        <w:jc w:val="both"/>
        <w:rPr>
          <w:sz w:val="28"/>
        </w:rPr>
      </w:pPr>
      <w:r>
        <w:rPr>
          <w:spacing w:val="0"/>
          <w:sz w:val="28"/>
        </w:rPr>
        <w:t>б)</w:t>
      </w:r>
      <w:r>
        <w:rPr>
          <w:spacing w:val="0"/>
          <w:sz w:val="28"/>
        </w:rPr>
        <w:tab/>
      </w:r>
      <w:r>
        <w:rPr>
          <w:spacing w:val="0"/>
          <w:sz w:val="28"/>
        </w:rPr>
        <w:t xml:space="preserve">в случае подачи заявления в форме электронного документа </w:t>
      </w:r>
      <w:r>
        <w:rPr>
          <w:color w:val="000000"/>
          <w:spacing w:val="0"/>
          <w:sz w:val="28"/>
        </w:rPr>
        <w:t xml:space="preserve">- </w:t>
      </w:r>
      <w:r>
        <w:rPr>
          <w:spacing w:val="0"/>
          <w:sz w:val="28"/>
        </w:rPr>
        <w:t xml:space="preserve">в </w:t>
      </w:r>
      <w:r>
        <w:rPr>
          <w:color w:val="000000"/>
          <w:spacing w:val="0"/>
          <w:sz w:val="28"/>
        </w:rPr>
        <w:t xml:space="preserve">срок </w:t>
      </w:r>
      <w:r>
        <w:rPr>
          <w:spacing w:val="0"/>
          <w:sz w:val="28"/>
        </w:rPr>
        <w:t xml:space="preserve">не более </w:t>
      </w:r>
      <w:r>
        <w:rPr>
          <w:color w:val="000000"/>
          <w:spacing w:val="0"/>
          <w:sz w:val="28"/>
        </w:rPr>
        <w:t xml:space="preserve">5 </w:t>
      </w:r>
      <w:r>
        <w:rPr>
          <w:spacing w:val="0"/>
          <w:sz w:val="28"/>
        </w:rPr>
        <w:t>рабочих дней со дня поступления заявления»;</w:t>
      </w:r>
    </w:p>
    <w:p w14:paraId="18000000">
      <w:pPr>
        <w:keepNext w:val="0"/>
        <w:keepLines w:val="0"/>
        <w:widowControl w:val="0"/>
        <w:tabs>
          <w:tab w:leader="none" w:pos="1272" w:val="left"/>
        </w:tabs>
        <w:spacing w:after="0" w:before="0" w:line="264" w:lineRule="auto"/>
        <w:ind w:firstLine="709" w:left="0" w:right="0"/>
        <w:jc w:val="both"/>
        <w:rPr>
          <w:sz w:val="28"/>
        </w:rPr>
      </w:pPr>
      <w:r>
        <w:rPr>
          <w:spacing w:val="0"/>
          <w:sz w:val="28"/>
        </w:rPr>
        <w:t>1.3. Дополнить раздел 4</w:t>
      </w:r>
      <w:r>
        <w:rPr>
          <w:spacing w:val="0"/>
          <w:sz w:val="28"/>
        </w:rPr>
        <w:t xml:space="preserve"> пунктом 2.8.</w:t>
      </w:r>
      <w:r>
        <w:rPr>
          <w:spacing w:val="0"/>
          <w:sz w:val="28"/>
        </w:rPr>
        <w:t xml:space="preserve"> следующего содержания:</w:t>
      </w:r>
    </w:p>
    <w:p w14:paraId="19000000">
      <w:pPr>
        <w:keepNext w:val="0"/>
        <w:keepLines w:val="0"/>
        <w:widowControl w:val="0"/>
        <w:spacing w:after="0" w:before="0" w:line="264" w:lineRule="auto"/>
        <w:ind w:firstLine="709" w:left="0" w:right="0"/>
        <w:jc w:val="both"/>
        <w:rPr>
          <w:sz w:val="28"/>
        </w:rPr>
      </w:pPr>
      <w:r>
        <w:rPr>
          <w:spacing w:val="0"/>
          <w:sz w:val="28"/>
        </w:rPr>
        <w:t xml:space="preserve">«В случае принятия уполномоченным органом решения </w:t>
      </w:r>
      <w:r>
        <w:rPr>
          <w:color w:val="000000"/>
          <w:spacing w:val="0"/>
          <w:sz w:val="28"/>
        </w:rPr>
        <w:t xml:space="preserve">о присвоении </w:t>
      </w:r>
      <w:r>
        <w:rPr>
          <w:spacing w:val="0"/>
          <w:sz w:val="28"/>
        </w:rPr>
        <w:t>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 присвоения, изменения и аннулирования адресов, утвержденных Постановлением Правительства Российской Федерации от 19.11.2014 № 1221,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взаимодействия»;</w:t>
      </w:r>
    </w:p>
    <w:p w14:paraId="1A000000">
      <w:pPr>
        <w:keepNext w:val="0"/>
        <w:keepLines w:val="0"/>
        <w:widowControl w:val="0"/>
        <w:spacing w:after="0" w:before="0" w:line="264" w:lineRule="auto"/>
        <w:ind w:firstLine="709" w:left="0" w:right="0"/>
        <w:jc w:val="both"/>
        <w:rPr>
          <w:sz w:val="28"/>
        </w:rPr>
      </w:pPr>
      <w:r>
        <w:rPr>
          <w:spacing w:val="0"/>
          <w:sz w:val="28"/>
        </w:rPr>
        <w:t>1.4. Изложить абзац 4</w:t>
      </w:r>
      <w:r>
        <w:rPr>
          <w:spacing w:val="0"/>
          <w:sz w:val="28"/>
        </w:rPr>
        <w:t xml:space="preserve"> подпункта 6</w:t>
      </w:r>
      <w:r>
        <w:rPr>
          <w:spacing w:val="0"/>
          <w:sz w:val="28"/>
        </w:rPr>
        <w:t xml:space="preserve"> пункта 2</w:t>
      </w:r>
      <w:r>
        <w:rPr>
          <w:spacing w:val="0"/>
          <w:sz w:val="28"/>
        </w:rPr>
        <w:t xml:space="preserve"> раздела 4 </w:t>
      </w:r>
      <w:r>
        <w:rPr>
          <w:spacing w:val="0"/>
          <w:sz w:val="28"/>
        </w:rPr>
        <w:t xml:space="preserve">в следующей редакции: «Решение уполномоченного органа </w:t>
      </w:r>
      <w:r>
        <w:rPr>
          <w:color w:val="000000"/>
          <w:spacing w:val="0"/>
          <w:sz w:val="28"/>
        </w:rPr>
        <w:t xml:space="preserve">о </w:t>
      </w:r>
      <w:r>
        <w:rPr>
          <w:spacing w:val="0"/>
          <w:sz w:val="28"/>
        </w:rPr>
        <w:t>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14:paraId="1B000000">
      <w:pPr>
        <w:keepNext w:val="0"/>
        <w:keepLines w:val="0"/>
        <w:widowControl w:val="0"/>
        <w:spacing w:after="0" w:before="0" w:line="264" w:lineRule="auto"/>
        <w:ind w:firstLine="709" w:left="0" w:right="0"/>
        <w:jc w:val="both"/>
        <w:rPr>
          <w:sz w:val="28"/>
        </w:rPr>
      </w:pPr>
      <w:r>
        <w:rPr>
          <w:spacing w:val="0"/>
          <w:sz w:val="28"/>
        </w:rPr>
        <w:t xml:space="preserve">в форме электронного документа с использованием информационно </w:t>
      </w:r>
      <w:r>
        <w:rPr>
          <w:spacing w:val="0"/>
          <w:sz w:val="28"/>
        </w:rPr>
        <w:t xml:space="preserve">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</w:t>
      </w:r>
      <w:r>
        <w:rPr>
          <w:color w:val="000000"/>
          <w:spacing w:val="0"/>
          <w:sz w:val="28"/>
        </w:rPr>
        <w:t xml:space="preserve">и </w:t>
      </w:r>
      <w:r>
        <w:rPr>
          <w:spacing w:val="0"/>
          <w:sz w:val="28"/>
        </w:rPr>
        <w:t xml:space="preserve">38 Правил присвоения, изменения и аннулирования адресов, утвержденных Постановлением Правительства Российской Федерации от 19.11.2014 № 1221,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</w:t>
      </w:r>
      <w:r>
        <w:rPr>
          <w:color w:val="000000"/>
          <w:spacing w:val="0"/>
          <w:sz w:val="28"/>
        </w:rPr>
        <w:t xml:space="preserve">дня, </w:t>
      </w:r>
      <w:r>
        <w:rPr>
          <w:spacing w:val="0"/>
          <w:sz w:val="28"/>
        </w:rPr>
        <w:t xml:space="preserve">следующего за 10-м рабочим днем со </w:t>
      </w:r>
      <w:r>
        <w:rPr>
          <w:color w:val="000000"/>
          <w:spacing w:val="0"/>
          <w:sz w:val="28"/>
        </w:rPr>
        <w:t xml:space="preserve">дня </w:t>
      </w:r>
      <w:r>
        <w:rPr>
          <w:spacing w:val="0"/>
          <w:sz w:val="28"/>
        </w:rPr>
        <w:t xml:space="preserve">истечения установленного пунктами 37 и 38 Правил присвоения, изменения </w:t>
      </w:r>
      <w:r>
        <w:rPr>
          <w:spacing w:val="0"/>
          <w:sz w:val="28"/>
        </w:rPr>
        <w:t>и аннулирования адресов, утвержденных Постановлением Правительства Российской Федерации от 19.11.2014 № 1221, срока посредством почтового отправления по указанному в заявлении почтовому адресу».</w:t>
      </w:r>
    </w:p>
    <w:p w14:paraId="1C000000">
      <w:pPr>
        <w:ind w:firstLine="709"/>
        <w:jc w:val="left"/>
        <w:rPr>
          <w:sz w:val="28"/>
        </w:rPr>
      </w:pPr>
      <w:r>
        <w:rPr>
          <w:sz w:val="28"/>
        </w:rPr>
        <w:t>2. Опубликовать настоящее постановление в информационном бюллетене и на са</w:t>
      </w:r>
      <w:r>
        <w:rPr>
          <w:sz w:val="28"/>
        </w:rPr>
        <w:t>й</w:t>
      </w:r>
      <w:r>
        <w:rPr>
          <w:sz w:val="28"/>
        </w:rPr>
        <w:t>те Администрации Куйбышевского сельского поселения.</w:t>
      </w:r>
    </w:p>
    <w:p w14:paraId="1D000000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официального опубл</w:t>
      </w:r>
      <w:r>
        <w:rPr>
          <w:sz w:val="28"/>
        </w:rPr>
        <w:t>и</w:t>
      </w:r>
      <w:r>
        <w:rPr>
          <w:sz w:val="28"/>
        </w:rPr>
        <w:t>кования.</w:t>
      </w:r>
    </w:p>
    <w:p w14:paraId="1E000000">
      <w:pPr>
        <w:ind w:firstLine="709"/>
        <w:jc w:val="both"/>
        <w:rPr>
          <w:sz w:val="28"/>
        </w:rPr>
      </w:pPr>
      <w:r>
        <w:rPr>
          <w:sz w:val="28"/>
        </w:rPr>
        <w:t>4. Контроль над выполнением настоящего постановления оставляю за собой.</w:t>
      </w:r>
    </w:p>
    <w:p w14:paraId="1F000000">
      <w:pPr>
        <w:ind/>
        <w:jc w:val="both"/>
        <w:rPr>
          <w:sz w:val="28"/>
        </w:rPr>
      </w:pPr>
    </w:p>
    <w:p w14:paraId="20000000">
      <w:pPr>
        <w:spacing w:after="60"/>
        <w:ind/>
        <w:jc w:val="both"/>
        <w:rPr>
          <w:sz w:val="28"/>
        </w:rPr>
      </w:pPr>
    </w:p>
    <w:p w14:paraId="21000000">
      <w:pPr>
        <w:spacing w:after="60"/>
        <w:ind/>
        <w:jc w:val="both"/>
        <w:rPr>
          <w:sz w:val="28"/>
        </w:rPr>
      </w:pPr>
    </w:p>
    <w:p w14:paraId="22000000">
      <w:pPr>
        <w:spacing w:after="60"/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Администрации</w:t>
      </w:r>
    </w:p>
    <w:p w14:paraId="23000000">
      <w:pPr>
        <w:spacing w:after="60"/>
        <w:ind/>
        <w:jc w:val="both"/>
        <w:rPr>
          <w:sz w:val="28"/>
        </w:rPr>
      </w:pPr>
      <w:r>
        <w:rPr>
          <w:sz w:val="28"/>
        </w:rPr>
        <w:t>Куйбышевского</w:t>
      </w:r>
      <w:r>
        <w:rPr>
          <w:sz w:val="28"/>
        </w:rPr>
        <w:t xml:space="preserve"> </w:t>
      </w:r>
    </w:p>
    <w:p w14:paraId="24000000">
      <w:pPr>
        <w:spacing w:after="60"/>
        <w:ind/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 xml:space="preserve">             </w:t>
      </w:r>
      <w:r>
        <w:rPr>
          <w:sz w:val="28"/>
        </w:rPr>
        <w:t xml:space="preserve">                                                              С.Л. Слепченко</w:t>
      </w:r>
    </w:p>
    <w:p w14:paraId="25000000">
      <w:pPr>
        <w:spacing w:after="60"/>
        <w:ind/>
        <w:jc w:val="both"/>
        <w:rPr>
          <w:sz w:val="28"/>
        </w:rPr>
      </w:pPr>
    </w:p>
    <w:p w14:paraId="26000000">
      <w:pPr>
        <w:spacing w:after="60"/>
        <w:ind/>
        <w:jc w:val="both"/>
        <w:rPr>
          <w:sz w:val="28"/>
        </w:rPr>
      </w:pPr>
    </w:p>
    <w:p w14:paraId="27000000">
      <w:pPr>
        <w:spacing w:after="60"/>
        <w:ind/>
        <w:jc w:val="both"/>
        <w:rPr>
          <w:sz w:val="28"/>
        </w:rPr>
      </w:pPr>
    </w:p>
    <w:p w14:paraId="28000000">
      <w:pPr>
        <w:spacing w:after="60"/>
        <w:ind/>
        <w:jc w:val="both"/>
        <w:rPr>
          <w:sz w:val="28"/>
        </w:rPr>
      </w:pPr>
    </w:p>
    <w:p w14:paraId="29000000">
      <w:pPr>
        <w:spacing w:after="60"/>
        <w:ind/>
        <w:jc w:val="both"/>
        <w:rPr>
          <w:sz w:val="28"/>
        </w:rPr>
      </w:pPr>
    </w:p>
    <w:p w14:paraId="2A000000">
      <w:pPr>
        <w:tabs>
          <w:tab w:leader="none" w:pos="6612" w:val="left"/>
        </w:tabs>
        <w:ind/>
        <w:rPr>
          <w:sz w:val="28"/>
        </w:rPr>
      </w:pPr>
    </w:p>
    <w:p w14:paraId="2B000000">
      <w:pPr>
        <w:tabs>
          <w:tab w:leader="none" w:pos="6612" w:val="left"/>
        </w:tabs>
        <w:ind/>
        <w:rPr>
          <w:sz w:val="28"/>
        </w:rPr>
      </w:pPr>
    </w:p>
    <w:p w14:paraId="2C000000">
      <w:pPr>
        <w:tabs>
          <w:tab w:leader="none" w:pos="6612" w:val="left"/>
        </w:tabs>
        <w:ind/>
        <w:rPr>
          <w:sz w:val="28"/>
        </w:rPr>
      </w:pPr>
    </w:p>
    <w:p w14:paraId="2D000000">
      <w:pPr>
        <w:tabs>
          <w:tab w:leader="none" w:pos="6612" w:val="left"/>
        </w:tabs>
        <w:ind/>
        <w:rPr>
          <w:sz w:val="28"/>
        </w:rPr>
      </w:pPr>
    </w:p>
    <w:p w14:paraId="2E000000">
      <w:pPr>
        <w:tabs>
          <w:tab w:leader="none" w:pos="6612" w:val="left"/>
        </w:tabs>
        <w:ind/>
        <w:rPr>
          <w:sz w:val="28"/>
        </w:rPr>
      </w:pPr>
    </w:p>
    <w:p w14:paraId="2F000000">
      <w:pPr>
        <w:tabs>
          <w:tab w:leader="none" w:pos="6612" w:val="left"/>
        </w:tabs>
        <w:ind/>
        <w:rPr>
          <w:sz w:val="28"/>
        </w:rPr>
      </w:pPr>
    </w:p>
    <w:p w14:paraId="30000000">
      <w:pPr>
        <w:tabs>
          <w:tab w:leader="none" w:pos="6612" w:val="left"/>
        </w:tabs>
        <w:ind/>
        <w:rPr>
          <w:sz w:val="28"/>
        </w:rPr>
      </w:pPr>
    </w:p>
    <w:p w14:paraId="31000000">
      <w:pPr>
        <w:tabs>
          <w:tab w:leader="none" w:pos="6612" w:val="left"/>
        </w:tabs>
        <w:ind/>
        <w:rPr>
          <w:sz w:val="28"/>
        </w:rPr>
      </w:pPr>
    </w:p>
    <w:p w14:paraId="32000000">
      <w:pPr>
        <w:tabs>
          <w:tab w:leader="none" w:pos="6612" w:val="left"/>
        </w:tabs>
        <w:ind/>
        <w:rPr>
          <w:sz w:val="28"/>
        </w:rPr>
      </w:pPr>
    </w:p>
    <w:p w14:paraId="33000000">
      <w:pPr>
        <w:rPr>
          <w:sz w:val="22"/>
        </w:rPr>
      </w:pPr>
      <w:r>
        <w:rPr>
          <w:sz w:val="22"/>
        </w:rPr>
        <w:t>Постановление</w:t>
      </w:r>
      <w:r>
        <w:rPr>
          <w:sz w:val="22"/>
        </w:rPr>
        <w:t xml:space="preserve"> вносит:</w:t>
      </w:r>
    </w:p>
    <w:p w14:paraId="34000000">
      <w:pPr>
        <w:rPr>
          <w:sz w:val="22"/>
        </w:rPr>
      </w:pPr>
      <w:r>
        <w:rPr>
          <w:sz w:val="22"/>
        </w:rPr>
        <w:t xml:space="preserve">главный специалист </w:t>
      </w:r>
      <w:r>
        <w:rPr>
          <w:sz w:val="22"/>
        </w:rPr>
        <w:t>по</w:t>
      </w:r>
      <w:r>
        <w:rPr>
          <w:sz w:val="22"/>
        </w:rPr>
        <w:t xml:space="preserve"> </w:t>
      </w:r>
      <w:r>
        <w:rPr>
          <w:sz w:val="22"/>
        </w:rPr>
        <w:t xml:space="preserve">вопросам </w:t>
      </w:r>
      <w:r>
        <w:rPr>
          <w:sz w:val="22"/>
        </w:rPr>
        <w:t xml:space="preserve">жилищно – коммунального </w:t>
      </w:r>
      <w:r>
        <w:rPr>
          <w:sz w:val="22"/>
        </w:rPr>
        <w:t>хозяйства,</w:t>
      </w:r>
    </w:p>
    <w:p w14:paraId="35000000">
      <w:pPr>
        <w:rPr>
          <w:sz w:val="22"/>
        </w:rPr>
      </w:pPr>
      <w:r>
        <w:rPr>
          <w:sz w:val="22"/>
        </w:rPr>
        <w:t>благоустройства, ГО, ЧС и ПБ</w:t>
      </w:r>
    </w:p>
    <w:sectPr>
      <w:headerReference r:id="rId1" w:type="default"/>
      <w:pgSz w:h="15840" w:orient="portrait" w:w="12240"/>
      <w:pgMar w:bottom="1134" w:footer="720" w:gutter="0" w:header="720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Знак2 Знак Знак Знак Знак Знак Знак Знак Знак Знак Знак Знак Знак Знак Знак Знак"/>
    <w:basedOn w:val="Style_1"/>
    <w:link w:val="Style_7_ch"/>
    <w:pPr>
      <w:spacing w:afterAutospacing="on" w:beforeAutospacing="on"/>
      <w:ind/>
    </w:pPr>
    <w:rPr>
      <w:rFonts w:ascii="Tahoma" w:hAnsi="Tahoma"/>
      <w:sz w:val="20"/>
    </w:rPr>
  </w:style>
  <w:style w:styleId="Style_7_ch" w:type="character">
    <w:name w:val="Знак2 Знак Знак Знак Знак Знак Знак Знак Знак Знак Знак Знак Знак Знак Знак Знак"/>
    <w:basedOn w:val="Style_1_ch"/>
    <w:link w:val="Style_7"/>
    <w:rPr>
      <w:rFonts w:ascii="Tahoma" w:hAnsi="Tahoma"/>
      <w:sz w:val="2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Balloon Text"/>
    <w:basedOn w:val="Style_1"/>
    <w:link w:val="Style_22_ch"/>
    <w:rPr>
      <w:rFonts w:ascii="Tahoma" w:hAnsi="Tahoma"/>
      <w:sz w:val="16"/>
    </w:rPr>
  </w:style>
  <w:style w:styleId="Style_22_ch" w:type="character">
    <w:name w:val="Balloon Text"/>
    <w:basedOn w:val="Style_1_ch"/>
    <w:link w:val="Style_22"/>
    <w:rPr>
      <w:rFonts w:ascii="Tahoma" w:hAnsi="Tahoma"/>
      <w:sz w:val="16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2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2024-06-10T06:49:24Z</dcterms:modified>
</cp:coreProperties>
</file>