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ПОСЕЛЕНИЯ</w:t>
      </w:r>
    </w:p>
    <w:p w14:paraId="0A000000">
      <w:pPr>
        <w:ind/>
        <w:jc w:val="right"/>
        <w:rPr>
          <w:sz w:val="28"/>
        </w:rPr>
      </w:pPr>
    </w:p>
    <w:p w14:paraId="0B000000">
      <w:pPr>
        <w:pStyle w:val="Style_2"/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C000000">
      <w:pPr>
        <w:pStyle w:val="Style_2"/>
        <w:ind/>
        <w:jc w:val="center"/>
        <w:rPr>
          <w:b w:val="1"/>
        </w:rPr>
      </w:pPr>
    </w:p>
    <w:p w14:paraId="0D000000">
      <w:pPr>
        <w:pStyle w:val="Style_2"/>
        <w:rPr>
          <w:b w:val="1"/>
        </w:rPr>
      </w:pPr>
      <w:r>
        <w:rPr>
          <w:b w:val="1"/>
        </w:rPr>
        <w:t xml:space="preserve">12.04.2023                                               № 58       </w:t>
      </w:r>
      <w:r>
        <w:rPr>
          <w:b w:val="1"/>
        </w:rPr>
        <w:t xml:space="preserve">                               с. Куйбышево</w:t>
      </w:r>
    </w:p>
    <w:p w14:paraId="0E000000">
      <w:pPr>
        <w:ind/>
        <w:jc w:val="center"/>
        <w:rPr>
          <w:sz w:val="28"/>
        </w:rPr>
      </w:pPr>
    </w:p>
    <w:p w14:paraId="0F000000">
      <w:pPr>
        <w:pStyle w:val="Style_3"/>
        <w:ind/>
        <w:jc w:val="center"/>
        <w:rPr>
          <w:b w:val="0"/>
        </w:rPr>
      </w:pPr>
      <w:r>
        <w:t>Об отчете исполнения бюджета Куйбышевского сельского поселения Куйбышевского района за 1 квартал 2023 года</w:t>
      </w:r>
    </w:p>
    <w:p w14:paraId="10000000">
      <w:pPr>
        <w:pStyle w:val="Style_4"/>
        <w:ind/>
        <w:jc w:val="center"/>
      </w:pPr>
    </w:p>
    <w:p w14:paraId="11000000">
      <w:pPr>
        <w:widowControl w:val="0"/>
        <w:ind w:firstLine="709" w:left="0"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>В соответствии со статьей 264.2 Бюджетного кодекса Российской Федерации, пунктом 33 решения Собрания де</w:t>
      </w:r>
      <w:r>
        <w:rPr>
          <w:sz w:val="28"/>
        </w:rPr>
        <w:t>путатов Куйбышевского сельского поселения</w:t>
      </w:r>
      <w:r>
        <w:t xml:space="preserve"> </w:t>
      </w:r>
      <w:r>
        <w:rPr>
          <w:sz w:val="28"/>
        </w:rPr>
        <w:t xml:space="preserve">от 28.09.2007 № 34 «Об утверждении Положения о бюджетном процессе в Куйбышевском сельском поселении», </w:t>
      </w:r>
      <w:r>
        <w:rPr>
          <w:b w:val="1"/>
          <w:i w:val="1"/>
          <w:spacing w:val="40"/>
          <w:sz w:val="28"/>
        </w:rPr>
        <w:t>постановляю:</w:t>
      </w:r>
    </w:p>
    <w:p w14:paraId="12000000">
      <w:pPr>
        <w:widowControl w:val="0"/>
        <w:ind w:firstLine="709" w:left="0"/>
        <w:jc w:val="both"/>
        <w:rPr>
          <w:i w:val="1"/>
          <w:spacing w:val="40"/>
          <w:sz w:val="28"/>
        </w:rPr>
      </w:pPr>
    </w:p>
    <w:p w14:paraId="13000000">
      <w:pPr>
        <w:pStyle w:val="Style_4"/>
        <w:ind w:firstLine="709" w:left="0"/>
        <w:jc w:val="both"/>
      </w:pPr>
      <w:r>
        <w:t>1. Утвердить отчет об исполнении бюджета Куйбышевского сельского поселения Куйбышевского района за</w:t>
      </w:r>
      <w:r>
        <w:t xml:space="preserve"> 1 квартал 2023 года по доходам в сумме 6851,7 тыс. рублей, по расходам в сумме 5920,0 тыс. рублей.</w:t>
      </w:r>
    </w:p>
    <w:p w14:paraId="14000000">
      <w:pPr>
        <w:pStyle w:val="Style_4"/>
        <w:ind w:firstLine="709" w:left="0"/>
        <w:jc w:val="both"/>
      </w:pPr>
      <w:r>
        <w:t>Определить, что держателем оригинала отчета об исполнении бюджета Куйбышевского сельского поселения Куйбышевского района за 1 квартал 2023 года является сек</w:t>
      </w:r>
      <w:r>
        <w:t>тор экономики и финансов Администрации Куйбышевского сельского поселения.</w:t>
      </w:r>
    </w:p>
    <w:p w14:paraId="15000000">
      <w:pPr>
        <w:pStyle w:val="Style_4"/>
        <w:ind w:firstLine="709" w:left="0"/>
        <w:jc w:val="both"/>
      </w:pPr>
      <w:r>
        <w:t>2. В целях информации населения сельского поселения опубликовать сведения о ходе исполнения бюджета Куйбышевского сельского поселения Куйбышевского района за 1 квартал 2023 года согл</w:t>
      </w:r>
      <w:r>
        <w:t>асно приложению к настоящему постановлению.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3. Направить настоящее постановление и отчет</w:t>
      </w:r>
      <w:r>
        <w:t xml:space="preserve"> </w:t>
      </w:r>
      <w:r>
        <w:rPr>
          <w:sz w:val="28"/>
        </w:rPr>
        <w:t>об исполнении бюджета Куйбышевского сельского поселения Куйбышевского района за 1 квартал 2023 года Собранию депутатов Куйбышевского сельского поселения.</w:t>
      </w:r>
    </w:p>
    <w:p w14:paraId="17000000">
      <w:pPr>
        <w:pStyle w:val="Style_4"/>
        <w:ind w:firstLine="709" w:left="0"/>
        <w:jc w:val="both"/>
      </w:pPr>
      <w:r>
        <w:t xml:space="preserve">4. Настоящее </w:t>
      </w:r>
      <w:r>
        <w:t>постановление вступает в силу со дня его официального опубликования.</w:t>
      </w:r>
    </w:p>
    <w:p w14:paraId="18000000">
      <w:pPr>
        <w:pStyle w:val="Style_4"/>
        <w:ind w:firstLine="709" w:left="0"/>
        <w:jc w:val="both"/>
      </w:pPr>
      <w:r>
        <w:t>5. </w:t>
      </w:r>
      <w:r>
        <w:t>Контроль за</w:t>
      </w:r>
      <w:r>
        <w:t xml:space="preserve"> выполнением настоящего постановления возложить на начальника сектора экономики и финансов Терещенко С.Н.</w:t>
      </w:r>
    </w:p>
    <w:p w14:paraId="19000000">
      <w:pPr>
        <w:pStyle w:val="Style_4"/>
        <w:ind w:firstLine="709" w:left="0"/>
        <w:jc w:val="both"/>
      </w:pPr>
    </w:p>
    <w:p w14:paraId="1A000000">
      <w:pPr>
        <w:pStyle w:val="Style_4"/>
        <w:ind w:firstLine="709" w:left="0"/>
        <w:jc w:val="both"/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</w:t>
      </w:r>
      <w:r>
        <w:rPr>
          <w:sz w:val="28"/>
        </w:rPr>
        <w:t>С.Л. Слепченко</w:t>
      </w:r>
    </w:p>
    <w:p w14:paraId="1D000000">
      <w:pPr>
        <w:ind/>
        <w:contextualSpacing w:val="1"/>
        <w:rPr>
          <w:sz w:val="20"/>
        </w:rPr>
      </w:pPr>
      <w:r>
        <w:rPr>
          <w:sz w:val="20"/>
        </w:rPr>
        <w:t>Постановление вносит</w:t>
      </w:r>
    </w:p>
    <w:p w14:paraId="1E000000">
      <w:pPr>
        <w:ind/>
        <w:contextualSpacing w:val="1"/>
        <w:rPr>
          <w:sz w:val="20"/>
        </w:rPr>
      </w:pPr>
      <w:r>
        <w:rPr>
          <w:sz w:val="20"/>
        </w:rPr>
        <w:t>сектор экономики и финансов</w:t>
      </w:r>
    </w:p>
    <w:p w14:paraId="1F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</w:t>
      </w:r>
    </w:p>
    <w:p w14:paraId="20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к постановлению Администрации </w:t>
      </w:r>
      <w:r>
        <w:rPr>
          <w:sz w:val="28"/>
        </w:rPr>
        <w:t>Куйбышевского</w:t>
      </w:r>
    </w:p>
    <w:p w14:paraId="21000000">
      <w:pPr>
        <w:ind w:firstLine="0" w:left="6237"/>
        <w:jc w:val="center"/>
        <w:rPr>
          <w:sz w:val="28"/>
        </w:rPr>
      </w:pPr>
      <w:r>
        <w:rPr>
          <w:sz w:val="28"/>
        </w:rPr>
        <w:t>сельского поселения</w:t>
      </w:r>
    </w:p>
    <w:p w14:paraId="22000000">
      <w:pPr>
        <w:ind w:firstLine="0" w:left="6237"/>
        <w:jc w:val="center"/>
        <w:rPr>
          <w:sz w:val="28"/>
        </w:rPr>
      </w:pPr>
      <w:r>
        <w:rPr>
          <w:sz w:val="28"/>
        </w:rPr>
        <w:t>от 12.04.2023 № 58</w:t>
      </w:r>
    </w:p>
    <w:p w14:paraId="23000000">
      <w:pPr>
        <w:ind/>
        <w:jc w:val="right"/>
        <w:rPr>
          <w:sz w:val="28"/>
        </w:rPr>
      </w:pPr>
    </w:p>
    <w:p w14:paraId="2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СВЕДЕНИЯ</w:t>
      </w:r>
    </w:p>
    <w:p w14:paraId="2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о ходе исполнения бюджета Куйбышевского сельского поселения Куйбышевского района за 1 к</w:t>
      </w:r>
      <w:r>
        <w:rPr>
          <w:b w:val="1"/>
          <w:sz w:val="28"/>
        </w:rPr>
        <w:t>вартал 2023 года</w:t>
      </w:r>
    </w:p>
    <w:p w14:paraId="26000000">
      <w:pPr>
        <w:ind/>
        <w:jc w:val="center"/>
        <w:rPr>
          <w:b w:val="1"/>
          <w:sz w:val="28"/>
        </w:rPr>
      </w:pPr>
    </w:p>
    <w:p w14:paraId="27000000">
      <w:pPr>
        <w:ind w:firstLine="708" w:left="0"/>
        <w:jc w:val="both"/>
        <w:rPr>
          <w:sz w:val="28"/>
        </w:rPr>
      </w:pPr>
      <w:r>
        <w:rPr>
          <w:sz w:val="28"/>
        </w:rPr>
        <w:t>Исполнение бюджета сельского поселения за 1 квартал 2023 года составило по доходам в сумме 6851,7</w:t>
      </w:r>
      <w:r>
        <w:rPr>
          <w:sz w:val="28"/>
        </w:rPr>
        <w:t xml:space="preserve"> тыс. рублей, или 21,2 процента к годовому плану и по расходам в сумме 5920,0 тыс. рублей, или 15,6 процента к плану года.</w:t>
      </w:r>
    </w:p>
    <w:p w14:paraId="28000000">
      <w:pPr>
        <w:ind w:firstLine="708" w:left="0"/>
        <w:jc w:val="both"/>
        <w:rPr>
          <w:sz w:val="28"/>
        </w:rPr>
      </w:pPr>
      <w:r>
        <w:rPr>
          <w:sz w:val="28"/>
        </w:rPr>
        <w:t>Показатели бюдже</w:t>
      </w:r>
      <w:r>
        <w:rPr>
          <w:sz w:val="28"/>
        </w:rPr>
        <w:t>та сельс</w:t>
      </w:r>
      <w:bookmarkStart w:id="1" w:name="_GoBack"/>
      <w:bookmarkEnd w:id="1"/>
      <w:r>
        <w:rPr>
          <w:sz w:val="28"/>
        </w:rPr>
        <w:t>кого поселения за 1 квартал 2023 года прилагаются.</w:t>
      </w:r>
    </w:p>
    <w:p w14:paraId="29000000">
      <w:pPr>
        <w:ind w:firstLine="708" w:left="0"/>
        <w:jc w:val="both"/>
        <w:rPr>
          <w:sz w:val="28"/>
        </w:rPr>
      </w:pPr>
      <w:r>
        <w:rPr>
          <w:sz w:val="28"/>
        </w:rPr>
        <w:t>Налоговые и неналоговые доходы бюджета сельского поселения исполнены в сумме 1753.5</w:t>
      </w:r>
      <w:r>
        <w:rPr>
          <w:sz w:val="28"/>
        </w:rPr>
        <w:t xml:space="preserve"> тыс. рублей, или 11,7 процентов к годовым плановым назначениям.</w:t>
      </w:r>
    </w:p>
    <w:p w14:paraId="2A000000">
      <w:pPr>
        <w:ind w:firstLine="708" w:left="0"/>
        <w:jc w:val="both"/>
        <w:rPr>
          <w:sz w:val="28"/>
        </w:rPr>
      </w:pPr>
      <w:r>
        <w:rPr>
          <w:sz w:val="28"/>
        </w:rPr>
        <w:t>Объем безвозмездных поступлений за 1 квартал 2023</w:t>
      </w:r>
      <w:r>
        <w:rPr>
          <w:sz w:val="28"/>
        </w:rPr>
        <w:t xml:space="preserve"> года составил 5098.2</w:t>
      </w:r>
      <w:r>
        <w:rPr>
          <w:sz w:val="28"/>
        </w:rPr>
        <w:t xml:space="preserve"> тыс. рублей.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Обеспечение деятельности учреждения культуры – 2460,0 тыс. рублей;</w:t>
      </w:r>
    </w:p>
    <w:p w14:paraId="2C000000">
      <w:pPr>
        <w:ind w:firstLine="708" w:left="0"/>
        <w:jc w:val="both"/>
        <w:rPr>
          <w:sz w:val="28"/>
        </w:rPr>
      </w:pPr>
      <w:r>
        <w:rPr>
          <w:sz w:val="28"/>
        </w:rPr>
        <w:t>Поддержка национальной экономики и жилищно-коммунального хозяйства – 1316,7 тыс. рублей.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Бюджетная политика в сфере расходов бюджета сельского поселения была направлена на решение социальных и экономических задач сельского поселения. Приоритетом являлось обеспечение населения бюджетными услугами отрасли социальной сферы. Расходы на культуру, с</w:t>
      </w:r>
      <w:r>
        <w:rPr>
          <w:sz w:val="28"/>
        </w:rPr>
        <w:t>оциальную политику, культуру, спорт составило 41,6 процента от общей суммы расходов.</w:t>
      </w:r>
    </w:p>
    <w:p w14:paraId="2E000000">
      <w:pPr>
        <w:ind w:firstLine="0" w:left="6237"/>
        <w:jc w:val="center"/>
        <w:rPr>
          <w:sz w:val="28"/>
        </w:rPr>
      </w:pPr>
      <w:r>
        <w:rPr>
          <w:color w:val="FF0000"/>
          <w:sz w:val="28"/>
        </w:rPr>
        <w:br w:type="page"/>
      </w:r>
      <w:r>
        <w:rPr>
          <w:sz w:val="28"/>
        </w:rPr>
        <w:t>Приложение</w:t>
      </w:r>
    </w:p>
    <w:p w14:paraId="2F000000">
      <w:pPr>
        <w:ind w:firstLine="0" w:left="6237"/>
        <w:jc w:val="center"/>
        <w:rPr>
          <w:sz w:val="28"/>
        </w:rPr>
      </w:pPr>
      <w:r>
        <w:rPr>
          <w:sz w:val="28"/>
        </w:rPr>
        <w:t>к сведениям о ходе исполнения бюджета сельского поселения</w:t>
      </w:r>
    </w:p>
    <w:p w14:paraId="30000000">
      <w:pPr>
        <w:ind w:firstLine="0" w:left="6237"/>
        <w:jc w:val="center"/>
        <w:rPr>
          <w:sz w:val="28"/>
        </w:rPr>
      </w:pPr>
      <w:r>
        <w:rPr>
          <w:sz w:val="28"/>
        </w:rPr>
        <w:t>за 1 квартал 2023 г.</w:t>
      </w:r>
    </w:p>
    <w:p w14:paraId="31000000">
      <w:pPr>
        <w:ind/>
        <w:jc w:val="right"/>
        <w:rPr>
          <w:sz w:val="28"/>
        </w:rPr>
      </w:pPr>
    </w:p>
    <w:p w14:paraId="32000000">
      <w:pPr>
        <w:ind/>
        <w:jc w:val="center"/>
        <w:rPr>
          <w:sz w:val="28"/>
        </w:rPr>
      </w:pPr>
      <w:r>
        <w:rPr>
          <w:sz w:val="28"/>
        </w:rPr>
        <w:t>ИНФОРМАЦИЯ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>об исполнении бюджета Куйбышевского сельского поселения Куйбышевского района за 1 квартал 2023 года</w:t>
      </w:r>
    </w:p>
    <w:p w14:paraId="34000000">
      <w:pPr>
        <w:ind/>
        <w:jc w:val="center"/>
        <w:rPr>
          <w:sz w:val="2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bottom w:type="dxa" w:w="57"/>
          <w:right w:type="dxa" w:w="57"/>
        </w:tblCellMar>
      </w:tblPr>
      <w:tblGrid>
        <w:gridCol w:w="5843"/>
        <w:gridCol w:w="1864"/>
        <w:gridCol w:w="1931"/>
      </w:tblGrid>
      <w:tr>
        <w:tc>
          <w:tcPr>
            <w:tcW w:type="dxa" w:w="5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35000000">
            <w:pPr>
              <w:widowControl w:val="0"/>
              <w:spacing w:line="204" w:lineRule="auto"/>
              <w:ind/>
              <w:jc w:val="center"/>
            </w:pPr>
            <w:r>
              <w:t>Наименование показателей</w:t>
            </w:r>
          </w:p>
        </w:tc>
        <w:tc>
          <w:tcPr>
            <w:tcW w:type="dxa" w:w="1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36000000">
            <w:pPr>
              <w:widowControl w:val="0"/>
              <w:spacing w:line="204" w:lineRule="auto"/>
              <w:ind/>
              <w:jc w:val="center"/>
            </w:pPr>
            <w:r>
              <w:t xml:space="preserve">Утвержденные бюджетные назначения </w:t>
            </w:r>
            <w:r>
              <w:br/>
            </w:r>
            <w:r>
              <w:t xml:space="preserve">на год </w:t>
            </w:r>
          </w:p>
          <w:p w14:paraId="37000000">
            <w:pPr>
              <w:widowControl w:val="0"/>
              <w:spacing w:line="204" w:lineRule="auto"/>
              <w:ind/>
              <w:jc w:val="center"/>
            </w:pPr>
            <w:r>
              <w:t>(тыс. рублей)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38000000">
            <w:pPr>
              <w:widowControl w:val="0"/>
              <w:spacing w:line="204" w:lineRule="auto"/>
              <w:ind/>
              <w:jc w:val="center"/>
            </w:pPr>
            <w:r>
              <w:t>Исполнение</w:t>
            </w:r>
          </w:p>
          <w:p w14:paraId="39000000">
            <w:pPr>
              <w:widowControl w:val="0"/>
              <w:spacing w:line="204" w:lineRule="auto"/>
              <w:ind/>
              <w:jc w:val="center"/>
            </w:pPr>
            <w:r>
              <w:t>(тыс. рублей)</w:t>
            </w:r>
          </w:p>
        </w:tc>
      </w:tr>
    </w:tbl>
    <w:p w14:paraId="3A000000">
      <w:pPr>
        <w:widowControl w:val="0"/>
        <w:spacing w:line="204" w:lineRule="auto"/>
        <w:ind/>
        <w:jc w:val="both"/>
        <w:rPr>
          <w:sz w:val="28"/>
        </w:rPr>
      </w:pPr>
    </w:p>
    <w:tbl>
      <w:tblPr>
        <w:tblStyle w:val="Style_5"/>
        <w:tblLayout w:type="fixed"/>
        <w:tblCellMar>
          <w:left w:type="dxa" w:w="57"/>
          <w:bottom w:type="dxa" w:w="57"/>
          <w:right w:type="dxa" w:w="57"/>
        </w:tblCellMar>
      </w:tblPr>
      <w:tblGrid>
        <w:gridCol w:w="5837"/>
        <w:gridCol w:w="1867"/>
        <w:gridCol w:w="1934"/>
      </w:tblGrid>
      <w:tr>
        <w:trPr>
          <w:trHeight w:hRule="atLeast" w:val="70"/>
          <w:tblHeader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3B000000">
            <w:pPr>
              <w:widowControl w:val="0"/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3C000000">
            <w:pPr>
              <w:widowControl w:val="0"/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3D000000">
            <w:pPr>
              <w:widowControl w:val="0"/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rPr>
          <w:trHeight w:hRule="atLeast" w:val="29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3E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3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0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3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1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Налоговые и неналоговые </w:t>
            </w:r>
            <w:r>
              <w:rPr>
                <w:sz w:val="28"/>
              </w:rPr>
              <w:t>доходы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15022,3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1753.5</w:t>
            </w:r>
          </w:p>
        </w:tc>
      </w:tr>
      <w:tr>
        <w:trPr>
          <w:trHeight w:hRule="atLeast" w:val="315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4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прибыль, доходы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8095,4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1083.3</w:t>
            </w:r>
          </w:p>
        </w:tc>
      </w:tr>
      <w:tr>
        <w:trPr>
          <w:trHeight w:hRule="atLeast" w:val="315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7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8095,4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1083.3</w:t>
            </w:r>
          </w:p>
        </w:tc>
      </w:tr>
      <w:tr>
        <w:trPr>
          <w:trHeight w:hRule="atLeast" w:val="315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A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746,4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447,0</w:t>
            </w:r>
          </w:p>
        </w:tc>
      </w:tr>
      <w:tr>
        <w:trPr>
          <w:trHeight w:hRule="atLeast" w:val="30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D000000">
            <w:pPr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6010,7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</w:tr>
      <w:tr>
        <w:trPr>
          <w:trHeight w:hRule="atLeast" w:val="30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0000000">
            <w:pPr>
              <w:rPr>
                <w:sz w:val="28"/>
              </w:rPr>
            </w:pPr>
            <w:r>
              <w:rPr>
                <w:sz w:val="28"/>
              </w:rPr>
              <w:t xml:space="preserve">Задолженность и перерасчеты по отмененным налогам, сборам и иным </w:t>
            </w:r>
            <w:r>
              <w:rPr>
                <w:sz w:val="28"/>
              </w:rPr>
              <w:t>обязательным платежам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</w:tr>
      <w:tr>
        <w:trPr>
          <w:trHeight w:hRule="atLeast" w:val="30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3000000">
            <w:pPr>
              <w:rPr>
                <w:sz w:val="28"/>
              </w:rPr>
            </w:pPr>
            <w:r>
              <w:rPr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162,0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46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6000000">
            <w:pPr>
              <w:rPr>
                <w:sz w:val="28"/>
              </w:rPr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9000000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>
              <w:rPr>
                <w:sz w:val="28"/>
              </w:rPr>
              <w:t>правонарушениях, за нарушение муниципальных правовых актов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280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>Безвозмездные поступления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17304.9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5098.2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F000000">
            <w:pPr>
              <w:pStyle w:val="Style_2"/>
              <w:keepNext w:val="0"/>
              <w:widowControl w:val="0"/>
              <w:ind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17304.9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5098.2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Дотации бюджетам бюджетной системы Российской </w:t>
            </w:r>
            <w:r>
              <w:rPr>
                <w:sz w:val="28"/>
              </w:rPr>
              <w:t xml:space="preserve">Федерации 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16716.7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4980.6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осуществление первичного воинского учета органами местного самоуправлени</w:t>
            </w:r>
            <w:r>
              <w:rPr>
                <w:sz w:val="28"/>
              </w:rPr>
              <w:t>я поселений, муниципальных и городских округов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588.0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117.4</w:t>
            </w:r>
          </w:p>
        </w:tc>
      </w:tr>
      <w:tr>
        <w:trPr>
          <w:trHeight w:hRule="atLeast" w:val="344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B000000">
            <w:pPr>
              <w:rPr>
                <w:sz w:val="28"/>
              </w:rPr>
            </w:pPr>
            <w:r>
              <w:rPr>
                <w:sz w:val="28"/>
              </w:rPr>
              <w:t>Итого доходов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32327,2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6851,7</w:t>
            </w:r>
          </w:p>
        </w:tc>
      </w:tr>
      <w:tr>
        <w:trPr>
          <w:trHeight w:hRule="atLeast" w:val="363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E000000">
            <w:pPr>
              <w:rPr>
                <w:sz w:val="28"/>
              </w:rPr>
            </w:pPr>
            <w:r>
              <w:rPr>
                <w:sz w:val="28"/>
              </w:rPr>
              <w:t>Расходы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F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0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56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1000000">
            <w:pPr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13953,7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1939,0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4000000">
            <w:pPr>
              <w:rPr>
                <w:sz w:val="28"/>
              </w:rPr>
            </w:pPr>
            <w:r>
              <w:rPr>
                <w:sz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sz w:val="28"/>
              </w:rPr>
              <w:t>муниципальных образований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33,2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7000000">
            <w:pPr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12530,3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1750,3</w:t>
            </w:r>
          </w:p>
        </w:tc>
      </w:tr>
      <w:tr>
        <w:trPr>
          <w:trHeight w:hRule="atLeast" w:val="268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A000000">
            <w:pPr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500,0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447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D000000">
            <w:pPr>
              <w:rPr>
                <w:sz w:val="28"/>
              </w:rPr>
            </w:pPr>
            <w:r>
              <w:rPr>
                <w:sz w:val="28"/>
              </w:rPr>
              <w:t xml:space="preserve">Другие </w:t>
            </w: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746,1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155,5</w:t>
            </w:r>
          </w:p>
        </w:tc>
      </w:tr>
      <w:tr>
        <w:trPr>
          <w:trHeight w:hRule="atLeast" w:val="36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0000000">
            <w:pPr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588,0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117,4</w:t>
            </w:r>
          </w:p>
        </w:tc>
      </w:tr>
      <w:tr>
        <w:trPr>
          <w:trHeight w:hRule="atLeast" w:val="348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3000000">
            <w:pPr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588,0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117,4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6000000">
            <w:pPr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223,0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  <w:vAlign w:val="center"/>
          </w:tcPr>
          <w:p w14:paraId="8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</w:t>
            </w:r>
            <w:r>
              <w:rPr>
                <w:sz w:val="28"/>
              </w:rPr>
              <w:t>ных ситуаций природного и техногенного характера, пожарная безопасность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223,0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46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  <w:vAlign w:val="center"/>
          </w:tcPr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  <w:vAlign w:val="center"/>
          </w:tcPr>
          <w:p w14:paraId="8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36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2000000">
            <w:pPr>
              <w:rPr>
                <w:sz w:val="28"/>
              </w:rPr>
            </w:pPr>
            <w:r>
              <w:rPr>
                <w:sz w:val="28"/>
              </w:rPr>
              <w:t>Жилищн</w:t>
            </w:r>
            <w:r>
              <w:rPr>
                <w:sz w:val="28"/>
              </w:rPr>
              <w:t>о-</w:t>
            </w:r>
            <w:r>
              <w:rPr>
                <w:sz w:val="28"/>
              </w:rPr>
              <w:t xml:space="preserve"> коммунальное хозяйство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12232,6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1316,7</w:t>
            </w:r>
          </w:p>
        </w:tc>
      </w:tr>
      <w:tr>
        <w:trPr>
          <w:trHeight w:hRule="atLeast" w:val="36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5000000">
            <w:pPr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18,9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</w:tr>
      <w:tr>
        <w:trPr>
          <w:trHeight w:hRule="atLeast" w:val="354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8000000">
            <w:pPr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12213,7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1310,9</w:t>
            </w:r>
          </w:p>
        </w:tc>
      </w:tr>
      <w:tr>
        <w:trPr>
          <w:trHeight w:hRule="atLeast" w:val="354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B000000">
            <w:pPr>
              <w:rPr>
                <w:sz w:val="28"/>
              </w:rPr>
            </w:pPr>
            <w:r>
              <w:rPr>
                <w:sz w:val="28"/>
              </w:rPr>
              <w:t>Охрана окружающей среды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354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E000000">
            <w:pPr>
              <w:rPr>
                <w:sz w:val="28"/>
              </w:rPr>
            </w:pPr>
            <w:r>
              <w:rPr>
                <w:sz w:val="28"/>
              </w:rPr>
              <w:t>Сбор, удаление отходов и очистка сточных вод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35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1000000">
            <w:pPr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4000000">
            <w:pPr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</w:tr>
      <w:tr>
        <w:trPr>
          <w:trHeight w:hRule="atLeast" w:val="347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7000000">
            <w:pPr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10394,5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2460,0</w:t>
            </w:r>
          </w:p>
        </w:tc>
      </w:tr>
      <w:tr>
        <w:trPr>
          <w:trHeight w:hRule="atLeast" w:val="367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A000000">
            <w:pPr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10394,5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2460,0</w:t>
            </w:r>
          </w:p>
        </w:tc>
      </w:tr>
      <w:tr>
        <w:trPr>
          <w:trHeight w:hRule="atLeast" w:val="35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D000000">
            <w:pPr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443,4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73,9</w:t>
            </w:r>
          </w:p>
        </w:tc>
      </w:tr>
      <w:tr>
        <w:trPr>
          <w:trHeight w:hRule="atLeast" w:val="352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0000000">
            <w:pPr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443,4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73,9</w:t>
            </w:r>
          </w:p>
        </w:tc>
      </w:tr>
      <w:tr>
        <w:trPr>
          <w:trHeight w:hRule="atLeast" w:val="357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3000000">
            <w:pPr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5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6000000">
            <w:pPr>
              <w:rPr>
                <w:sz w:val="28"/>
              </w:rPr>
            </w:pPr>
            <w:r>
              <w:rPr>
                <w:sz w:val="28"/>
              </w:rPr>
              <w:t>Другие вопросы в области физической культуры и спорта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8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18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9000000">
            <w:pPr>
              <w:rPr>
                <w:sz w:val="28"/>
              </w:rPr>
            </w:pPr>
            <w:r>
              <w:rPr>
                <w:sz w:val="28"/>
              </w:rPr>
              <w:t>Итого расходов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37954,2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5920,0</w:t>
            </w:r>
          </w:p>
        </w:tc>
      </w:tr>
      <w:tr>
        <w:trPr>
          <w:trHeight w:hRule="atLeast" w:val="500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C000000">
            <w:pPr>
              <w:rPr>
                <w:sz w:val="28"/>
              </w:rPr>
            </w:pPr>
            <w:r>
              <w:rPr>
                <w:sz w:val="28"/>
              </w:rPr>
              <w:t>Дефицит</w:t>
            </w:r>
            <w:r>
              <w:rPr>
                <w:sz w:val="28"/>
              </w:rPr>
              <w:t xml:space="preserve"> (-), </w:t>
            </w:r>
            <w:r>
              <w:rPr>
                <w:sz w:val="28"/>
              </w:rPr>
              <w:t>профицит (+)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-5627,0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-931,6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F000000">
            <w:pPr>
              <w:rPr>
                <w:sz w:val="28"/>
              </w:rPr>
            </w:pPr>
            <w:r>
              <w:rPr>
                <w:sz w:val="28"/>
              </w:rPr>
              <w:t xml:space="preserve">Источники финансирования дефицита бюджета </w:t>
            </w:r>
            <w:r>
              <w:rPr>
                <w:sz w:val="28"/>
              </w:rPr>
              <w:t>-в</w:t>
            </w:r>
            <w:r>
              <w:rPr>
                <w:sz w:val="28"/>
              </w:rPr>
              <w:t>сего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-5627,0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-931,6</w:t>
            </w:r>
          </w:p>
        </w:tc>
      </w:tr>
      <w:tr>
        <w:trPr>
          <w:trHeight w:hRule="atLeast" w:val="37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200000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-5627,0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-931,6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500000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-5627,0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-931,6</w:t>
            </w:r>
          </w:p>
        </w:tc>
      </w:tr>
      <w:tr>
        <w:trPr>
          <w:trHeight w:hRule="atLeast" w:val="365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8000000">
            <w:pPr>
              <w:rPr>
                <w:sz w:val="28"/>
              </w:rPr>
            </w:pPr>
            <w:r>
              <w:rPr>
                <w:sz w:val="28"/>
              </w:rPr>
              <w:t>Увеличение остатков средств, всего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-32327,2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-7519,0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B00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-32327,2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-7519,0</w:t>
            </w:r>
          </w:p>
        </w:tc>
      </w:tr>
      <w:tr>
        <w:trPr>
          <w:trHeight w:hRule="atLeast" w:val="353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E000000">
            <w:pPr>
              <w:rPr>
                <w:sz w:val="28"/>
              </w:rPr>
            </w:pPr>
            <w:r>
              <w:rPr>
                <w:sz w:val="28"/>
              </w:rPr>
              <w:t>Уменьшение остатков средств, всего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37954,2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6587,4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100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37954,2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6587,4</w:t>
            </w:r>
          </w:p>
        </w:tc>
      </w:tr>
    </w:tbl>
    <w:p w14:paraId="D4000000">
      <w:pPr>
        <w:rPr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Body Text 3"/>
    <w:basedOn w:val="Style_6"/>
    <w:link w:val="Style_8_ch"/>
    <w:pPr>
      <w:spacing w:after="120"/>
      <w:ind/>
    </w:pPr>
    <w:rPr>
      <w:sz w:val="16"/>
    </w:rPr>
  </w:style>
  <w:style w:styleId="Style_8_ch" w:type="character">
    <w:name w:val="Body Text 3"/>
    <w:basedOn w:val="Style_6_ch"/>
    <w:link w:val="Style_8"/>
    <w:rPr>
      <w:sz w:val="16"/>
    </w:rPr>
  </w:style>
  <w:style w:styleId="Style_9" w:type="paragraph">
    <w:name w:val="toc 4"/>
    <w:next w:val="Style_6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3" w:type="paragraph">
    <w:name w:val="ConsPlusTitle"/>
    <w:link w:val="Style_3_ch"/>
    <w:pPr>
      <w:widowControl w:val="0"/>
      <w:ind/>
    </w:pPr>
    <w:rPr>
      <w:rFonts w:ascii="Times New Roman" w:hAnsi="Times New Roman"/>
      <w:b w:val="1"/>
      <w:sz w:val="28"/>
    </w:rPr>
  </w:style>
  <w:style w:styleId="Style_3_ch" w:type="character">
    <w:name w:val="ConsPlusTitle"/>
    <w:link w:val="Style_3"/>
    <w:rPr>
      <w:rFonts w:ascii="Times New Roman" w:hAnsi="Times New Roman"/>
      <w:b w:val="1"/>
      <w:sz w:val="28"/>
    </w:rPr>
  </w:style>
  <w:style w:styleId="Style_13" w:type="paragraph">
    <w:name w:val="Обычный1"/>
    <w:link w:val="Style_13_ch"/>
    <w:rPr>
      <w:rFonts w:ascii="Times New Roman" w:hAnsi="Times New Roman"/>
      <w:sz w:val="24"/>
    </w:rPr>
  </w:style>
  <w:style w:styleId="Style_13_ch" w:type="character">
    <w:name w:val="Обычный1"/>
    <w:link w:val="Style_13"/>
    <w:rPr>
      <w:rFonts w:ascii="Times New Roman" w:hAnsi="Times New Roman"/>
      <w:sz w:val="24"/>
    </w:rPr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Знак"/>
    <w:basedOn w:val="Style_6"/>
    <w:link w:val="Style_15_ch"/>
    <w:pPr>
      <w:spacing w:after="160" w:line="240" w:lineRule="exact"/>
      <w:ind/>
    </w:pPr>
    <w:rPr>
      <w:rFonts w:ascii="Verdana" w:hAnsi="Verdana"/>
      <w:sz w:val="20"/>
    </w:rPr>
  </w:style>
  <w:style w:styleId="Style_15_ch" w:type="character">
    <w:name w:val="Знак"/>
    <w:basedOn w:val="Style_6_ch"/>
    <w:link w:val="Style_15"/>
    <w:rPr>
      <w:rFonts w:ascii="Verdana" w:hAnsi="Verdana"/>
      <w:sz w:val="20"/>
    </w:rPr>
  </w:style>
  <w:style w:styleId="Style_16" w:type="paragraph">
    <w:name w:val="footer"/>
    <w:basedOn w:val="Style_6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6_ch"/>
    <w:link w:val="Style_16"/>
  </w:style>
  <w:style w:styleId="Style_17" w:type="paragraph">
    <w:name w:val="apple-converted-space"/>
    <w:basedOn w:val="Style_18"/>
    <w:link w:val="Style_17_ch"/>
  </w:style>
  <w:style w:styleId="Style_17_ch" w:type="character">
    <w:name w:val="apple-converted-space"/>
    <w:basedOn w:val="Style_18_ch"/>
    <w:link w:val="Style_17"/>
  </w:style>
  <w:style w:styleId="Style_19" w:type="paragraph">
    <w:name w:val="Body Text Indent"/>
    <w:basedOn w:val="Style_6"/>
    <w:link w:val="Style_19_ch"/>
    <w:pPr>
      <w:ind w:firstLine="651" w:left="57"/>
      <w:jc w:val="both"/>
    </w:pPr>
    <w:rPr>
      <w:sz w:val="28"/>
    </w:rPr>
  </w:style>
  <w:style w:styleId="Style_19_ch" w:type="character">
    <w:name w:val="Body Text Indent"/>
    <w:basedOn w:val="Style_6_ch"/>
    <w:link w:val="Style_19"/>
    <w:rPr>
      <w:sz w:val="28"/>
    </w:rPr>
  </w:style>
  <w:style w:styleId="Style_20" w:type="paragraph">
    <w:name w:val="toc 3"/>
    <w:next w:val="Style_6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heading 5"/>
    <w:next w:val="Style_6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" w:type="paragraph">
    <w:name w:val="heading 1"/>
    <w:basedOn w:val="Style_6"/>
    <w:next w:val="Style_6"/>
    <w:link w:val="Style_2_ch"/>
    <w:uiPriority w:val="9"/>
    <w:qFormat/>
    <w:pPr>
      <w:keepNext w:val="1"/>
      <w:ind/>
      <w:outlineLvl w:val="0"/>
    </w:pPr>
    <w:rPr>
      <w:sz w:val="28"/>
    </w:rPr>
  </w:style>
  <w:style w:styleId="Style_2_ch" w:type="character">
    <w:name w:val="heading 1"/>
    <w:basedOn w:val="Style_6_ch"/>
    <w:link w:val="Style_2"/>
    <w:rPr>
      <w:sz w:val="28"/>
    </w:rPr>
  </w:style>
  <w:style w:styleId="Style_22" w:type="paragraph">
    <w:name w:val="List Paragraph"/>
    <w:basedOn w:val="Style_6"/>
    <w:link w:val="Style_22_ch"/>
    <w:pPr>
      <w:ind w:firstLine="0" w:left="720"/>
      <w:contextualSpacing w:val="1"/>
    </w:pPr>
  </w:style>
  <w:style w:styleId="Style_22_ch" w:type="character">
    <w:name w:val="List Paragraph"/>
    <w:basedOn w:val="Style_6_ch"/>
    <w:link w:val="Style_22"/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4" w:type="paragraph">
    <w:name w:val="ConsPlusNormal"/>
    <w:link w:val="Style_4_ch"/>
    <w:pPr>
      <w:widowControl w:val="0"/>
      <w:ind/>
    </w:pPr>
    <w:rPr>
      <w:rFonts w:ascii="Times New Roman" w:hAnsi="Times New Roman"/>
      <w:sz w:val="28"/>
    </w:rPr>
  </w:style>
  <w:style w:styleId="Style_4_ch" w:type="character">
    <w:name w:val="ConsPlusNormal"/>
    <w:link w:val="Style_4"/>
    <w:rPr>
      <w:rFonts w:ascii="Times New Roman" w:hAnsi="Times New Roman"/>
      <w:sz w:val="28"/>
    </w:rPr>
  </w:style>
  <w:style w:styleId="Style_25" w:type="paragraph">
    <w:name w:val="toc 1"/>
    <w:next w:val="Style_6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27" w:type="paragraph">
    <w:name w:val="toc 9"/>
    <w:next w:val="Style_6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8" w:type="paragraph">
    <w:name w:val="toc 8"/>
    <w:next w:val="Style_6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toc 5"/>
    <w:next w:val="Style_6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Balloon Text"/>
    <w:basedOn w:val="Style_6"/>
    <w:link w:val="Style_31_ch"/>
    <w:rPr>
      <w:rFonts w:ascii="Tahoma" w:hAnsi="Tahoma"/>
      <w:sz w:val="16"/>
    </w:rPr>
  </w:style>
  <w:style w:styleId="Style_31_ch" w:type="character">
    <w:name w:val="Balloon Text"/>
    <w:basedOn w:val="Style_6_ch"/>
    <w:link w:val="Style_31"/>
    <w:rPr>
      <w:rFonts w:ascii="Tahoma" w:hAnsi="Tahoma"/>
      <w:sz w:val="16"/>
    </w:rPr>
  </w:style>
  <w:style w:styleId="Style_32" w:type="paragraph">
    <w:name w:val="Subtitle"/>
    <w:next w:val="Style_6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6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6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6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5"/>
    <w:rPr>
      <w:rFonts w:ascii="Times New Roman" w:hAnsi="Times New Roman"/>
      <w:sz w:val="28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2023-04-12T12:26:04Z</dcterms:modified>
</cp:coreProperties>
</file>