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 xml:space="preserve">КУЙБЫШЕВСКОГО СЕЛЬСКОГО </w:t>
      </w:r>
      <w:r>
        <w:rPr>
          <w:b w:val="1"/>
          <w:sz w:val="28"/>
        </w:rPr>
        <w:t>ПОСЕЛЕНИЯ</w:t>
      </w:r>
    </w:p>
    <w:p w14:paraId="0A000000">
      <w:pPr>
        <w:ind/>
        <w:jc w:val="right"/>
        <w:rPr>
          <w:sz w:val="28"/>
        </w:rPr>
      </w:pPr>
    </w:p>
    <w:p w14:paraId="0B000000">
      <w:pPr>
        <w:pStyle w:val="Style_1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pStyle w:val="Style_1"/>
        <w:ind/>
        <w:jc w:val="center"/>
        <w:rPr>
          <w:b w:val="1"/>
        </w:rPr>
      </w:pPr>
    </w:p>
    <w:p w14:paraId="0D000000">
      <w:pPr>
        <w:pStyle w:val="Style_1"/>
        <w:ind/>
        <w:jc w:val="both"/>
        <w:rPr>
          <w:b w:val="1"/>
        </w:rPr>
      </w:pPr>
      <w:r>
        <w:rPr>
          <w:b w:val="1"/>
        </w:rPr>
        <w:t>15.</w:t>
      </w:r>
      <w:r>
        <w:rPr>
          <w:b w:val="1"/>
        </w:rPr>
        <w:t>04</w:t>
      </w:r>
      <w:r>
        <w:rPr>
          <w:b w:val="1"/>
        </w:rPr>
        <w:t>.20</w:t>
      </w:r>
      <w:r>
        <w:rPr>
          <w:b w:val="1"/>
        </w:rPr>
        <w:t>2</w:t>
      </w:r>
      <w:r>
        <w:rPr>
          <w:b w:val="1"/>
        </w:rPr>
        <w:t>4</w:t>
      </w:r>
      <w:r>
        <w:rPr>
          <w:b w:val="1"/>
        </w:rPr>
        <w:t xml:space="preserve"> 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            </w:t>
      </w:r>
      <w:r>
        <w:rPr>
          <w:b w:val="1"/>
        </w:rPr>
        <w:t xml:space="preserve">  № 57</w:t>
      </w:r>
      <w:r>
        <w:rPr>
          <w:b w:val="1"/>
        </w:rPr>
        <w:t xml:space="preserve">   </w:t>
      </w:r>
      <w:r>
        <w:rPr>
          <w:b w:val="1"/>
        </w:rPr>
        <w:t xml:space="preserve">                </w:t>
      </w:r>
      <w:r>
        <w:rPr>
          <w:b w:val="1"/>
        </w:rPr>
        <w:t xml:space="preserve">   </w:t>
      </w:r>
      <w:r>
        <w:rPr>
          <w:b w:val="1"/>
        </w:rPr>
        <w:t xml:space="preserve">            </w:t>
      </w:r>
      <w:r>
        <w:rPr>
          <w:b w:val="1"/>
        </w:rPr>
        <w:t>с. Куйбышево</w:t>
      </w:r>
    </w:p>
    <w:p w14:paraId="0E000000">
      <w:pPr>
        <w:ind/>
        <w:jc w:val="center"/>
        <w:rPr>
          <w:sz w:val="28"/>
        </w:rPr>
      </w:pPr>
    </w:p>
    <w:p w14:paraId="0F000000">
      <w:pPr>
        <w:pStyle w:val="Style_2"/>
        <w:spacing w:line="240" w:lineRule="auto"/>
        <w:ind/>
        <w:jc w:val="center"/>
        <w:rPr>
          <w:b w:val="0"/>
        </w:rPr>
      </w:pPr>
      <w:r>
        <w:t>Об отчете исполнения бюджета Куйбышевского сельского посел</w:t>
      </w:r>
      <w:r>
        <w:t xml:space="preserve">ения Куйбышевского района за </w:t>
      </w:r>
      <w:r>
        <w:t>1</w:t>
      </w:r>
      <w:r>
        <w:t xml:space="preserve"> </w:t>
      </w:r>
      <w:r>
        <w:t>квартал 202</w:t>
      </w:r>
      <w:r>
        <w:t>4</w:t>
      </w:r>
      <w:r>
        <w:t xml:space="preserve"> </w:t>
      </w:r>
      <w:r>
        <w:t>года</w:t>
      </w:r>
    </w:p>
    <w:p w14:paraId="10000000">
      <w:pPr>
        <w:pStyle w:val="Style_3"/>
        <w:spacing w:line="240" w:lineRule="auto"/>
        <w:ind/>
        <w:jc w:val="center"/>
      </w:pPr>
    </w:p>
    <w:p w14:paraId="11000000">
      <w:pPr>
        <w:widowControl w:val="0"/>
        <w:spacing w:line="240" w:lineRule="auto"/>
        <w:ind w:firstLine="709" w:left="0"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со статьей 264.2 Бюджетного кодекса Российской Федерации, пунктом 33</w:t>
      </w:r>
      <w:r>
        <w:rPr>
          <w:sz w:val="28"/>
        </w:rPr>
        <w:t xml:space="preserve"> </w:t>
      </w:r>
      <w:r>
        <w:rPr>
          <w:sz w:val="28"/>
        </w:rPr>
        <w:t>решения Собрания депутатов Куйбышевского сельского поселения</w:t>
      </w:r>
      <w:r>
        <w:t xml:space="preserve"> </w:t>
      </w:r>
      <w:r>
        <w:rPr>
          <w:sz w:val="28"/>
        </w:rPr>
        <w:t>от 28.09.</w:t>
      </w:r>
      <w:r>
        <w:rPr>
          <w:sz w:val="28"/>
        </w:rPr>
        <w:t>20</w:t>
      </w:r>
      <w:r>
        <w:rPr>
          <w:sz w:val="28"/>
        </w:rPr>
        <w:t xml:space="preserve">07 № 34 «Об утверждении Положения о бюджетном процессе в Куйбышевском сельском поселении», </w:t>
      </w:r>
      <w:r>
        <w:rPr>
          <w:b w:val="1"/>
          <w:i w:val="1"/>
          <w:spacing w:val="24"/>
          <w:sz w:val="28"/>
        </w:rPr>
        <w:t>постановляю:</w:t>
      </w:r>
    </w:p>
    <w:p w14:paraId="12000000">
      <w:pPr>
        <w:widowControl w:val="0"/>
        <w:spacing w:line="240" w:lineRule="auto"/>
        <w:ind w:firstLine="709" w:left="0"/>
        <w:jc w:val="both"/>
        <w:rPr>
          <w:sz w:val="28"/>
        </w:rPr>
      </w:pPr>
    </w:p>
    <w:p w14:paraId="13000000">
      <w:pPr>
        <w:pStyle w:val="Style_3"/>
        <w:spacing w:line="240" w:lineRule="auto"/>
        <w:ind w:firstLine="709" w:left="0"/>
        <w:jc w:val="both"/>
      </w:pPr>
      <w:r>
        <w:t>1.</w:t>
      </w:r>
      <w:r>
        <w:t> </w:t>
      </w:r>
      <w:r>
        <w:t xml:space="preserve">Утвердить отчет об исполнении бюджета Куйбышевского сельского поселения Куйбышевского района за </w:t>
      </w:r>
      <w:r>
        <w:t>1 квартал</w:t>
      </w:r>
      <w:r>
        <w:t xml:space="preserve"> </w:t>
      </w:r>
      <w:r>
        <w:t>20</w:t>
      </w:r>
      <w:r>
        <w:t>2</w:t>
      </w:r>
      <w:r>
        <w:t>4</w:t>
      </w:r>
      <w:r>
        <w:t xml:space="preserve"> года по доходам в сумме </w:t>
      </w:r>
      <w:r>
        <w:t>9109,00</w:t>
      </w:r>
      <w:r>
        <w:t xml:space="preserve"> </w:t>
      </w:r>
      <w:r>
        <w:t xml:space="preserve">тыс. рублей, по расходам в сумме </w:t>
      </w:r>
      <w:r>
        <w:t>5536.5</w:t>
      </w:r>
      <w:r>
        <w:t xml:space="preserve"> тыс. рублей</w:t>
      </w:r>
      <w:r>
        <w:t>.</w:t>
      </w:r>
    </w:p>
    <w:p w14:paraId="14000000">
      <w:pPr>
        <w:pStyle w:val="Style_3"/>
        <w:spacing w:line="240" w:lineRule="auto"/>
        <w:ind w:firstLine="709" w:left="0"/>
        <w:jc w:val="both"/>
      </w:pPr>
      <w:r>
        <w:t>Определить, что держателем оригинала отчета</w:t>
      </w:r>
      <w:r>
        <w:t xml:space="preserve"> </w:t>
      </w:r>
      <w:r>
        <w:t xml:space="preserve">об исполнении бюджета Куйбышевского сельского поселения Куйбышевского района за </w:t>
      </w:r>
      <w:r>
        <w:t>1</w:t>
      </w:r>
      <w:r>
        <w:t xml:space="preserve"> </w:t>
      </w:r>
      <w:r>
        <w:t>квартал 202</w:t>
      </w:r>
      <w:r>
        <w:t>4</w:t>
      </w:r>
      <w:r>
        <w:t xml:space="preserve"> года</w:t>
      </w:r>
      <w:r>
        <w:t xml:space="preserve"> является</w:t>
      </w:r>
      <w:r>
        <w:t xml:space="preserve"> сектор экономики и финансов Администрации Куйбышевского сельского поселения.</w:t>
      </w:r>
    </w:p>
    <w:p w14:paraId="15000000">
      <w:pPr>
        <w:pStyle w:val="Style_3"/>
        <w:spacing w:line="240" w:lineRule="auto"/>
        <w:ind w:firstLine="709" w:left="0"/>
        <w:jc w:val="both"/>
      </w:pPr>
      <w:r>
        <w:t>2</w:t>
      </w:r>
      <w:r>
        <w:t>. В целях информации населения сельского поселения опубликовать сведения о ходе исполнения бюджета</w:t>
      </w:r>
      <w:r>
        <w:t xml:space="preserve"> </w:t>
      </w:r>
      <w:r>
        <w:t xml:space="preserve">Куйбышевского сельского поселения Куйбышевского района за </w:t>
      </w:r>
      <w:r>
        <w:t>1</w:t>
      </w:r>
      <w:r>
        <w:t xml:space="preserve"> </w:t>
      </w:r>
      <w:r>
        <w:t>квартал</w:t>
      </w:r>
      <w:r>
        <w:t xml:space="preserve"> </w:t>
      </w:r>
      <w:r>
        <w:t>202</w:t>
      </w:r>
      <w:r>
        <w:t>4</w:t>
      </w:r>
      <w:r>
        <w:t xml:space="preserve"> года согласно</w:t>
      </w:r>
      <w:r>
        <w:t xml:space="preserve"> </w:t>
      </w:r>
      <w:r>
        <w:t>приложению к настоящему постановлению.</w:t>
      </w:r>
    </w:p>
    <w:p w14:paraId="1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>Направить настоящее постановление и отчет</w:t>
      </w:r>
      <w:r>
        <w:t xml:space="preserve"> </w:t>
      </w:r>
      <w:r>
        <w:rPr>
          <w:sz w:val="28"/>
        </w:rPr>
        <w:t xml:space="preserve">об исполнении бюджета Куйбышевского сельского поселения Куйбышевского района за </w:t>
      </w:r>
      <w:r>
        <w:rPr>
          <w:sz w:val="28"/>
        </w:rPr>
        <w:t>1 квартал 202</w:t>
      </w:r>
      <w:r>
        <w:rPr>
          <w:sz w:val="28"/>
        </w:rPr>
        <w:t xml:space="preserve">4 </w:t>
      </w:r>
      <w:r>
        <w:rPr>
          <w:sz w:val="28"/>
        </w:rPr>
        <w:t>года</w:t>
      </w:r>
      <w:r>
        <w:rPr>
          <w:sz w:val="28"/>
        </w:rPr>
        <w:t xml:space="preserve"> Собранию депутатов Куйбышевского сельского поселени</w:t>
      </w:r>
      <w:r>
        <w:rPr>
          <w:sz w:val="28"/>
        </w:rPr>
        <w:t>я</w:t>
      </w:r>
      <w:r>
        <w:rPr>
          <w:sz w:val="28"/>
        </w:rPr>
        <w:t>.</w:t>
      </w:r>
    </w:p>
    <w:p w14:paraId="17000000">
      <w:pPr>
        <w:pStyle w:val="Style_3"/>
        <w:ind w:firstLine="709" w:left="0"/>
        <w:jc w:val="both"/>
      </w:pPr>
      <w:r>
        <w:t>4</w:t>
      </w:r>
      <w:r>
        <w:t>.</w:t>
      </w:r>
      <w:r>
        <w:t> </w:t>
      </w:r>
      <w:r>
        <w:t>Настоящее п</w:t>
      </w:r>
      <w:r>
        <w:t>остановление вступает в силу со дня его официального опубликования.</w:t>
      </w:r>
    </w:p>
    <w:p w14:paraId="18000000">
      <w:pPr>
        <w:pStyle w:val="Style_3"/>
        <w:ind w:firstLine="709" w:left="0"/>
        <w:jc w:val="both"/>
      </w:pPr>
      <w:r>
        <w:t>5</w:t>
      </w:r>
      <w:r>
        <w:t>.</w:t>
      </w:r>
      <w:r>
        <w:t> </w:t>
      </w:r>
      <w:r>
        <w:t xml:space="preserve">Контроль за выполнением </w:t>
      </w:r>
      <w:r>
        <w:t xml:space="preserve">настоящего </w:t>
      </w:r>
      <w:r>
        <w:t xml:space="preserve">постановления </w:t>
      </w:r>
      <w:r>
        <w:t>возложить на начальника сектора экономики и финансов Терещенко С.Н.</w:t>
      </w:r>
    </w:p>
    <w:p w14:paraId="19000000">
      <w:pPr>
        <w:pStyle w:val="Style_3"/>
        <w:ind w:firstLine="709" w:left="0"/>
        <w:jc w:val="both"/>
      </w:pPr>
    </w:p>
    <w:p w14:paraId="1A000000">
      <w:pPr>
        <w:pStyle w:val="Style_3"/>
        <w:ind w:firstLine="709" w:left="0"/>
        <w:jc w:val="both"/>
      </w:pPr>
    </w:p>
    <w:p w14:paraId="1B000000">
      <w:pPr>
        <w:pStyle w:val="Style_3"/>
        <w:ind w:firstLine="709" w:left="0"/>
        <w:jc w:val="both"/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E000000">
      <w:pPr>
        <w:ind/>
        <w:contextualSpacing w:val="1"/>
        <w:rPr>
          <w:sz w:val="20"/>
        </w:rPr>
      </w:pPr>
    </w:p>
    <w:p w14:paraId="1F000000">
      <w:pPr>
        <w:ind/>
        <w:contextualSpacing w:val="1"/>
        <w:rPr>
          <w:sz w:val="22"/>
        </w:rPr>
      </w:pPr>
      <w:r>
        <w:rPr>
          <w:sz w:val="22"/>
        </w:rPr>
        <w:t>Постановление вносит</w:t>
      </w:r>
    </w:p>
    <w:p w14:paraId="20000000">
      <w:pPr>
        <w:ind/>
        <w:contextualSpacing w:val="1"/>
        <w:rPr>
          <w:sz w:val="20"/>
        </w:rPr>
      </w:pPr>
      <w:r>
        <w:rPr>
          <w:sz w:val="22"/>
        </w:rPr>
        <w:t>сектор экономики и финансов</w:t>
      </w:r>
      <w:r>
        <w:br w:type="page"/>
      </w:r>
    </w:p>
    <w:p w14:paraId="21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2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23000000">
      <w:pPr>
        <w:ind w:firstLine="0" w:left="6236"/>
        <w:jc w:val="center"/>
        <w:rPr>
          <w:sz w:val="28"/>
        </w:rPr>
      </w:pPr>
      <w:r>
        <w:rPr>
          <w:sz w:val="28"/>
        </w:rPr>
        <w:t>от 15</w:t>
      </w:r>
      <w:r>
        <w:rPr>
          <w:sz w:val="28"/>
        </w:rPr>
        <w:t>.04.202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№ 57</w:t>
      </w:r>
    </w:p>
    <w:p w14:paraId="24000000">
      <w:pPr>
        <w:ind w:firstLine="0" w:left="6236"/>
        <w:jc w:val="center"/>
        <w:rPr>
          <w:sz w:val="28"/>
        </w:rPr>
      </w:pPr>
    </w:p>
    <w:p w14:paraId="25000000">
      <w:pPr>
        <w:ind/>
        <w:jc w:val="right"/>
        <w:rPr>
          <w:sz w:val="28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ходе исполнения бюджета Куйбышевского сельского поселения Куйбышевского района за </w:t>
      </w:r>
      <w:r>
        <w:rPr>
          <w:b w:val="1"/>
          <w:sz w:val="28"/>
        </w:rPr>
        <w:t>1 квартал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года</w:t>
      </w: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Исполнение бюджета сельского поселения за </w:t>
      </w:r>
      <w:r>
        <w:rPr>
          <w:sz w:val="28"/>
        </w:rPr>
        <w:t>1 квартал 202</w:t>
      </w:r>
      <w:r>
        <w:rPr>
          <w:sz w:val="28"/>
        </w:rPr>
        <w:t>4</w:t>
      </w:r>
      <w:r>
        <w:rPr>
          <w:sz w:val="28"/>
        </w:rPr>
        <w:t xml:space="preserve"> года составило по доходам в сумме </w:t>
      </w:r>
      <w:r>
        <w:rPr>
          <w:sz w:val="28"/>
        </w:rPr>
        <w:t>9109,0</w:t>
      </w:r>
      <w:r>
        <w:rPr>
          <w:sz w:val="28"/>
        </w:rPr>
        <w:t xml:space="preserve"> тыс. рублей,</w:t>
      </w:r>
      <w:r>
        <w:rPr>
          <w:sz w:val="28"/>
        </w:rPr>
        <w:t xml:space="preserve"> или</w:t>
      </w:r>
      <w:r>
        <w:rPr>
          <w:sz w:val="28"/>
        </w:rPr>
        <w:t xml:space="preserve"> </w:t>
      </w:r>
      <w:r>
        <w:rPr>
          <w:sz w:val="28"/>
        </w:rPr>
        <w:t>23,4</w:t>
      </w:r>
      <w:r>
        <w:rPr>
          <w:sz w:val="28"/>
        </w:rPr>
        <w:t xml:space="preserve"> </w:t>
      </w:r>
      <w:r>
        <w:rPr>
          <w:sz w:val="28"/>
        </w:rPr>
        <w:t>процента</w:t>
      </w:r>
      <w:r>
        <w:rPr>
          <w:sz w:val="28"/>
        </w:rPr>
        <w:t xml:space="preserve"> к годовому плану и по расходам в </w:t>
      </w:r>
      <w:r>
        <w:rPr>
          <w:sz w:val="28"/>
        </w:rPr>
        <w:t xml:space="preserve">сумме </w:t>
      </w:r>
      <w:r>
        <w:rPr>
          <w:sz w:val="28"/>
        </w:rPr>
        <w:t>5536.5</w:t>
      </w:r>
      <w:r>
        <w:rPr>
          <w:sz w:val="28"/>
        </w:rPr>
        <w:t xml:space="preserve"> тыс. рублей, или </w:t>
      </w:r>
      <w:r>
        <w:rPr>
          <w:sz w:val="28"/>
        </w:rPr>
        <w:t>14.3</w:t>
      </w:r>
      <w:r>
        <w:rPr>
          <w:sz w:val="28"/>
        </w:rPr>
        <w:t xml:space="preserve"> процента к плану года.</w:t>
      </w:r>
    </w:p>
    <w:p w14:paraId="2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Показатели бюджета сельского поселения за </w:t>
      </w:r>
      <w:r>
        <w:rPr>
          <w:sz w:val="28"/>
        </w:rPr>
        <w:t>1 квартал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года прилагаются</w:t>
      </w:r>
      <w:r>
        <w:rPr>
          <w:sz w:val="28"/>
        </w:rPr>
        <w:t>.</w:t>
      </w:r>
    </w:p>
    <w:p w14:paraId="2B000000">
      <w:pPr>
        <w:ind w:firstLine="708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сельск</w:t>
      </w:r>
      <w:r>
        <w:rPr>
          <w:sz w:val="28"/>
        </w:rPr>
        <w:t xml:space="preserve">ого поселения исполнены в сумме </w:t>
      </w:r>
      <w:r>
        <w:rPr>
          <w:sz w:val="28"/>
        </w:rPr>
        <w:t>3104,2</w:t>
      </w:r>
      <w:r>
        <w:rPr>
          <w:sz w:val="28"/>
        </w:rPr>
        <w:t xml:space="preserve"> тыс. рублей, или </w:t>
      </w:r>
      <w:r>
        <w:rPr>
          <w:sz w:val="28"/>
        </w:rPr>
        <w:t>38,9</w:t>
      </w:r>
      <w:r>
        <w:rPr>
          <w:sz w:val="28"/>
        </w:rPr>
        <w:t xml:space="preserve"> процентов</w:t>
      </w:r>
      <w:r>
        <w:rPr>
          <w:sz w:val="28"/>
        </w:rPr>
        <w:t xml:space="preserve"> к годовым плановым назначениям.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безвозмездных поступлений за </w:t>
      </w:r>
      <w:r>
        <w:rPr>
          <w:sz w:val="28"/>
        </w:rPr>
        <w:t>1 квартал 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года составил </w:t>
      </w:r>
      <w:r>
        <w:rPr>
          <w:sz w:val="28"/>
        </w:rPr>
        <w:t>600</w:t>
      </w:r>
      <w:r>
        <w:rPr>
          <w:sz w:val="28"/>
        </w:rPr>
        <w:t>4,8</w:t>
      </w:r>
      <w:r>
        <w:rPr>
          <w:sz w:val="28"/>
        </w:rPr>
        <w:t xml:space="preserve"> тыс. рублей.</w:t>
      </w:r>
    </w:p>
    <w:p w14:paraId="2D000000">
      <w:pPr>
        <w:ind w:firstLine="709"/>
        <w:jc w:val="both"/>
        <w:rPr>
          <w:sz w:val="28"/>
        </w:rPr>
      </w:pPr>
      <w:r>
        <w:rPr>
          <w:sz w:val="28"/>
        </w:rPr>
        <w:t xml:space="preserve">Поддержка национальной экономики и жилищно-коммунального хозяйства – </w:t>
      </w:r>
      <w:r>
        <w:rPr>
          <w:sz w:val="28"/>
        </w:rPr>
        <w:t>1314.8</w:t>
      </w:r>
      <w:r>
        <w:rPr>
          <w:sz w:val="28"/>
        </w:rPr>
        <w:t xml:space="preserve"> тыс. рублей.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бюджета сельского поселения была направлена на решение социальных и экономических задач сельского поселения. Приоритетом являлось обеспечение населения бюджетными услугами отрасли социальной сферы. Расходы на культуру, социальную политику, культуру, спорт составило </w:t>
      </w:r>
      <w:r>
        <w:rPr>
          <w:sz w:val="28"/>
        </w:rPr>
        <w:t>24.2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а</w:t>
      </w:r>
      <w:r>
        <w:rPr>
          <w:sz w:val="28"/>
        </w:rPr>
        <w:t xml:space="preserve"> от общей суммы расходов.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color w:val="FF0000"/>
          <w:sz w:val="28"/>
        </w:rPr>
      </w:pPr>
    </w:p>
    <w:p w14:paraId="31000000">
      <w:pPr>
        <w:rPr>
          <w:color w:val="FF0000"/>
          <w:sz w:val="28"/>
        </w:rPr>
      </w:pPr>
    </w:p>
    <w:p w14:paraId="32000000">
      <w:pPr>
        <w:rPr>
          <w:color w:val="FF0000"/>
          <w:sz w:val="28"/>
        </w:rPr>
      </w:pPr>
    </w:p>
    <w:p w14:paraId="33000000">
      <w:pPr>
        <w:rPr>
          <w:color w:val="FF0000"/>
          <w:sz w:val="28"/>
        </w:rPr>
      </w:pPr>
    </w:p>
    <w:p w14:paraId="34000000">
      <w:pPr>
        <w:rPr>
          <w:color w:val="FF0000"/>
          <w:sz w:val="28"/>
        </w:rPr>
      </w:pPr>
    </w:p>
    <w:p w14:paraId="35000000">
      <w:pPr>
        <w:rPr>
          <w:color w:val="FF0000"/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ind/>
        <w:jc w:val="right"/>
        <w:rPr>
          <w:sz w:val="28"/>
        </w:rPr>
      </w:pPr>
    </w:p>
    <w:p w14:paraId="3E000000">
      <w:pPr>
        <w:ind w:firstLine="0" w:left="6236"/>
        <w:jc w:val="center"/>
        <w:rPr>
          <w:sz w:val="28"/>
        </w:rPr>
      </w:pPr>
      <w:r>
        <w:rPr>
          <w:sz w:val="28"/>
        </w:rPr>
        <w:t>Приложение</w:t>
      </w:r>
    </w:p>
    <w:p w14:paraId="3F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сведениям о ходе </w:t>
      </w:r>
      <w:r>
        <w:rPr>
          <w:sz w:val="28"/>
        </w:rPr>
        <w:t xml:space="preserve">исполнения бюджета </w:t>
      </w:r>
      <w:r>
        <w:rPr>
          <w:sz w:val="28"/>
        </w:rPr>
        <w:t xml:space="preserve">сельского поселения </w:t>
      </w:r>
    </w:p>
    <w:p w14:paraId="40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41000000">
      <w:pPr>
        <w:ind w:firstLine="0" w:left="6236"/>
        <w:jc w:val="center"/>
        <w:rPr>
          <w:sz w:val="28"/>
        </w:rPr>
      </w:pPr>
    </w:p>
    <w:p w14:paraId="42000000">
      <w:pPr>
        <w:ind/>
        <w:jc w:val="center"/>
        <w:rPr>
          <w:sz w:val="28"/>
        </w:rPr>
      </w:pPr>
      <w:r>
        <w:rPr>
          <w:sz w:val="28"/>
        </w:rPr>
        <w:t>ИНФОРМАЦИЯ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бюджета Куйбышевского сельского поселения Куйбышевского района за </w:t>
      </w:r>
      <w:r>
        <w:rPr>
          <w:sz w:val="28"/>
        </w:rPr>
        <w:t>1 квартал 202</w:t>
      </w:r>
      <w:r>
        <w:rPr>
          <w:sz w:val="28"/>
        </w:rPr>
        <w:t>4</w:t>
      </w:r>
      <w:r>
        <w:rPr>
          <w:sz w:val="28"/>
        </w:rPr>
        <w:t xml:space="preserve"> года</w:t>
      </w:r>
    </w:p>
    <w:p w14:paraId="44000000">
      <w:pPr>
        <w:widowControl w:val="0"/>
        <w:spacing w:line="204" w:lineRule="auto"/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bottom w:type="dxa" w:w="57"/>
          <w:right w:type="dxa" w:w="57"/>
        </w:tblCellMar>
      </w:tblPr>
      <w:tblGrid>
        <w:gridCol w:w="5845"/>
        <w:gridCol w:w="1863"/>
        <w:gridCol w:w="1930"/>
      </w:tblGrid>
      <w:tr>
        <w:tc>
          <w:tcPr>
            <w:tcW w:type="dxa" w:w="5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45000000">
            <w:pPr>
              <w:widowControl w:val="0"/>
              <w:spacing w:line="204" w:lineRule="auto"/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46000000">
            <w:pPr>
              <w:widowControl w:val="0"/>
              <w:spacing w:line="204" w:lineRule="auto"/>
              <w:ind/>
              <w:jc w:val="center"/>
            </w:pPr>
            <w:r>
              <w:t xml:space="preserve">Утвержденные бюджетные назначения </w:t>
            </w:r>
            <w:r>
              <w:br/>
            </w:r>
            <w:r>
              <w:t xml:space="preserve">на год </w:t>
            </w:r>
          </w:p>
          <w:p w14:paraId="47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48000000">
            <w:pPr>
              <w:widowControl w:val="0"/>
              <w:spacing w:line="204" w:lineRule="auto"/>
              <w:ind/>
              <w:jc w:val="center"/>
            </w:pPr>
            <w:r>
              <w:t>Исполнение</w:t>
            </w:r>
          </w:p>
          <w:p w14:paraId="49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</w:tr>
    </w:tbl>
    <w:p w14:paraId="4A000000">
      <w:pPr>
        <w:widowControl w:val="0"/>
        <w:spacing w:line="204" w:lineRule="auto"/>
        <w:ind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57"/>
          <w:bottom w:type="dxa" w:w="57"/>
          <w:right w:type="dxa" w:w="57"/>
        </w:tblCellMar>
      </w:tblPr>
      <w:tblGrid>
        <w:gridCol w:w="5837"/>
        <w:gridCol w:w="1867"/>
        <w:gridCol w:w="1934"/>
      </w:tblGrid>
      <w:tr>
        <w:trPr>
          <w:trHeight w:hRule="atLeast" w:val="70"/>
          <w:tblHeader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B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C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D000000">
            <w:pPr>
              <w:widowControl w:val="0"/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9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E00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F000000">
            <w:pPr>
              <w:spacing w:line="24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0000000">
            <w:pPr>
              <w:spacing w:line="240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100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15495,8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3104,2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400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прибыль, 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7970,1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1072,5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700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7970,1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1072,5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A000000">
            <w:pPr>
              <w:widowControl w:val="0"/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1059,0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6528,9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971,8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166,2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313"/>
          <w:hidden w:val="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</w:p>
        </w:tc>
      </w:tr>
      <w:tr>
        <w:trPr>
          <w:trHeight w:hRule="atLeast" w:val="28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23309,6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6004,8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F000000">
            <w:pPr>
              <w:pStyle w:val="Style_1"/>
              <w:keepNext w:val="0"/>
              <w:widowControl w:val="0"/>
              <w:ind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22477,6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5591,4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21485,8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5343,3</w:t>
            </w:r>
          </w:p>
        </w:tc>
      </w:tr>
      <w:tr>
        <w:trPr>
          <w:trHeight w:hRule="atLeast" w:val="261"/>
          <w:hidden w:val="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991,8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248,1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126,6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</w:rPr>
              <w:t>органами местного самоуправления</w:t>
            </w:r>
            <w:r>
              <w:rPr>
                <w:sz w:val="28"/>
              </w:rPr>
              <w:t xml:space="preserve"> поселений, муниципальных и городских округов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705,2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>
        <w:trPr>
          <w:trHeight w:hRule="atLeast" w:val="34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Итого доходов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38805,4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9109,0</w:t>
            </w:r>
          </w:p>
        </w:tc>
      </w:tr>
      <w:tr>
        <w:trPr>
          <w:trHeight w:hRule="atLeast" w:val="36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800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56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14139,0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2283,5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D000000">
            <w:pPr>
              <w:rPr>
                <w:sz w:val="28"/>
              </w:rPr>
            </w:pPr>
            <w:r>
              <w:rPr>
                <w:sz w:val="28"/>
              </w:rPr>
              <w:t>Функционирование законодатель</w:t>
            </w:r>
            <w:r>
              <w:rPr>
                <w:sz w:val="28"/>
              </w:rPr>
              <w:t>ных (пред</w:t>
            </w:r>
            <w:r>
              <w:rPr>
                <w:sz w:val="28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12876,8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2076,4</w:t>
            </w:r>
          </w:p>
        </w:tc>
      </w:tr>
      <w:tr>
        <w:trPr>
          <w:trHeight w:hRule="atLeast" w:val="283"/>
          <w:hidden w:val="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4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588,0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</w:tr>
      <w:tr>
        <w:trPr>
          <w:trHeight w:hRule="atLeast" w:val="36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705,2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>
        <w:trPr>
          <w:trHeight w:hRule="atLeast" w:val="34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готовка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705,2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113,2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ных ситуаций природного и техногенного характера, </w:t>
            </w:r>
            <w:r>
              <w:rPr>
                <w:sz w:val="28"/>
              </w:rPr>
              <w:t>пожарная безопасность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</w:tr>
      <w:tr>
        <w:trPr>
          <w:trHeight w:hRule="atLeast" w:val="276"/>
          <w:hidden w:val="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>Жилищно- 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16153,7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1314,8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16141,7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1309,0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400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Сбор, удаление отходов и очистка сточных вод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4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7021,0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1723,3</w:t>
            </w:r>
          </w:p>
        </w:tc>
      </w:tr>
      <w:tr>
        <w:trPr>
          <w:trHeight w:hRule="atLeast" w:val="36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300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7021,0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1723,3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600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489,5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>
        <w:trPr>
          <w:trHeight w:hRule="atLeast" w:val="352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900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489,5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>
        <w:trPr>
          <w:trHeight w:hRule="atLeast" w:val="35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физической культ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 и спорта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1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2000000">
            <w:pPr>
              <w:rPr>
                <w:sz w:val="28"/>
              </w:rPr>
            </w:pPr>
            <w:r>
              <w:rPr>
                <w:sz w:val="28"/>
              </w:rPr>
              <w:t>Итого расходов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38805,4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5536,5</w:t>
            </w:r>
          </w:p>
        </w:tc>
      </w:tr>
      <w:tr>
        <w:trPr>
          <w:trHeight w:hRule="atLeast" w:val="50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-7015,7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-5327,2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8000000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 дефицита бюджета -всего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-7015,7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-5327,2</w:t>
            </w:r>
          </w:p>
        </w:tc>
      </w:tr>
      <w:tr>
        <w:trPr>
          <w:trHeight w:hRule="atLeast" w:val="37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-7015,7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-5327,2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E00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-7015,7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-5327,2</w:t>
            </w:r>
          </w:p>
        </w:tc>
      </w:tr>
      <w:tr>
        <w:trPr>
          <w:trHeight w:hRule="atLeast" w:val="36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100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-38805,4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-9192,9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400000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-38805,4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-9192,9</w:t>
            </w:r>
          </w:p>
        </w:tc>
      </w:tr>
      <w:tr>
        <w:trPr>
          <w:trHeight w:hRule="atLeast" w:val="35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Уменьшение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31789,7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3865,7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31789,7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3865,7</w:t>
            </w:r>
          </w:p>
        </w:tc>
      </w:tr>
    </w:tbl>
    <w:p w14:paraId="ED000000">
      <w:pPr>
        <w:rPr>
          <w:sz w:val="28"/>
        </w:rPr>
      </w:pPr>
    </w:p>
    <w:sectPr>
      <w:headerReference r:id="rId2" w:type="first"/>
      <w:headerReference r:id="rId1" w:type="default"/>
      <w:pgSz w:h="16848" w:orient="portrait" w:w="11908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5_ch"/>
    <w:link w:val="Style_10"/>
    <w:rPr>
      <w:rFonts w:ascii="Cambria" w:hAnsi="Cambria"/>
      <w:b w:val="1"/>
      <w:sz w:val="26"/>
    </w:rPr>
  </w:style>
  <w:style w:styleId="Style_3" w:type="paragraph">
    <w:name w:val="ConsPlusNormal"/>
    <w:link w:val="Style_3_ch"/>
    <w:pPr>
      <w:widowControl w:val="0"/>
      <w:ind/>
    </w:pPr>
    <w:rPr>
      <w:rFonts w:ascii="Times New Roman" w:hAnsi="Times New Roman"/>
      <w:sz w:val="28"/>
    </w:rPr>
  </w:style>
  <w:style w:styleId="Style_3_ch" w:type="character">
    <w:name w:val="ConsPlusNormal"/>
    <w:link w:val="Style_3"/>
    <w:rPr>
      <w:rFonts w:ascii="Times New Roman" w:hAnsi="Times New Roman"/>
      <w:sz w:val="28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 Знак"/>
    <w:basedOn w:val="Style_5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 Знак"/>
    <w:basedOn w:val="Style_5_ch"/>
    <w:link w:val="Style_12"/>
    <w:rPr>
      <w:rFonts w:ascii="Verdana" w:hAnsi="Verdana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ody Text Indent"/>
    <w:basedOn w:val="Style_5"/>
    <w:link w:val="Style_15_ch"/>
    <w:pPr>
      <w:ind w:firstLine="651" w:left="57"/>
      <w:jc w:val="both"/>
    </w:pPr>
    <w:rPr>
      <w:sz w:val="28"/>
    </w:rPr>
  </w:style>
  <w:style w:styleId="Style_15_ch" w:type="character">
    <w:name w:val="Body Text Indent"/>
    <w:basedOn w:val="Style_5_ch"/>
    <w:link w:val="Style_15"/>
    <w:rPr>
      <w:sz w:val="28"/>
    </w:rPr>
  </w:style>
  <w:style w:styleId="Style_16" w:type="paragraph">
    <w:name w:val="apple-converted-space"/>
    <w:basedOn w:val="Style_14"/>
    <w:link w:val="Style_16_ch"/>
  </w:style>
  <w:style w:styleId="Style_16_ch" w:type="character">
    <w:name w:val="apple-converted-space"/>
    <w:basedOn w:val="Style_14_ch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5_ch"/>
    <w:link w:val="Style_1"/>
    <w:rPr>
      <w:sz w:val="28"/>
    </w:rPr>
  </w:style>
  <w:style w:styleId="Style_18" w:type="paragraph">
    <w:name w:val="Body Text 3"/>
    <w:basedOn w:val="Style_5"/>
    <w:link w:val="Style_18_ch"/>
    <w:pPr>
      <w:spacing w:after="120"/>
      <w:ind/>
    </w:pPr>
    <w:rPr>
      <w:sz w:val="16"/>
    </w:rPr>
  </w:style>
  <w:style w:styleId="Style_18_ch" w:type="character">
    <w:name w:val="Body Text 3"/>
    <w:basedOn w:val="Style_5_ch"/>
    <w:link w:val="Style_18"/>
    <w:rPr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List Paragraph"/>
    <w:basedOn w:val="Style_5"/>
    <w:link w:val="Style_22_ch"/>
    <w:pPr>
      <w:ind w:firstLine="0" w:left="720"/>
      <w:contextualSpacing w:val="1"/>
    </w:pPr>
  </w:style>
  <w:style w:styleId="Style_22_ch" w:type="character">
    <w:name w:val="List Paragraph"/>
    <w:basedOn w:val="Style_5_ch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rFonts w:ascii="Times New Roman" w:hAnsi="Times New Roman"/>
      <w:sz w:val="24"/>
    </w:rPr>
  </w:style>
  <w:style w:styleId="Style_25_ch" w:type="character">
    <w:name w:val="No Spacing"/>
    <w:link w:val="Style_25"/>
    <w:rPr>
      <w:rFonts w:ascii="Times New Roman" w:hAnsi="Times New Roman"/>
      <w:sz w:val="24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Times New Roman" w:hAnsi="Times New Roman"/>
      <w:b w:val="1"/>
      <w:sz w:val="28"/>
    </w:rPr>
  </w:style>
  <w:style w:styleId="Style_2_ch" w:type="character">
    <w:name w:val="ConsPlusTitle"/>
    <w:link w:val="Style_2"/>
    <w:rPr>
      <w:rFonts w:ascii="Times New Roman" w:hAnsi="Times New Roman"/>
      <w:b w:val="1"/>
      <w:sz w:val="2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5"/>
    <w:next w:val="Style_5"/>
    <w:link w:val="Style_3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2_ch" w:type="character">
    <w:name w:val="heading 2"/>
    <w:basedOn w:val="Style_5_ch"/>
    <w:link w:val="Style_32"/>
    <w:rPr>
      <w:rFonts w:ascii="Cambria" w:hAnsi="Cambria"/>
      <w:b w:val="1"/>
      <w:i w:val="1"/>
      <w:sz w:val="28"/>
    </w:rPr>
  </w:style>
  <w:style w:styleId="Style_33" w:type="paragraph">
    <w:name w:val="header"/>
    <w:basedOn w:val="Style_5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5_ch"/>
    <w:link w:val="Style_33"/>
  </w:style>
  <w:style w:styleId="Style_34" w:type="table">
    <w:name w:val="Table Grid"/>
    <w:basedOn w:val="Style_4"/>
    <w:pPr>
      <w:ind w:firstLine="0" w:left="0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2024-04-15T10:16:27Z</dcterms:modified>
</cp:coreProperties>
</file>