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widowControl w:val="1"/>
        <w:spacing w:line="276" w:lineRule="auto"/>
        <w:ind w:firstLine="0" w:left="0"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Российская федерация</w:t>
      </w:r>
    </w:p>
    <w:p w14:paraId="04000000">
      <w:pPr>
        <w:pStyle w:val="Style_3"/>
        <w:widowControl w:val="1"/>
        <w:spacing w:line="276" w:lineRule="auto"/>
        <w:ind w:firstLine="0" w:left="0"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РОСТОВСКОЙ ОБЛАСТИ</w:t>
      </w:r>
    </w:p>
    <w:p w14:paraId="05000000">
      <w:pPr>
        <w:pStyle w:val="Style_3"/>
        <w:widowControl w:val="1"/>
        <w:spacing w:line="276" w:lineRule="auto"/>
        <w:ind w:firstLine="0" w:left="0"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КУЙБЫШЕВСКОГО РАЙОНА</w:t>
      </w:r>
    </w:p>
    <w:p w14:paraId="06000000">
      <w:pPr>
        <w:pStyle w:val="Style_3"/>
        <w:widowControl w:val="1"/>
        <w:spacing w:line="276" w:lineRule="auto"/>
        <w:ind w:firstLine="0" w:left="0"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МУНИЦИПАЛЬНОЕ ОБРАЗОВАНИЕ</w:t>
      </w:r>
    </w:p>
    <w:p w14:paraId="07000000">
      <w:pPr>
        <w:pStyle w:val="Style_3"/>
        <w:widowControl w:val="1"/>
        <w:spacing w:line="276" w:lineRule="auto"/>
        <w:ind w:firstLine="0" w:left="0"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«КУЙБЫШЕВСКОЕ СЕЛЬСКОЕ ПОСЕЛЕНИЕ»</w:t>
      </w:r>
    </w:p>
    <w:p w14:paraId="08000000">
      <w:pPr>
        <w:pStyle w:val="Style_3"/>
        <w:widowControl w:val="1"/>
        <w:ind w:firstLine="0" w:left="0" w:right="0"/>
        <w:jc w:val="center"/>
        <w:rPr>
          <w:rFonts w:ascii="Times New Roman" w:hAnsi="Times New Roman"/>
          <w:caps w:val="1"/>
          <w:sz w:val="28"/>
        </w:rPr>
      </w:pPr>
    </w:p>
    <w:p w14:paraId="09000000">
      <w:pPr>
        <w:pStyle w:val="Style_3"/>
        <w:widowControl w:val="1"/>
        <w:ind w:firstLine="0" w:left="0"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АДМИНИСТРАЦИЯ КУЙБЫШЕВСКОГО СЕЛЬСКОГО ПОСЕЛЕНИЯ</w:t>
      </w:r>
    </w:p>
    <w:p w14:paraId="0A000000">
      <w:pPr>
        <w:pStyle w:val="Style_3"/>
        <w:widowControl w:val="1"/>
        <w:ind w:firstLine="0" w:left="0" w:right="0"/>
        <w:jc w:val="center"/>
        <w:rPr>
          <w:rFonts w:ascii="Times New Roman" w:hAnsi="Times New Roman"/>
          <w:caps w:val="1"/>
          <w:sz w:val="28"/>
        </w:rPr>
      </w:pPr>
    </w:p>
    <w:p w14:paraId="0B000000">
      <w:pPr>
        <w:ind w:firstLine="0" w:left="0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 xml:space="preserve">ПОСТАНОВЛЕНИЕ </w:t>
      </w:r>
    </w:p>
    <w:p w14:paraId="0C000000">
      <w:pPr>
        <w:ind w:firstLine="0" w:left="0"/>
        <w:jc w:val="center"/>
        <w:rPr>
          <w:b w:val="1"/>
          <w:caps w:val="1"/>
          <w:sz w:val="28"/>
        </w:rPr>
      </w:pPr>
    </w:p>
    <w:p w14:paraId="0D000000">
      <w:pPr>
        <w:ind w:firstLine="0" w:left="0"/>
        <w:jc w:val="both"/>
        <w:rPr>
          <w:b w:val="1"/>
          <w:sz w:val="28"/>
        </w:rPr>
      </w:pPr>
      <w:r>
        <w:rPr>
          <w:b w:val="1"/>
          <w:sz w:val="28"/>
        </w:rPr>
        <w:t>21</w:t>
      </w:r>
      <w:r>
        <w:rPr>
          <w:b w:val="1"/>
          <w:sz w:val="28"/>
        </w:rPr>
        <w:t>.</w:t>
      </w:r>
      <w:r>
        <w:rPr>
          <w:b w:val="1"/>
          <w:sz w:val="28"/>
        </w:rPr>
        <w:t>12</w:t>
      </w:r>
      <w:r>
        <w:rPr>
          <w:b w:val="1"/>
          <w:sz w:val="28"/>
        </w:rPr>
        <w:t>.20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</w:t>
      </w:r>
      <w:r>
        <w:rPr>
          <w:b w:val="1"/>
          <w:sz w:val="28"/>
        </w:rPr>
        <w:t>№ 203</w:t>
      </w:r>
      <w:r>
        <w:rPr>
          <w:b w:val="1"/>
          <w:sz w:val="28"/>
        </w:rPr>
        <w:t xml:space="preserve">                   </w:t>
      </w:r>
      <w:r>
        <w:rPr>
          <w:b w:val="1"/>
          <w:sz w:val="28"/>
        </w:rPr>
        <w:t xml:space="preserve">                </w:t>
      </w:r>
      <w:r>
        <w:rPr>
          <w:b w:val="1"/>
          <w:sz w:val="28"/>
        </w:rPr>
        <w:t xml:space="preserve"> с.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Куйбышево</w:t>
      </w:r>
    </w:p>
    <w:p w14:paraId="0E000000"/>
    <w:p w14:paraId="0F000000">
      <w:pPr>
        <w:ind w:firstLine="0" w:left="0"/>
        <w:jc w:val="center"/>
        <w:rPr>
          <w:b w:val="1"/>
          <w:caps w:val="1"/>
          <w:sz w:val="28"/>
        </w:rPr>
      </w:pPr>
      <w:r>
        <w:rPr>
          <w:b w:val="1"/>
          <w:sz w:val="28"/>
        </w:rPr>
        <w:t>О внесении изменений в постановление Администрации Куйбышевского сельского поселения от 10.07.2013 № 259</w:t>
      </w:r>
    </w:p>
    <w:p w14:paraId="10000000">
      <w:pPr>
        <w:ind w:firstLine="709" w:left="0"/>
        <w:jc w:val="center"/>
        <w:rPr>
          <w:b w:val="1"/>
          <w:caps w:val="1"/>
        </w:rPr>
      </w:pPr>
    </w:p>
    <w:p w14:paraId="11000000">
      <w:pPr>
        <w:ind w:firstLine="709" w:left="0"/>
        <w:rPr>
          <w:b w:val="1"/>
          <w:i w:val="1"/>
          <w:caps w:val="0"/>
          <w:spacing w:val="24"/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целях совершенствования Порядка с</w:t>
      </w:r>
      <w:r>
        <w:rPr>
          <w:sz w:val="28"/>
        </w:rPr>
        <w:t>оставлени</w:t>
      </w:r>
      <w:r>
        <w:rPr>
          <w:sz w:val="28"/>
        </w:rPr>
        <w:t>я</w:t>
      </w:r>
      <w:r>
        <w:rPr>
          <w:sz w:val="28"/>
        </w:rPr>
        <w:t xml:space="preserve"> и ведени</w:t>
      </w:r>
      <w:r>
        <w:rPr>
          <w:sz w:val="28"/>
        </w:rPr>
        <w:t>я</w:t>
      </w:r>
      <w:r>
        <w:rPr>
          <w:sz w:val="28"/>
        </w:rPr>
        <w:t xml:space="preserve"> сводной бюджетной росписи бюджета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и бюджетных росписей главных распорядителей средств бюджета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(главных администраторов источников финансирования дефицита бюджета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), </w:t>
      </w:r>
      <w:r>
        <w:rPr>
          <w:b w:val="1"/>
          <w:i w:val="1"/>
          <w:caps w:val="0"/>
          <w:spacing w:val="24"/>
          <w:sz w:val="28"/>
        </w:rPr>
        <w:t>постановляю:</w:t>
      </w:r>
    </w:p>
    <w:p w14:paraId="12000000">
      <w:pPr>
        <w:ind w:firstLine="709" w:left="0"/>
        <w:jc w:val="center"/>
        <w:rPr>
          <w:sz w:val="28"/>
        </w:rPr>
      </w:pPr>
    </w:p>
    <w:p w14:paraId="13000000">
      <w:pPr>
        <w:ind w:firstLine="708" w:left="0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Внести в постановление Администрации Куйбышевского сельского поселения от 10.07.2013 №259 «Об у</w:t>
      </w:r>
      <w:r>
        <w:rPr>
          <w:sz w:val="28"/>
        </w:rPr>
        <w:t>твер</w:t>
      </w:r>
      <w:r>
        <w:rPr>
          <w:sz w:val="28"/>
        </w:rPr>
        <w:t>ждении</w:t>
      </w:r>
      <w:r>
        <w:rPr>
          <w:sz w:val="28"/>
        </w:rPr>
        <w:t xml:space="preserve"> Поряд</w:t>
      </w:r>
      <w:r>
        <w:rPr>
          <w:sz w:val="28"/>
        </w:rPr>
        <w:t>ка</w:t>
      </w:r>
      <w:r>
        <w:rPr>
          <w:sz w:val="28"/>
        </w:rPr>
        <w:t xml:space="preserve"> составления и ведения сводной бюджетной росписи бюджета Куйбышевского сельского поселения Куйбышевского района и бюджетных росписей главных распорядителей средств бюджета Куйбышевского сельского поселения Куйбышевского района (главных администраторов источников финансирования дефицита бюджета Куйбышевского сельского поселения Куйбышевского района)» </w:t>
      </w:r>
      <w:r>
        <w:rPr>
          <w:sz w:val="28"/>
        </w:rPr>
        <w:t xml:space="preserve"> изменения</w:t>
      </w:r>
      <w:r>
        <w:rPr>
          <w:sz w:val="28"/>
        </w:rPr>
        <w:t xml:space="preserve"> согласно приложению.</w:t>
      </w:r>
    </w:p>
    <w:p w14:paraId="14000000">
      <w:pPr>
        <w:ind w:firstLine="708" w:left="0"/>
        <w:rPr>
          <w:sz w:val="28"/>
        </w:rPr>
      </w:pPr>
      <w:r>
        <w:rPr>
          <w:sz w:val="28"/>
        </w:rPr>
        <w:t xml:space="preserve">2. Настоящее постановление вступает в силу </w:t>
      </w:r>
      <w:r>
        <w:rPr>
          <w:sz w:val="28"/>
        </w:rPr>
        <w:t xml:space="preserve"> </w:t>
      </w:r>
      <w:r>
        <w:rPr>
          <w:sz w:val="28"/>
        </w:rPr>
        <w:t>со дня его подписания</w:t>
      </w:r>
      <w:r>
        <w:rPr>
          <w:sz w:val="28"/>
        </w:rPr>
        <w:t>.</w:t>
      </w:r>
    </w:p>
    <w:p w14:paraId="15000000">
      <w:pPr>
        <w:widowControl w:val="0"/>
        <w:ind w:firstLine="709" w:left="0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</w:t>
      </w:r>
      <w:r>
        <w:rPr>
          <w:sz w:val="28"/>
        </w:rPr>
        <w:t>исполнением</w:t>
      </w:r>
      <w:r>
        <w:rPr>
          <w:sz w:val="28"/>
        </w:rPr>
        <w:t xml:space="preserve"> настоящего </w:t>
      </w:r>
      <w:r>
        <w:rPr>
          <w:sz w:val="28"/>
        </w:rPr>
        <w:t>постановления</w:t>
      </w:r>
      <w:r>
        <w:rPr>
          <w:sz w:val="28"/>
        </w:rPr>
        <w:t xml:space="preserve"> </w:t>
      </w:r>
      <w:r>
        <w:rPr>
          <w:sz w:val="28"/>
        </w:rPr>
        <w:t>оставляю за собой.</w:t>
      </w:r>
      <w:r>
        <w:rPr>
          <w:sz w:val="28"/>
        </w:rPr>
        <w:t xml:space="preserve"> </w:t>
      </w:r>
    </w:p>
    <w:p w14:paraId="16000000">
      <w:pPr>
        <w:widowControl w:val="0"/>
        <w:ind w:firstLine="709" w:left="0"/>
        <w:rPr>
          <w:sz w:val="28"/>
        </w:rPr>
      </w:pPr>
    </w:p>
    <w:p w14:paraId="17000000">
      <w:pPr>
        <w:widowControl w:val="0"/>
        <w:ind w:firstLine="709" w:left="0"/>
        <w:rPr>
          <w:sz w:val="28"/>
        </w:rPr>
      </w:pPr>
    </w:p>
    <w:p w14:paraId="18000000">
      <w:pPr>
        <w:widowControl w:val="0"/>
        <w:ind w:firstLine="709" w:left="0"/>
        <w:rPr>
          <w:sz w:val="28"/>
        </w:rPr>
      </w:pPr>
    </w:p>
    <w:p w14:paraId="19000000">
      <w:pPr>
        <w:pStyle w:val="Style_4"/>
        <w:ind w:firstLine="0" w:left="0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14:paraId="1A000000">
      <w:pPr>
        <w:pStyle w:val="Style_4"/>
        <w:ind w:firstLine="0" w:left="0"/>
        <w:rPr>
          <w:sz w:val="28"/>
        </w:rPr>
      </w:pPr>
      <w:r>
        <w:rPr>
          <w:sz w:val="28"/>
        </w:rPr>
        <w:t>Куйбышевского</w:t>
      </w:r>
    </w:p>
    <w:p w14:paraId="1B000000">
      <w:pPr>
        <w:pStyle w:val="Style_4"/>
        <w:ind w:firstLine="0" w:left="0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С.Л.</w:t>
      </w:r>
      <w:r>
        <w:rPr>
          <w:sz w:val="28"/>
        </w:rPr>
        <w:t xml:space="preserve"> </w:t>
      </w:r>
      <w:r>
        <w:rPr>
          <w:sz w:val="28"/>
        </w:rPr>
        <w:t>Слепченко</w:t>
      </w:r>
    </w:p>
    <w:p w14:paraId="1C000000">
      <w:pPr>
        <w:pStyle w:val="Style_4"/>
        <w:ind w:firstLine="709" w:left="0"/>
        <w:rPr>
          <w:sz w:val="28"/>
        </w:rPr>
      </w:pPr>
    </w:p>
    <w:p w14:paraId="1D000000">
      <w:pPr>
        <w:pStyle w:val="Style_4"/>
        <w:ind/>
        <w:jc w:val="left"/>
        <w:rPr>
          <w:sz w:val="28"/>
        </w:rPr>
      </w:pPr>
    </w:p>
    <w:p w14:paraId="1E000000">
      <w:pPr>
        <w:pStyle w:val="Style_4"/>
        <w:ind/>
        <w:jc w:val="left"/>
        <w:rPr>
          <w:sz w:val="28"/>
        </w:rPr>
      </w:pPr>
    </w:p>
    <w:p w14:paraId="1F000000">
      <w:pPr>
        <w:pStyle w:val="Style_4"/>
        <w:ind/>
        <w:jc w:val="left"/>
        <w:rPr>
          <w:sz w:val="28"/>
        </w:rPr>
      </w:pPr>
    </w:p>
    <w:p w14:paraId="20000000">
      <w:pPr>
        <w:pStyle w:val="Style_4"/>
        <w:rPr>
          <w:sz w:val="22"/>
        </w:rPr>
      </w:pPr>
      <w:r>
        <w:rPr>
          <w:sz w:val="22"/>
        </w:rPr>
        <w:t>По</w:t>
      </w:r>
      <w:r>
        <w:rPr>
          <w:sz w:val="22"/>
        </w:rPr>
        <w:t>становление вносит</w:t>
      </w:r>
      <w:r>
        <w:rPr>
          <w:sz w:val="22"/>
        </w:rPr>
        <w:t>:</w:t>
      </w:r>
      <w:r>
        <w:rPr>
          <w:sz w:val="22"/>
        </w:rPr>
        <w:t xml:space="preserve"> </w:t>
      </w:r>
    </w:p>
    <w:p w14:paraId="21000000">
      <w:pPr>
        <w:pStyle w:val="Style_4"/>
        <w:rPr>
          <w:sz w:val="22"/>
        </w:rPr>
      </w:pPr>
      <w:r>
        <w:rPr>
          <w:sz w:val="22"/>
        </w:rPr>
        <w:t>сектор экономики и финансов</w:t>
      </w:r>
    </w:p>
    <w:p w14:paraId="22000000">
      <w:pPr>
        <w:pStyle w:val="Style_5"/>
        <w:widowControl w:val="1"/>
        <w:tabs>
          <w:tab w:leader="none" w:pos="180" w:val="left"/>
          <w:tab w:leader="none" w:pos="6690" w:val="left"/>
          <w:tab w:leader="none" w:pos="10092" w:val="right"/>
        </w:tabs>
        <w:ind w:firstLine="709" w:left="0"/>
        <w:outlineLvl w:val="0"/>
        <w:rPr>
          <w:rFonts w:ascii="Times New Roman" w:hAnsi="Times New Roman"/>
          <w:sz w:val="24"/>
        </w:rPr>
      </w:pPr>
      <w:r>
        <w:br w:type="page"/>
      </w:r>
    </w:p>
    <w:p w14:paraId="23000000">
      <w:pPr>
        <w:pStyle w:val="Style_5"/>
        <w:widowControl w:val="1"/>
        <w:tabs>
          <w:tab w:leader="none" w:pos="180" w:val="left"/>
          <w:tab w:leader="none" w:pos="6690" w:val="left"/>
          <w:tab w:leader="none" w:pos="10092" w:val="right"/>
        </w:tabs>
        <w:ind w:firstLine="0" w:left="6236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 xml:space="preserve">постановлению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Куйбышевского 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поселения </w:t>
      </w:r>
    </w:p>
    <w:p w14:paraId="24000000">
      <w:pPr>
        <w:pStyle w:val="Style_5"/>
        <w:widowControl w:val="1"/>
        <w:ind w:firstLine="0" w:left="62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21.12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203</w:t>
      </w:r>
      <w:r>
        <w:rPr>
          <w:rFonts w:ascii="Times New Roman" w:hAnsi="Times New Roman"/>
          <w:sz w:val="28"/>
        </w:rPr>
        <w:t xml:space="preserve"> </w:t>
      </w:r>
    </w:p>
    <w:p w14:paraId="25000000">
      <w:pPr>
        <w:pStyle w:val="Style_5"/>
        <w:widowControl w:val="1"/>
        <w:tabs>
          <w:tab w:leader="none" w:pos="6540" w:val="left"/>
          <w:tab w:leader="none" w:pos="10092" w:val="right"/>
        </w:tabs>
        <w:ind w:firstLine="709" w:left="0"/>
        <w:rPr>
          <w:rFonts w:ascii="Times New Roman" w:hAnsi="Times New Roman"/>
          <w:sz w:val="24"/>
        </w:rPr>
      </w:pPr>
    </w:p>
    <w:p w14:paraId="26000000">
      <w:pPr>
        <w:pStyle w:val="Style_5"/>
        <w:widowControl w:val="1"/>
        <w:tabs>
          <w:tab w:leader="none" w:pos="6540" w:val="left"/>
          <w:tab w:leader="none" w:pos="10092" w:val="right"/>
        </w:tabs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ИЗМЕНЕНИЯ,</w:t>
      </w:r>
    </w:p>
    <w:p w14:paraId="27000000">
      <w:pPr>
        <w:pStyle w:val="Style_5"/>
        <w:widowControl w:val="1"/>
        <w:tabs>
          <w:tab w:leader="none" w:pos="6540" w:val="left"/>
          <w:tab w:leader="none" w:pos="10092" w:val="righ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вносимые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постановление Администрации Куйбышевского сельского поселения от 10.07.2013 №259 «Об утверждении Порядка составления и ведения сводной бюджетной росписи бюджета Куйбышевского сельского поселения Куйбышевского района и бюджетных росписей главных распорядителей средств бюджета Куйбышевского сельского поселения Куйбышевского района (главных администраторов источников финансирования дефицита бюджета Куйбышевского сельского поселения Куйбышевского района)»</w:t>
      </w:r>
    </w:p>
    <w:p w14:paraId="28000000">
      <w:pPr>
        <w:pStyle w:val="Style_5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В разделе 1 приложения:</w:t>
      </w:r>
    </w:p>
    <w:p w14:paraId="29000000">
      <w:pPr>
        <w:pStyle w:val="Style_5"/>
        <w:widowControl w:val="1"/>
        <w:numPr>
          <w:ilvl w:val="1"/>
          <w:numId w:val="1"/>
        </w:numPr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1 изложить в редакции:</w:t>
      </w:r>
    </w:p>
    <w:p w14:paraId="2A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Сводная роспись составляется сектором экономики и финансов Администрации Куйбышевского сельского поселения (далее – сектор экономики и финансов поселения) в соответствии с решением Собрания депутатов Куйбышевского сельского </w:t>
      </w:r>
      <w:r>
        <w:rPr>
          <w:rFonts w:ascii="Times New Roman" w:hAnsi="Times New Roman"/>
          <w:sz w:val="28"/>
        </w:rPr>
        <w:t xml:space="preserve">поселения о бюджете Куйбышевского сельского </w:t>
      </w:r>
      <w:r>
        <w:rPr>
          <w:rFonts w:ascii="Times New Roman" w:hAnsi="Times New Roman"/>
          <w:sz w:val="28"/>
        </w:rPr>
        <w:t>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по форме, согласно приложению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1 к настоящему Порядку.</w:t>
      </w:r>
    </w:p>
    <w:p w14:paraId="2B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Сводная роспись составляется и ведется в рублях с округлением до сотен.</w:t>
      </w:r>
    </w:p>
    <w:p w14:paraId="2C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Сводная роспись включает:</w:t>
      </w:r>
    </w:p>
    <w:p w14:paraId="2D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бюджетные ассигнования по расходам </w:t>
      </w:r>
      <w:r>
        <w:rPr>
          <w:rFonts w:ascii="Times New Roman" w:hAnsi="Times New Roman"/>
          <w:sz w:val="28"/>
        </w:rPr>
        <w:t xml:space="preserve">местного </w:t>
      </w:r>
      <w:r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главным </w:t>
      </w:r>
      <w:r>
        <w:rPr>
          <w:rFonts w:ascii="Times New Roman" w:hAnsi="Times New Roman"/>
          <w:sz w:val="28"/>
        </w:rPr>
        <w:t>распорядителям, разделам, подразделам, целевым статьям (</w:t>
      </w:r>
      <w:r>
        <w:rPr>
          <w:rFonts w:ascii="Times New Roman" w:hAnsi="Times New Roman"/>
          <w:sz w:val="28"/>
        </w:rPr>
        <w:t xml:space="preserve">муниципальным программам Куйбышевского сельского поселения </w:t>
      </w:r>
      <w:r>
        <w:rPr>
          <w:rFonts w:ascii="Times New Roman" w:hAnsi="Times New Roman"/>
          <w:sz w:val="28"/>
        </w:rPr>
        <w:t>и непрограммным направлениям деятельности), группам и подгруппам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видов расходов</w:t>
      </w:r>
      <w:r>
        <w:rPr>
          <w:rFonts w:ascii="Times New Roman" w:hAnsi="Times New Roman"/>
          <w:sz w:val="28"/>
        </w:rPr>
        <w:t>;</w:t>
      </w:r>
    </w:p>
    <w:p w14:paraId="2E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лимиты бюджетных обязательств</w:t>
      </w:r>
      <w:r>
        <w:rPr>
          <w:rFonts w:ascii="Times New Roman" w:hAnsi="Times New Roman"/>
          <w:sz w:val="28"/>
        </w:rPr>
        <w:t xml:space="preserve"> местного</w:t>
      </w:r>
      <w:r>
        <w:rPr>
          <w:rFonts w:ascii="Times New Roman" w:hAnsi="Times New Roman"/>
          <w:sz w:val="28"/>
        </w:rPr>
        <w:t xml:space="preserve">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главным распорядителям, разделам, подразделам, целевым статьям (</w:t>
      </w:r>
      <w:r>
        <w:rPr>
          <w:rFonts w:ascii="Times New Roman" w:hAnsi="Times New Roman"/>
          <w:sz w:val="28"/>
        </w:rPr>
        <w:t>муниципальным программам Куйбышевского сельского поселения</w:t>
      </w:r>
      <w:r>
        <w:rPr>
          <w:rFonts w:ascii="Times New Roman" w:hAnsi="Times New Roman"/>
          <w:sz w:val="28"/>
        </w:rPr>
        <w:t xml:space="preserve"> и непрограммным направлениям деятельности), группам, подгру</w:t>
      </w:r>
      <w:r>
        <w:rPr>
          <w:rFonts w:ascii="Times New Roman" w:hAnsi="Times New Roman"/>
          <w:sz w:val="28"/>
        </w:rPr>
        <w:t>ппам и элементам видов расходов;</w:t>
      </w:r>
    </w:p>
    <w:p w14:paraId="2F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бюджетные ассигнования по источникам финансирования дефицита </w:t>
      </w:r>
      <w:r>
        <w:rPr>
          <w:rFonts w:ascii="Times New Roman" w:hAnsi="Times New Roman"/>
          <w:sz w:val="28"/>
        </w:rPr>
        <w:t xml:space="preserve"> местного </w:t>
      </w:r>
      <w:r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разрезе кодов классификации источников финансирования дефицита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бюджета, кроме операций по управлению остатками средств на едином счете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30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Лимиты бюджетных обязательств не утверждаются по:</w:t>
      </w:r>
    </w:p>
    <w:p w14:paraId="31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расходам на исполнение публичных нормативных обязательств;</w:t>
      </w:r>
    </w:p>
    <w:p w14:paraId="32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бюджетным ассигнованиям, зарезервированным в составе решения Собрания депутатов о бюджете сельского поселения (вид расходов классификации расходов бюджетов 870 «Резервные средства»), до принятия решения об их распределения на выполнение расходных обязательств;</w:t>
      </w:r>
    </w:p>
    <w:p w14:paraId="33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условно утвержденным расходам.</w:t>
      </w:r>
    </w:p>
    <w:p w14:paraId="34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и ведение сводной росписи осуществляется</w:t>
      </w:r>
      <w:r>
        <w:rPr>
          <w:rFonts w:ascii="Times New Roman" w:hAnsi="Times New Roman"/>
          <w:sz w:val="28"/>
        </w:rPr>
        <w:t xml:space="preserve"> сектором экономики и финансов Администрации Куйбышевского сельского поселения</w:t>
      </w:r>
      <w:r>
        <w:rPr>
          <w:rFonts w:ascii="Times New Roman" w:hAnsi="Times New Roman"/>
          <w:sz w:val="28"/>
        </w:rPr>
        <w:t xml:space="preserve"> с использованием «Единой автоматизированной системы управления общественными финансами в Ростовской области» (далее – ЕАС УОФ).</w:t>
      </w:r>
      <w:bookmarkStart w:id="1" w:name="RANGE!A1:G57"/>
      <w:bookmarkEnd w:id="1"/>
    </w:p>
    <w:p w14:paraId="35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главным распорядителем (главным администратором источников) является Администрация, формирование электронных документов, указанных в подпунктах 2.1, 3.1.1, 3.2.1 настоящего Порядка, осуществляют:</w:t>
      </w:r>
    </w:p>
    <w:p w14:paraId="36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уменьшения средств резервного фонда и иным образом зарезервированных в составе бюджетных ассигнований - специал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стами</w:t>
      </w:r>
      <w:r>
        <w:rPr>
          <w:rFonts w:ascii="Times New Roman" w:hAnsi="Times New Roman"/>
          <w:sz w:val="28"/>
        </w:rPr>
        <w:t>, курирующие соответствующие направления расходов местного бюджета, на которые предусматривается выделение указанных средств;</w:t>
      </w:r>
    </w:p>
    <w:p w14:paraId="37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расходов на обслуживание муниципального долга Куйбышевского сельского поселения и источников финансирования дефицита местного бюджета – сектор экономики и финансов».</w:t>
      </w:r>
    </w:p>
    <w:p w14:paraId="38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Пункт 4 раздела 2 изложить в редакции:</w:t>
      </w:r>
    </w:p>
    <w:p w14:paraId="39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Бюджетные росписи составляются главными распорядителями (главными </w:t>
      </w:r>
      <w:r>
        <w:rPr>
          <w:rFonts w:ascii="Times New Roman" w:hAnsi="Times New Roman"/>
          <w:sz w:val="28"/>
        </w:rPr>
        <w:t xml:space="preserve">администраторами источников) (далее – бюджетные росписи) в соответствии с бюджетными </w:t>
      </w:r>
      <w:r>
        <w:rPr>
          <w:rFonts w:ascii="Times New Roman" w:hAnsi="Times New Roman"/>
          <w:sz w:val="28"/>
        </w:rPr>
        <w:t xml:space="preserve">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приложению №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к настоящему Порядку, и утверждаются руководителем главного распорядителя (главного администратора источников). </w:t>
      </w:r>
    </w:p>
    <w:p w14:paraId="3A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роспись главного распорядителя включает:</w:t>
      </w:r>
    </w:p>
    <w:p w14:paraId="3B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бюджетные ассигнования по расходам бюджета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по разделам, подразделам, целевым статьям (</w:t>
      </w:r>
      <w:r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программам </w:t>
      </w:r>
      <w:r>
        <w:rPr>
          <w:rFonts w:ascii="Times New Roman" w:hAnsi="Times New Roman"/>
          <w:sz w:val="28"/>
        </w:rPr>
        <w:t>Куйбышевского сельского поселения</w:t>
      </w:r>
      <w:r>
        <w:rPr>
          <w:rFonts w:ascii="Times New Roman" w:hAnsi="Times New Roman"/>
          <w:sz w:val="28"/>
        </w:rPr>
        <w:t xml:space="preserve"> и непрограммным направлениям деятельности), группам и подгруппам видов расходов;</w:t>
      </w:r>
    </w:p>
    <w:p w14:paraId="3C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лимиты бюджетных обязательств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по разделам, подразделам, целевым статьям (</w:t>
      </w:r>
      <w:r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программам </w:t>
      </w:r>
      <w:r>
        <w:rPr>
          <w:rFonts w:ascii="Times New Roman" w:hAnsi="Times New Roman"/>
          <w:sz w:val="28"/>
        </w:rPr>
        <w:t>Куйбышевского сельского поселения</w:t>
      </w:r>
      <w:r>
        <w:rPr>
          <w:rFonts w:ascii="Times New Roman" w:hAnsi="Times New Roman"/>
          <w:sz w:val="28"/>
        </w:rPr>
        <w:t xml:space="preserve"> и непрограммным направлениям деятельности), группам, подгруп</w:t>
      </w:r>
      <w:r>
        <w:rPr>
          <w:rFonts w:ascii="Times New Roman" w:hAnsi="Times New Roman"/>
          <w:sz w:val="28"/>
        </w:rPr>
        <w:t>пам и элементам видов расходов;</w:t>
      </w:r>
    </w:p>
    <w:p w14:paraId="3D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бюджетные ассигнования по источникам финансирования дефицита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в разрезе кодов классификации источников финансирования дефицита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кроме операций по управлению остатками средств на едином счете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3E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Лимиты бюджетных обязательств не утверждаются по:</w:t>
      </w:r>
    </w:p>
    <w:p w14:paraId="3F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расходам на исполнение публичных нормативных обязательств;</w:t>
      </w:r>
    </w:p>
    <w:p w14:paraId="40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бюджетным ассигнованиям, зарезервированным в составе решения Собрания депутатов о бюджете сельского поселения (вид расходов классификации расходов бюджетов 870 «Резервные средства»), до принятия решения об их распределения на выполнение расходных обязательств;</w:t>
      </w:r>
    </w:p>
    <w:p w14:paraId="41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условно утвержденным расходам.</w:t>
      </w:r>
    </w:p>
    <w:p w14:paraId="42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footerReference r:id="rId2" w:type="first"/>
      <w:pgSz w:h="16838" w:orient="portrait" w:w="11906"/>
      <w:pgMar w:bottom="1134" w:footer="709" w:gutter="0" w:header="709" w:left="1701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firstLine="0" w:left="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tabs>
        <w:tab w:leader="none" w:pos="1140" w:val="left"/>
        <w:tab w:leader="none" w:pos="4677" w:val="clear"/>
        <w:tab w:leader="none" w:pos="9355" w:val="clear"/>
      </w:tabs>
      <w:ind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495" w:left="495"/>
      </w:pPr>
    </w:lvl>
    <w:lvl w:ilvl="1">
      <w:start w:val="1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2138"/>
      </w:pPr>
    </w:lvl>
    <w:lvl w:ilvl="3">
      <w:start w:val="1"/>
      <w:numFmt w:val="decimal"/>
      <w:lvlText w:val="%1.%2.%3.%4."/>
      <w:lvlJc w:val="left"/>
      <w:pPr>
        <w:ind w:hanging="1080" w:left="3207"/>
      </w:pPr>
    </w:lvl>
    <w:lvl w:ilvl="4">
      <w:start w:val="1"/>
      <w:numFmt w:val="decimal"/>
      <w:lvlText w:val="%1.%2.%3.%4.%5."/>
      <w:lvlJc w:val="left"/>
      <w:pPr>
        <w:ind w:hanging="1080" w:left="3916"/>
      </w:pPr>
    </w:lvl>
    <w:lvl w:ilvl="5">
      <w:start w:val="1"/>
      <w:numFmt w:val="decimal"/>
      <w:lvlText w:val="%1.%2.%3.%4.%5.%6."/>
      <w:lvlJc w:val="left"/>
      <w:pPr>
        <w:ind w:hanging="1440" w:left="4985"/>
      </w:pPr>
    </w:lvl>
    <w:lvl w:ilvl="6">
      <w:start w:val="1"/>
      <w:numFmt w:val="decimal"/>
      <w:lvlText w:val="%1.%2.%3.%4.%5.%6.%7."/>
      <w:lvlJc w:val="left"/>
      <w:pPr>
        <w:ind w:hanging="1800" w:left="6054"/>
      </w:pPr>
    </w:lvl>
    <w:lvl w:ilvl="7">
      <w:start w:val="1"/>
      <w:numFmt w:val="decimal"/>
      <w:lvlText w:val="%1.%2.%3.%4.%5.%6.%7.%8."/>
      <w:lvlJc w:val="left"/>
      <w:pPr>
        <w:ind w:hanging="1800" w:left="6763"/>
      </w:pPr>
    </w:lvl>
    <w:lvl w:ilvl="8">
      <w:start w:val="1"/>
      <w:numFmt w:val="decimal"/>
      <w:lvlText w:val="%1.%2.%3.%4.%5.%6.%7.%8.%9."/>
      <w:lvlJc w:val="left"/>
      <w:pPr>
        <w:ind w:hanging="2160" w:left="7832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ind w:firstLine="680" w:left="0"/>
      <w:jc w:val="both"/>
    </w:pPr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ody Text Indent 2"/>
    <w:basedOn w:val="Style_6"/>
    <w:link w:val="Style_11_ch"/>
    <w:pPr>
      <w:spacing w:after="120" w:line="480" w:lineRule="auto"/>
      <w:ind w:firstLine="0" w:left="283"/>
      <w:jc w:val="left"/>
    </w:pPr>
  </w:style>
  <w:style w:styleId="Style_11_ch" w:type="character">
    <w:name w:val="Body Text Indent 2"/>
    <w:basedOn w:val="Style_6_ch"/>
    <w:link w:val="Style_11"/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ody Text Indent"/>
    <w:basedOn w:val="Style_6"/>
    <w:link w:val="Style_13_ch"/>
    <w:pPr>
      <w:ind w:firstLine="0" w:left="0"/>
      <w:jc w:val="left"/>
    </w:pPr>
    <w:rPr>
      <w:b w:val="1"/>
    </w:rPr>
  </w:style>
  <w:style w:styleId="Style_13_ch" w:type="character">
    <w:name w:val="Body Text Indent"/>
    <w:basedOn w:val="Style_6_ch"/>
    <w:link w:val="Style_13"/>
    <w:rPr>
      <w:b w:val="1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page number"/>
    <w:basedOn w:val="Style_16"/>
    <w:link w:val="Style_15_ch"/>
  </w:style>
  <w:style w:styleId="Style_15_ch" w:type="character">
    <w:name w:val="page number"/>
    <w:basedOn w:val="Style_16_ch"/>
    <w:link w:val="Style_15"/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6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Balloon Text"/>
    <w:basedOn w:val="Style_6"/>
    <w:link w:val="Style_24_ch"/>
    <w:rPr>
      <w:rFonts w:ascii="Tahoma" w:hAnsi="Tahoma"/>
      <w:sz w:val="16"/>
    </w:rPr>
  </w:style>
  <w:style w:styleId="Style_24_ch" w:type="character">
    <w:name w:val="Balloon Text"/>
    <w:basedOn w:val="Style_6_ch"/>
    <w:link w:val="Style_24"/>
    <w:rPr>
      <w:rFonts w:ascii="Tahoma" w:hAnsi="Tahoma"/>
      <w:sz w:val="16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ConsPlusTitle"/>
    <w:link w:val="Style_26_ch"/>
    <w:pPr>
      <w:widowControl w:val="0"/>
      <w:ind/>
    </w:pPr>
    <w:rPr>
      <w:rFonts w:ascii="Arial" w:hAnsi="Arial"/>
      <w:b w:val="1"/>
    </w:rPr>
  </w:style>
  <w:style w:styleId="Style_26_ch" w:type="character">
    <w:name w:val="ConsPlusTitle"/>
    <w:link w:val="Style_26"/>
    <w:rPr>
      <w:rFonts w:ascii="Arial" w:hAnsi="Arial"/>
      <w:b w:val="1"/>
    </w:rPr>
  </w:style>
  <w:style w:styleId="Style_27" w:type="paragraph">
    <w:name w:val="toc 5"/>
    <w:next w:val="Style_6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4" w:type="paragraph">
    <w:name w:val="Body Text"/>
    <w:basedOn w:val="Style_6"/>
    <w:link w:val="Style_4_ch"/>
    <w:pPr>
      <w:ind w:firstLine="0" w:left="0"/>
    </w:pPr>
  </w:style>
  <w:style w:styleId="Style_4_ch" w:type="character">
    <w:name w:val="Body Text"/>
    <w:basedOn w:val="Style_6_ch"/>
    <w:link w:val="Style_4"/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2023-12-21T07:10:42Z</dcterms:modified>
</cp:coreProperties>
</file>