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ind/>
        <w:jc w:val="center"/>
        <w:rPr>
          <w:rFonts w:ascii="Times New Roman" w:hAnsi="Times New Roman"/>
          <w:b w:val="1"/>
          <w:sz w:val="28"/>
        </w:rPr>
      </w:pPr>
      <w:r>
        <w:rPr>
          <w:rFonts w:ascii="Times New Roman" w:hAnsi="Times New Roman"/>
          <w:b w:val="1"/>
          <w:sz w:val="28"/>
        </w:rPr>
        <w:t>РОССИЙСКАЯ ФЕДЕРАЦИЯ</w:t>
      </w:r>
      <w:r>
        <w:rPr>
          <w:rFonts w:ascii="Times New Roman" w:hAnsi="Times New Roman"/>
          <w:b w:val="1"/>
          <w:sz w:val="28"/>
        </w:rPr>
        <w:br/>
      </w:r>
      <w:r>
        <w:rPr>
          <w:rFonts w:ascii="Times New Roman" w:hAnsi="Times New Roman"/>
          <w:b w:val="1"/>
          <w:sz w:val="28"/>
        </w:rPr>
        <w:t>РОСТОВСКАЯ ОБЛАСТЬ</w:t>
      </w:r>
      <w:r>
        <w:rPr>
          <w:rFonts w:ascii="Times New Roman" w:hAnsi="Times New Roman"/>
          <w:b w:val="1"/>
          <w:sz w:val="28"/>
        </w:rPr>
        <w:br/>
      </w:r>
      <w:r>
        <w:rPr>
          <w:rFonts w:ascii="Times New Roman" w:hAnsi="Times New Roman"/>
          <w:b w:val="1"/>
          <w:sz w:val="28"/>
        </w:rPr>
        <w:t>КУЙБЫШЕВСКИЙ РАЙОН</w:t>
      </w:r>
      <w:r>
        <w:rPr>
          <w:rFonts w:ascii="Times New Roman" w:hAnsi="Times New Roman"/>
          <w:b w:val="1"/>
          <w:sz w:val="28"/>
        </w:rPr>
        <w:br/>
      </w:r>
      <w:r>
        <w:rPr>
          <w:rFonts w:ascii="Times New Roman" w:hAnsi="Times New Roman"/>
          <w:b w:val="1"/>
          <w:sz w:val="28"/>
        </w:rPr>
        <w:t>МУНИЦИПАЛЬНОЕ ОБРАЗОВАНИЕ</w:t>
      </w:r>
      <w:r>
        <w:rPr>
          <w:rFonts w:ascii="Times New Roman" w:hAnsi="Times New Roman"/>
          <w:b w:val="1"/>
          <w:sz w:val="28"/>
        </w:rPr>
        <w:br/>
      </w:r>
      <w:r>
        <w:rPr>
          <w:rFonts w:ascii="Times New Roman" w:hAnsi="Times New Roman"/>
          <w:b w:val="1"/>
          <w:sz w:val="28"/>
        </w:rPr>
        <w:t>«КУЙБЫШЕВСКОЕ СЕЛЬСКОЕ ПОСЕЛЕНИЕ»</w:t>
      </w:r>
    </w:p>
    <w:p w14:paraId="03000000">
      <w:pPr>
        <w:ind/>
        <w:jc w:val="center"/>
        <w:rPr>
          <w:rFonts w:ascii="Times New Roman" w:hAnsi="Times New Roman"/>
          <w:b w:val="1"/>
          <w:sz w:val="28"/>
        </w:rPr>
      </w:pPr>
    </w:p>
    <w:p w14:paraId="04000000">
      <w:pPr>
        <w:ind/>
        <w:jc w:val="center"/>
        <w:rPr>
          <w:rFonts w:ascii="Times New Roman" w:hAnsi="Times New Roman"/>
          <w:b w:val="1"/>
          <w:sz w:val="28"/>
        </w:rPr>
      </w:pPr>
      <w:bookmarkStart w:id="1" w:name="bookmark0"/>
      <w:bookmarkStart w:id="2" w:name="bookmark1"/>
      <w:r>
        <w:rPr>
          <w:rFonts w:ascii="Times New Roman" w:hAnsi="Times New Roman"/>
          <w:b w:val="1"/>
          <w:sz w:val="28"/>
        </w:rPr>
        <w:t xml:space="preserve">АДМИНИСТРАЦИЯ </w:t>
      </w:r>
      <w:r>
        <w:rPr>
          <w:rFonts w:ascii="Times New Roman" w:hAnsi="Times New Roman"/>
          <w:b w:val="1"/>
          <w:sz w:val="28"/>
        </w:rPr>
        <w:t>КУЙБЫШЕВСКОГО СЕЛЬСКОГО</w:t>
      </w:r>
      <w:r>
        <w:rPr>
          <w:rFonts w:ascii="Times New Roman" w:hAnsi="Times New Roman"/>
          <w:b w:val="1"/>
          <w:sz w:val="28"/>
        </w:rPr>
        <w:t xml:space="preserve"> </w:t>
      </w:r>
      <w:r>
        <w:rPr>
          <w:rFonts w:ascii="Times New Roman" w:hAnsi="Times New Roman"/>
          <w:b w:val="1"/>
          <w:sz w:val="28"/>
        </w:rPr>
        <w:t>ПОСЕЛЕНИЯ</w:t>
      </w:r>
      <w:bookmarkEnd w:id="1"/>
      <w:bookmarkEnd w:id="2"/>
    </w:p>
    <w:p w14:paraId="05000000">
      <w:pPr>
        <w:ind/>
        <w:jc w:val="center"/>
        <w:rPr>
          <w:rFonts w:ascii="Times New Roman" w:hAnsi="Times New Roman"/>
          <w:b w:val="1"/>
          <w:sz w:val="28"/>
        </w:rPr>
      </w:pPr>
    </w:p>
    <w:p w14:paraId="06000000">
      <w:pPr>
        <w:ind/>
        <w:jc w:val="center"/>
        <w:rPr>
          <w:rFonts w:ascii="Times New Roman" w:hAnsi="Times New Roman"/>
          <w:b w:val="1"/>
          <w:sz w:val="28"/>
        </w:rPr>
      </w:pPr>
      <w:bookmarkStart w:id="3" w:name="bookmark2"/>
      <w:bookmarkStart w:id="4" w:name="bookmark3"/>
      <w:r>
        <w:rPr>
          <w:rFonts w:ascii="Times New Roman" w:hAnsi="Times New Roman"/>
          <w:b w:val="1"/>
          <w:sz w:val="28"/>
        </w:rPr>
        <w:t>ПОСТАНОВЛЕНИЕ</w:t>
      </w:r>
      <w:bookmarkEnd w:id="3"/>
      <w:bookmarkEnd w:id="4"/>
    </w:p>
    <w:p w14:paraId="07000000">
      <w:pPr>
        <w:ind/>
        <w:jc w:val="center"/>
        <w:rPr>
          <w:rFonts w:ascii="Times New Roman" w:hAnsi="Times New Roman"/>
          <w:b w:val="1"/>
          <w:sz w:val="28"/>
        </w:rPr>
      </w:pPr>
    </w:p>
    <w:p w14:paraId="08000000">
      <w:pPr>
        <w:rPr>
          <w:rFonts w:ascii="Times New Roman" w:hAnsi="Times New Roman"/>
          <w:b w:val="1"/>
          <w:sz w:val="28"/>
        </w:rPr>
      </w:pPr>
      <w:r>
        <w:rPr>
          <w:rFonts w:ascii="Times New Roman" w:hAnsi="Times New Roman"/>
          <w:b w:val="1"/>
          <w:sz w:val="28"/>
        </w:rPr>
        <w:t>17.11.2023                                               № 177                                    с. Куйбышево</w:t>
      </w:r>
    </w:p>
    <w:p w14:paraId="09000000">
      <w:pPr>
        <w:rPr>
          <w:rFonts w:ascii="Times New Roman" w:hAnsi="Times New Roman"/>
          <w:b w:val="1"/>
          <w:sz w:val="28"/>
        </w:rPr>
      </w:pPr>
    </w:p>
    <w:p w14:paraId="0A000000">
      <w:pPr>
        <w:spacing w:after="150" w:before="0" w:line="240" w:lineRule="auto"/>
        <w:ind/>
        <w:jc w:val="center"/>
        <w:rPr>
          <w:rFonts w:ascii="Times New Roman" w:hAnsi="Times New Roman"/>
          <w:color w:themeColor="text1" w:val="000000"/>
          <w:sz w:val="28"/>
        </w:rPr>
      </w:pPr>
      <w:r>
        <w:rPr>
          <w:rFonts w:ascii="Times New Roman" w:hAnsi="Times New Roman"/>
          <w:b w:val="1"/>
          <w:color w:themeColor="text1" w:val="000000"/>
          <w:sz w:val="28"/>
        </w:rPr>
        <w:t>О создании комиссии по установлению стажа муниципальной</w:t>
      </w:r>
      <w:r>
        <w:rPr>
          <w:rFonts w:ascii="Times New Roman" w:hAnsi="Times New Roman"/>
          <w:b w:val="1"/>
          <w:color w:themeColor="text1" w:val="000000"/>
          <w:sz w:val="28"/>
        </w:rPr>
        <w:t xml:space="preserve"> </w:t>
      </w:r>
      <w:r>
        <w:rPr>
          <w:rFonts w:ascii="Times New Roman" w:hAnsi="Times New Roman"/>
          <w:b w:val="1"/>
          <w:color w:themeColor="text1" w:val="000000"/>
          <w:sz w:val="28"/>
        </w:rPr>
        <w:t xml:space="preserve">службы и стажа работы специалистов </w:t>
      </w:r>
      <w:r>
        <w:rPr>
          <w:rFonts w:ascii="Times New Roman" w:hAnsi="Times New Roman"/>
          <w:b w:val="1"/>
          <w:color w:themeColor="text1" w:val="000000"/>
          <w:sz w:val="28"/>
        </w:rPr>
        <w:t>А</w:t>
      </w:r>
      <w:r>
        <w:rPr>
          <w:rFonts w:ascii="Times New Roman" w:hAnsi="Times New Roman"/>
          <w:b w:val="1"/>
          <w:color w:themeColor="text1" w:val="000000"/>
          <w:sz w:val="28"/>
        </w:rPr>
        <w:t>дминистрации</w:t>
      </w:r>
      <w:r>
        <w:rPr>
          <w:rFonts w:ascii="Times New Roman" w:hAnsi="Times New Roman"/>
          <w:b w:val="1"/>
          <w:color w:themeColor="text1" w:val="000000"/>
          <w:sz w:val="28"/>
        </w:rPr>
        <w:t xml:space="preserve"> Куйбышевского</w:t>
      </w:r>
      <w:r>
        <w:rPr>
          <w:rFonts w:ascii="Times New Roman" w:hAnsi="Times New Roman"/>
          <w:b w:val="1"/>
          <w:color w:themeColor="text1" w:val="000000"/>
          <w:sz w:val="28"/>
        </w:rPr>
        <w:t xml:space="preserve"> сельского поселения</w:t>
      </w:r>
    </w:p>
    <w:p w14:paraId="0B000000">
      <w:pPr>
        <w:spacing w:after="0" w:line="240" w:lineRule="auto"/>
        <w:ind w:firstLine="567" w:left="0"/>
        <w:jc w:val="both"/>
        <w:rPr>
          <w:rFonts w:ascii="Times New Roman" w:hAnsi="Times New Roman"/>
          <w:b w:val="1"/>
          <w:i w:val="1"/>
          <w:spacing w:val="24"/>
          <w:sz w:val="28"/>
        </w:rPr>
      </w:pPr>
      <w:r>
        <w:rPr>
          <w:rFonts w:ascii="Times New Roman" w:hAnsi="Times New Roman"/>
          <w:sz w:val="28"/>
        </w:rPr>
        <w:t xml:space="preserve">В соответствии с Федеральным законом от 02.03.2007 № 25-ФЗ «О муниципальной службе в Российской Федерации», Областной закон Ростовской области от 09.10.2007 № 786-ЗС «О муниципальной службе в Ростовской области», </w:t>
      </w:r>
      <w:r>
        <w:rPr>
          <w:rFonts w:ascii="Times New Roman" w:hAnsi="Times New Roman"/>
          <w:b w:val="1"/>
          <w:i w:val="1"/>
          <w:spacing w:val="24"/>
          <w:sz w:val="28"/>
        </w:rPr>
        <w:t>постановляю:</w:t>
      </w:r>
    </w:p>
    <w:p w14:paraId="0C000000">
      <w:pPr>
        <w:spacing w:after="0" w:line="240" w:lineRule="auto"/>
        <w:ind w:firstLine="567" w:left="0"/>
        <w:jc w:val="both"/>
        <w:rPr>
          <w:rFonts w:ascii="Times New Roman" w:hAnsi="Times New Roman"/>
          <w:b w:val="1"/>
          <w:i w:val="1"/>
          <w:spacing w:val="24"/>
          <w:sz w:val="28"/>
        </w:rPr>
      </w:pPr>
    </w:p>
    <w:p w14:paraId="0D000000">
      <w:pPr>
        <w:spacing w:after="0" w:line="240" w:lineRule="auto"/>
        <w:ind w:firstLine="567"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 xml:space="preserve">Создать комиссию по установлению стажа муниципальной службы и стажа работы специалистов </w:t>
      </w:r>
      <w:r>
        <w:rPr>
          <w:rFonts w:ascii="Times New Roman" w:hAnsi="Times New Roman"/>
          <w:sz w:val="28"/>
        </w:rPr>
        <w:t>А</w:t>
      </w:r>
      <w:r>
        <w:rPr>
          <w:rFonts w:ascii="Times New Roman" w:hAnsi="Times New Roman"/>
          <w:sz w:val="28"/>
        </w:rPr>
        <w:t xml:space="preserve">дминистрации Куйбышевского сельского поселения </w:t>
      </w:r>
      <w:r>
        <w:rPr>
          <w:rFonts w:ascii="Times New Roman" w:hAnsi="Times New Roman"/>
          <w:sz w:val="28"/>
        </w:rPr>
        <w:t xml:space="preserve">согласно приложению </w:t>
      </w:r>
      <w:r>
        <w:rPr>
          <w:rFonts w:ascii="Times New Roman" w:hAnsi="Times New Roman"/>
          <w:sz w:val="28"/>
        </w:rPr>
        <w:t xml:space="preserve">№ </w:t>
      </w:r>
      <w:r>
        <w:rPr>
          <w:rFonts w:ascii="Times New Roman" w:hAnsi="Times New Roman"/>
          <w:sz w:val="28"/>
        </w:rPr>
        <w:t>1.</w:t>
      </w:r>
    </w:p>
    <w:p w14:paraId="0E000000">
      <w:pPr>
        <w:spacing w:after="0" w:line="240" w:lineRule="auto"/>
        <w:ind w:firstLine="567"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 xml:space="preserve">Утвердить Положение о комиссии по установлению стажа муниципальной службы и стажа работы специалистов администрации Куйбышевского сельского поселения согласно приложению </w:t>
      </w:r>
      <w:r>
        <w:rPr>
          <w:rFonts w:ascii="Times New Roman" w:hAnsi="Times New Roman"/>
          <w:sz w:val="28"/>
        </w:rPr>
        <w:t xml:space="preserve">№ </w:t>
      </w:r>
      <w:r>
        <w:rPr>
          <w:rFonts w:ascii="Times New Roman" w:hAnsi="Times New Roman"/>
          <w:sz w:val="28"/>
        </w:rPr>
        <w:t>2</w:t>
      </w:r>
      <w:r>
        <w:rPr>
          <w:rFonts w:ascii="Times New Roman" w:hAnsi="Times New Roman"/>
          <w:sz w:val="28"/>
        </w:rPr>
        <w:t>.</w:t>
      </w:r>
    </w:p>
    <w:p w14:paraId="0F000000">
      <w:pPr>
        <w:spacing w:after="0" w:line="240" w:lineRule="auto"/>
        <w:ind w:firstLine="567"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 xml:space="preserve">Утвердить Порядок исчисления стажа муниципальной службы, стажа работы специалистов и зачета в него иных периодов трудовой деятельности согласно приложению </w:t>
      </w:r>
      <w:r>
        <w:rPr>
          <w:rFonts w:ascii="Times New Roman" w:hAnsi="Times New Roman"/>
          <w:sz w:val="28"/>
        </w:rPr>
        <w:t xml:space="preserve">№ </w:t>
      </w:r>
      <w:r>
        <w:rPr>
          <w:rFonts w:ascii="Times New Roman" w:hAnsi="Times New Roman"/>
          <w:sz w:val="28"/>
        </w:rPr>
        <w:t>3</w:t>
      </w:r>
      <w:r>
        <w:rPr>
          <w:rFonts w:ascii="Times New Roman" w:hAnsi="Times New Roman"/>
          <w:sz w:val="28"/>
        </w:rPr>
        <w:t>.</w:t>
      </w:r>
    </w:p>
    <w:p w14:paraId="10000000">
      <w:pPr>
        <w:spacing w:after="0" w:line="240" w:lineRule="auto"/>
        <w:ind w:firstLine="567"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Считать утратившим силу Постановление Администрации Куйбышевского сельского поселения от 17.10.2018 № 170 «О создании комиссии и утверждения Положения по определению стажа работы штатных работников, дающего право на надбавку к должностному окладу за выслугу лет и других социальных вопросов»</w:t>
      </w:r>
      <w:r>
        <w:rPr>
          <w:rFonts w:ascii="Times New Roman" w:hAnsi="Times New Roman"/>
          <w:sz w:val="28"/>
        </w:rPr>
        <w:t>.</w:t>
      </w:r>
    </w:p>
    <w:p w14:paraId="11000000">
      <w:pPr>
        <w:spacing w:after="0" w:line="240" w:lineRule="auto"/>
        <w:ind w:firstLine="567" w:left="0"/>
        <w:jc w:val="both"/>
        <w:rPr>
          <w:rFonts w:ascii="Times New Roman" w:hAnsi="Times New Roman"/>
          <w:sz w:val="28"/>
        </w:rPr>
      </w:pPr>
      <w:r>
        <w:rPr>
          <w:rFonts w:ascii="Times New Roman" w:hAnsi="Times New Roman"/>
          <w:sz w:val="28"/>
        </w:rPr>
        <w:t>5.</w:t>
      </w:r>
      <w:r>
        <w:rPr>
          <w:rFonts w:ascii="Times New Roman" w:hAnsi="Times New Roman"/>
          <w:sz w:val="28"/>
        </w:rPr>
        <w:t xml:space="preserve"> Данное </w:t>
      </w:r>
      <w:r>
        <w:rPr>
          <w:rFonts w:ascii="Times New Roman" w:hAnsi="Times New Roman"/>
          <w:sz w:val="28"/>
        </w:rPr>
        <w:t>постановление</w:t>
      </w:r>
      <w:r>
        <w:rPr>
          <w:rFonts w:ascii="Times New Roman" w:hAnsi="Times New Roman"/>
          <w:sz w:val="28"/>
        </w:rPr>
        <w:t xml:space="preserve"> вступает в законную силу с момента его подписания.</w:t>
      </w:r>
    </w:p>
    <w:p w14:paraId="12000000">
      <w:pPr>
        <w:spacing w:after="0" w:line="240" w:lineRule="auto"/>
        <w:ind w:firstLine="567" w:left="0"/>
        <w:jc w:val="both"/>
        <w:rPr>
          <w:rFonts w:ascii="Times New Roman" w:hAnsi="Times New Roman"/>
          <w:sz w:val="28"/>
        </w:rPr>
      </w:pPr>
      <w:r>
        <w:rPr>
          <w:rFonts w:ascii="Times New Roman" w:hAnsi="Times New Roman"/>
          <w:sz w:val="28"/>
        </w:rPr>
        <w:t>6.</w:t>
      </w:r>
      <w:r>
        <w:rPr>
          <w:rFonts w:ascii="Times New Roman" w:hAnsi="Times New Roman"/>
          <w:sz w:val="28"/>
        </w:rPr>
        <w:t>Контроль за</w:t>
      </w:r>
      <w:r>
        <w:rPr>
          <w:rFonts w:ascii="Times New Roman" w:hAnsi="Times New Roman"/>
          <w:sz w:val="28"/>
        </w:rPr>
        <w:t xml:space="preserve"> </w:t>
      </w:r>
      <w:r>
        <w:rPr>
          <w:rFonts w:ascii="Times New Roman" w:hAnsi="Times New Roman"/>
          <w:sz w:val="28"/>
        </w:rPr>
        <w:t>вы</w:t>
      </w:r>
      <w:r>
        <w:rPr>
          <w:rFonts w:ascii="Times New Roman" w:hAnsi="Times New Roman"/>
          <w:sz w:val="28"/>
        </w:rPr>
        <w:t>полнением</w:t>
      </w:r>
      <w:r>
        <w:t xml:space="preserve"> </w:t>
      </w:r>
      <w:r>
        <w:rPr>
          <w:rFonts w:ascii="Times New Roman" w:hAnsi="Times New Roman"/>
          <w:sz w:val="28"/>
        </w:rPr>
        <w:t>настоящего постановления</w:t>
      </w:r>
      <w:r>
        <w:rPr>
          <w:rFonts w:ascii="Times New Roman" w:hAnsi="Times New Roman"/>
          <w:sz w:val="28"/>
        </w:rPr>
        <w:t xml:space="preserve"> </w:t>
      </w:r>
      <w:r>
        <w:rPr>
          <w:rFonts w:ascii="Times New Roman" w:hAnsi="Times New Roman"/>
          <w:sz w:val="28"/>
        </w:rPr>
        <w:t>оставляю за собой</w:t>
      </w:r>
      <w:r>
        <w:rPr>
          <w:rFonts w:ascii="Times New Roman" w:hAnsi="Times New Roman"/>
          <w:sz w:val="28"/>
        </w:rPr>
        <w:t>.</w:t>
      </w:r>
    </w:p>
    <w:p w14:paraId="13000000">
      <w:pPr>
        <w:pStyle w:val="Style_1"/>
        <w:spacing w:after="0"/>
        <w:ind/>
      </w:pPr>
    </w:p>
    <w:p w14:paraId="14000000">
      <w:pPr>
        <w:pStyle w:val="Style_1"/>
        <w:spacing w:after="0"/>
        <w:ind/>
      </w:pPr>
    </w:p>
    <w:p w14:paraId="15000000">
      <w:pPr>
        <w:pStyle w:val="Style_1"/>
        <w:spacing w:after="0"/>
        <w:ind/>
      </w:pPr>
    </w:p>
    <w:p w14:paraId="16000000">
      <w:pPr>
        <w:pStyle w:val="Style_1"/>
        <w:spacing w:after="0"/>
        <w:ind/>
      </w:pPr>
      <w:r>
        <w:t xml:space="preserve">Глава Администрации </w:t>
      </w:r>
    </w:p>
    <w:p w14:paraId="17000000">
      <w:pPr>
        <w:pStyle w:val="Style_1"/>
        <w:spacing w:after="0"/>
        <w:ind/>
      </w:pPr>
      <w:r>
        <w:t xml:space="preserve">Куйбышевского </w:t>
      </w:r>
    </w:p>
    <w:p w14:paraId="18000000">
      <w:pPr>
        <w:pStyle w:val="Style_1"/>
        <w:spacing w:after="0"/>
        <w:ind w:firstLine="0" w:left="0"/>
        <w:jc w:val="center"/>
        <w:rPr>
          <w:rFonts w:ascii="Times New Roman" w:hAnsi="Times New Roman"/>
          <w:sz w:val="28"/>
        </w:rPr>
      </w:pPr>
      <w:r>
        <w:t>сельского поселения                                                                          С.Л. Слепченко</w:t>
      </w:r>
    </w:p>
    <w:p w14:paraId="19000000">
      <w:pPr>
        <w:pStyle w:val="Style_1"/>
        <w:spacing w:after="0"/>
        <w:ind w:firstLine="0" w:left="6236"/>
        <w:jc w:val="center"/>
        <w:rPr>
          <w:rFonts w:ascii="Times New Roman" w:hAnsi="Times New Roman"/>
          <w:sz w:val="28"/>
        </w:rPr>
      </w:pPr>
      <w:r>
        <w:br w:type="page"/>
      </w:r>
      <w:r>
        <w:rPr>
          <w:rFonts w:ascii="Times New Roman" w:hAnsi="Times New Roman"/>
          <w:sz w:val="28"/>
        </w:rPr>
        <w:t xml:space="preserve">Приложение </w:t>
      </w:r>
      <w:r>
        <w:rPr>
          <w:rFonts w:ascii="Times New Roman" w:hAnsi="Times New Roman"/>
          <w:sz w:val="28"/>
        </w:rPr>
        <w:t xml:space="preserve">№ </w:t>
      </w:r>
      <w:r>
        <w:rPr>
          <w:rFonts w:ascii="Times New Roman" w:hAnsi="Times New Roman"/>
          <w:sz w:val="28"/>
        </w:rPr>
        <w:t>1</w:t>
      </w:r>
    </w:p>
    <w:p w14:paraId="1A000000">
      <w:pPr>
        <w:spacing w:after="0" w:line="240" w:lineRule="auto"/>
        <w:ind w:firstLine="0" w:left="6236"/>
        <w:jc w:val="center"/>
        <w:rPr>
          <w:rFonts w:ascii="Times New Roman" w:hAnsi="Times New Roman"/>
          <w:sz w:val="28"/>
        </w:rPr>
      </w:pPr>
      <w:r>
        <w:rPr>
          <w:rFonts w:ascii="Times New Roman" w:hAnsi="Times New Roman"/>
          <w:sz w:val="28"/>
        </w:rPr>
        <w:t xml:space="preserve">к </w:t>
      </w:r>
      <w:r>
        <w:rPr>
          <w:rFonts w:ascii="Times New Roman" w:hAnsi="Times New Roman"/>
          <w:sz w:val="28"/>
        </w:rPr>
        <w:t>постановлению</w:t>
      </w:r>
      <w:r>
        <w:rPr>
          <w:rFonts w:ascii="Times New Roman" w:hAnsi="Times New Roman"/>
          <w:sz w:val="28"/>
        </w:rPr>
        <w:t xml:space="preserve"> </w:t>
      </w:r>
      <w:r>
        <w:rPr>
          <w:rFonts w:ascii="Times New Roman" w:hAnsi="Times New Roman"/>
          <w:sz w:val="28"/>
        </w:rPr>
        <w:t>А</w:t>
      </w:r>
      <w:r>
        <w:rPr>
          <w:rFonts w:ascii="Times New Roman" w:hAnsi="Times New Roman"/>
          <w:sz w:val="28"/>
        </w:rPr>
        <w:t>дминистрации</w:t>
      </w:r>
      <w:r>
        <w:rPr>
          <w:rFonts w:ascii="Times New Roman" w:hAnsi="Times New Roman"/>
          <w:sz w:val="28"/>
        </w:rPr>
        <w:t xml:space="preserve"> </w:t>
      </w:r>
      <w:r>
        <w:rPr>
          <w:rFonts w:ascii="Times New Roman" w:hAnsi="Times New Roman"/>
          <w:sz w:val="28"/>
        </w:rPr>
        <w:t>Куйбышевского сельского поселения</w:t>
      </w:r>
      <w:r>
        <w:rPr>
          <w:rFonts w:ascii="Times New Roman" w:hAnsi="Times New Roman"/>
          <w:sz w:val="28"/>
        </w:rPr>
        <w:t xml:space="preserve"> </w:t>
      </w:r>
    </w:p>
    <w:p w14:paraId="1B000000">
      <w:pPr>
        <w:spacing w:after="0" w:line="240" w:lineRule="auto"/>
        <w:ind w:firstLine="0" w:left="6236"/>
        <w:jc w:val="center"/>
        <w:rPr>
          <w:rFonts w:ascii="Times New Roman" w:hAnsi="Times New Roman"/>
          <w:sz w:val="28"/>
        </w:rPr>
      </w:pPr>
      <w:r>
        <w:rPr>
          <w:rFonts w:ascii="Times New Roman" w:hAnsi="Times New Roman"/>
          <w:sz w:val="28"/>
        </w:rPr>
        <w:t>от 17</w:t>
      </w:r>
      <w:r>
        <w:rPr>
          <w:rFonts w:ascii="Times New Roman" w:hAnsi="Times New Roman"/>
          <w:sz w:val="28"/>
        </w:rPr>
        <w:t xml:space="preserve">.11.2023 </w:t>
      </w:r>
      <w:r>
        <w:rPr>
          <w:rFonts w:ascii="Times New Roman" w:hAnsi="Times New Roman"/>
          <w:sz w:val="28"/>
        </w:rPr>
        <w:t>№ 177</w:t>
      </w:r>
    </w:p>
    <w:p w14:paraId="1C000000">
      <w:pPr>
        <w:spacing w:after="0" w:line="240" w:lineRule="auto"/>
        <w:ind w:firstLine="0" w:left="6236"/>
        <w:jc w:val="center"/>
        <w:rPr>
          <w:rFonts w:ascii="Times New Roman" w:hAnsi="Times New Roman"/>
          <w:sz w:val="28"/>
        </w:rPr>
      </w:pPr>
    </w:p>
    <w:p w14:paraId="1D000000">
      <w:pPr>
        <w:spacing w:after="0" w:line="240" w:lineRule="auto"/>
        <w:ind/>
        <w:jc w:val="center"/>
        <w:rPr>
          <w:rFonts w:ascii="Times New Roman" w:hAnsi="Times New Roman"/>
          <w:sz w:val="28"/>
        </w:rPr>
      </w:pPr>
      <w:r>
        <w:rPr>
          <w:rFonts w:ascii="Times New Roman" w:hAnsi="Times New Roman"/>
          <w:sz w:val="28"/>
        </w:rPr>
        <w:t>Состав комиссии</w:t>
      </w:r>
    </w:p>
    <w:p w14:paraId="1E000000">
      <w:pPr>
        <w:spacing w:after="0" w:line="240" w:lineRule="auto"/>
        <w:ind/>
        <w:jc w:val="center"/>
        <w:rPr>
          <w:rFonts w:ascii="Times New Roman" w:hAnsi="Times New Roman"/>
          <w:sz w:val="28"/>
        </w:rPr>
      </w:pPr>
      <w:r>
        <w:rPr>
          <w:rFonts w:ascii="Times New Roman" w:hAnsi="Times New Roman"/>
          <w:sz w:val="28"/>
        </w:rPr>
        <w:t>по установлению стажа муниципальной службы и стажа работы специалистов Администрации Куйбышевского сельского поселения</w:t>
      </w:r>
    </w:p>
    <w:p w14:paraId="1F000000">
      <w:pPr>
        <w:spacing w:after="0" w:line="240" w:lineRule="auto"/>
        <w:ind/>
        <w:jc w:val="center"/>
        <w:rPr>
          <w:rFonts w:ascii="Times New Roman" w:hAnsi="Times New Roman"/>
          <w:sz w:val="28"/>
        </w:rPr>
      </w:pPr>
    </w:p>
    <w:tbl>
      <w:tblPr>
        <w:tblStyle w:val="Style_2"/>
        <w:tblInd w:type="dxa" w:w="0"/>
        <w:tblBorders>
          <w:top w:color="000000" w:sz="4" w:val="nil"/>
          <w:left w:color="000000" w:sz="4" w:val="nil"/>
          <w:bottom w:color="000000" w:sz="4" w:val="nil"/>
          <w:right w:color="000000" w:sz="4" w:val="nil"/>
          <w:insideH w:color="000000" w:sz="4" w:val="nil"/>
          <w:insideV w:color="000000" w:sz="4" w:val="nil"/>
        </w:tblBorders>
        <w:tblLayout w:type="fixed"/>
        <w:tblCellMar>
          <w:top w:type="dxa" w:w="0"/>
          <w:left w:type="dxa" w:w="108"/>
          <w:bottom w:type="dxa" w:w="0"/>
          <w:right w:type="dxa" w:w="108"/>
        </w:tblCellMar>
      </w:tblPr>
      <w:tblGrid>
        <w:gridCol w:w="3652"/>
        <w:gridCol w:w="567"/>
        <w:gridCol w:w="5352"/>
      </w:tblGrid>
      <w:tr>
        <w:tc>
          <w:tcPr>
            <w:tcW w:type="dxa" w:w="3652"/>
            <w:tcBorders>
              <w:top w:color="000000" w:sz="4" w:val="nil"/>
              <w:left w:color="000000" w:sz="4" w:val="nil"/>
              <w:bottom w:color="000000" w:sz="4" w:val="nil"/>
              <w:right w:color="000000" w:sz="4" w:val="nil"/>
            </w:tcBorders>
            <w:tcMar>
              <w:top w:type="dxa" w:w="0"/>
              <w:left w:type="dxa" w:w="108"/>
              <w:bottom w:type="dxa" w:w="0"/>
              <w:right w:type="dxa" w:w="108"/>
            </w:tcMar>
          </w:tcPr>
          <w:p w14:paraId="20000000">
            <w:pPr>
              <w:spacing w:after="0" w:line="240" w:lineRule="auto"/>
              <w:ind/>
              <w:rPr>
                <w:rFonts w:ascii="Times New Roman" w:hAnsi="Times New Roman"/>
                <w:sz w:val="28"/>
              </w:rPr>
            </w:pPr>
            <w:r>
              <w:rPr>
                <w:rFonts w:ascii="Times New Roman" w:hAnsi="Times New Roman"/>
                <w:sz w:val="28"/>
              </w:rPr>
              <w:t>Слепченко Светлана Леонидовна</w:t>
            </w:r>
          </w:p>
        </w:tc>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21000000">
            <w:pPr>
              <w:spacing w:after="0" w:line="240" w:lineRule="auto"/>
              <w:ind/>
              <w:jc w:val="center"/>
              <w:rPr>
                <w:rFonts w:ascii="Times New Roman" w:hAnsi="Times New Roman"/>
                <w:sz w:val="28"/>
              </w:rPr>
            </w:pPr>
            <w:r>
              <w:rPr>
                <w:rFonts w:ascii="Times New Roman" w:hAnsi="Times New Roman"/>
                <w:sz w:val="28"/>
              </w:rPr>
              <w:t>-</w:t>
            </w:r>
          </w:p>
        </w:tc>
        <w:tc>
          <w:tcPr>
            <w:tcW w:type="dxa" w:w="5352"/>
            <w:tcBorders>
              <w:top w:color="000000" w:sz="4" w:val="nil"/>
              <w:left w:color="000000" w:sz="4" w:val="nil"/>
              <w:bottom w:color="000000" w:sz="4" w:val="nil"/>
              <w:right w:color="000000" w:sz="4" w:val="nil"/>
            </w:tcBorders>
            <w:tcMar>
              <w:top w:type="dxa" w:w="0"/>
              <w:left w:type="dxa" w:w="108"/>
              <w:bottom w:type="dxa" w:w="0"/>
              <w:right w:type="dxa" w:w="108"/>
            </w:tcMar>
          </w:tcPr>
          <w:p w14:paraId="22000000">
            <w:pPr>
              <w:spacing w:after="0" w:line="240" w:lineRule="auto"/>
              <w:ind/>
              <w:jc w:val="both"/>
              <w:rPr>
                <w:rFonts w:ascii="Times New Roman" w:hAnsi="Times New Roman"/>
                <w:sz w:val="28"/>
              </w:rPr>
            </w:pPr>
            <w:r>
              <w:rPr>
                <w:rFonts w:ascii="Times New Roman" w:hAnsi="Times New Roman"/>
                <w:sz w:val="28"/>
              </w:rPr>
              <w:t>Глава Администрации Куйбышевского сельского поселения, председатель комиссии</w:t>
            </w:r>
          </w:p>
        </w:tc>
      </w:tr>
      <w:tr>
        <w:tc>
          <w:tcPr>
            <w:tcW w:type="dxa" w:w="3652"/>
            <w:tcBorders>
              <w:top w:color="000000" w:sz="4" w:val="nil"/>
              <w:left w:color="000000" w:sz="4" w:val="nil"/>
              <w:bottom w:color="000000" w:sz="4" w:val="nil"/>
              <w:right w:color="000000" w:sz="4" w:val="nil"/>
            </w:tcBorders>
            <w:tcMar>
              <w:top w:type="dxa" w:w="0"/>
              <w:left w:type="dxa" w:w="108"/>
              <w:bottom w:type="dxa" w:w="0"/>
              <w:right w:type="dxa" w:w="108"/>
            </w:tcMar>
          </w:tcPr>
          <w:p w14:paraId="23000000">
            <w:pPr>
              <w:spacing w:after="0" w:line="240" w:lineRule="auto"/>
              <w:ind/>
              <w:rPr>
                <w:rFonts w:ascii="Times New Roman" w:hAnsi="Times New Roman"/>
                <w:sz w:val="16"/>
              </w:rPr>
            </w:pPr>
          </w:p>
        </w:tc>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24000000">
            <w:pPr>
              <w:spacing w:after="0" w:line="240" w:lineRule="auto"/>
              <w:ind/>
              <w:jc w:val="center"/>
              <w:rPr>
                <w:rFonts w:ascii="Times New Roman" w:hAnsi="Times New Roman"/>
                <w:sz w:val="16"/>
              </w:rPr>
            </w:pPr>
          </w:p>
        </w:tc>
        <w:tc>
          <w:tcPr>
            <w:tcW w:type="dxa" w:w="5352"/>
            <w:tcBorders>
              <w:top w:color="000000" w:sz="4" w:val="nil"/>
              <w:left w:color="000000" w:sz="4" w:val="nil"/>
              <w:bottom w:color="000000" w:sz="4" w:val="nil"/>
              <w:right w:color="000000" w:sz="4" w:val="nil"/>
            </w:tcBorders>
            <w:tcMar>
              <w:top w:type="dxa" w:w="0"/>
              <w:left w:type="dxa" w:w="108"/>
              <w:bottom w:type="dxa" w:w="0"/>
              <w:right w:type="dxa" w:w="108"/>
            </w:tcMar>
          </w:tcPr>
          <w:p w14:paraId="25000000">
            <w:pPr>
              <w:spacing w:after="0" w:line="240" w:lineRule="auto"/>
              <w:ind/>
              <w:jc w:val="both"/>
              <w:rPr>
                <w:rFonts w:ascii="Times New Roman" w:hAnsi="Times New Roman"/>
                <w:sz w:val="16"/>
              </w:rPr>
            </w:pPr>
          </w:p>
        </w:tc>
      </w:tr>
      <w:tr>
        <w:tc>
          <w:tcPr>
            <w:tcW w:type="dxa" w:w="3652"/>
            <w:tcBorders>
              <w:top w:color="000000" w:sz="4" w:val="nil"/>
              <w:left w:color="000000" w:sz="4" w:val="nil"/>
              <w:bottom w:color="000000" w:sz="4" w:val="nil"/>
              <w:right w:color="000000" w:sz="4" w:val="nil"/>
            </w:tcBorders>
            <w:tcMar>
              <w:top w:type="dxa" w:w="0"/>
              <w:left w:type="dxa" w:w="108"/>
              <w:bottom w:type="dxa" w:w="0"/>
              <w:right w:type="dxa" w:w="108"/>
            </w:tcMar>
          </w:tcPr>
          <w:p w14:paraId="26000000">
            <w:pPr>
              <w:spacing w:after="0" w:line="240" w:lineRule="auto"/>
              <w:ind/>
              <w:rPr>
                <w:rFonts w:ascii="Times New Roman" w:hAnsi="Times New Roman"/>
                <w:sz w:val="28"/>
              </w:rPr>
            </w:pPr>
            <w:r>
              <w:rPr>
                <w:rFonts w:ascii="Times New Roman" w:hAnsi="Times New Roman"/>
                <w:sz w:val="28"/>
              </w:rPr>
              <w:t>Султангареева Ольга Владимировна</w:t>
            </w:r>
          </w:p>
        </w:tc>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27000000">
            <w:pPr>
              <w:spacing w:after="0" w:line="240" w:lineRule="auto"/>
              <w:ind/>
              <w:jc w:val="center"/>
              <w:rPr>
                <w:rFonts w:ascii="Times New Roman" w:hAnsi="Times New Roman"/>
                <w:sz w:val="28"/>
              </w:rPr>
            </w:pPr>
            <w:r>
              <w:rPr>
                <w:rFonts w:ascii="Times New Roman" w:hAnsi="Times New Roman"/>
                <w:sz w:val="28"/>
              </w:rPr>
              <w:t>-</w:t>
            </w:r>
          </w:p>
        </w:tc>
        <w:tc>
          <w:tcPr>
            <w:tcW w:type="dxa" w:w="5352"/>
            <w:tcBorders>
              <w:top w:color="000000" w:sz="4" w:val="nil"/>
              <w:left w:color="000000" w:sz="4" w:val="nil"/>
              <w:bottom w:color="000000" w:sz="4" w:val="nil"/>
              <w:right w:color="000000" w:sz="4" w:val="nil"/>
            </w:tcBorders>
            <w:tcMar>
              <w:top w:type="dxa" w:w="0"/>
              <w:left w:type="dxa" w:w="108"/>
              <w:bottom w:type="dxa" w:w="0"/>
              <w:right w:type="dxa" w:w="108"/>
            </w:tcMar>
          </w:tcPr>
          <w:p w14:paraId="28000000">
            <w:pPr>
              <w:spacing w:after="0" w:line="240" w:lineRule="auto"/>
              <w:ind/>
              <w:jc w:val="both"/>
              <w:rPr>
                <w:rFonts w:ascii="Times New Roman" w:hAnsi="Times New Roman"/>
                <w:sz w:val="28"/>
              </w:rPr>
            </w:pPr>
            <w:r>
              <w:rPr>
                <w:rFonts w:ascii="Times New Roman" w:hAnsi="Times New Roman"/>
                <w:sz w:val="28"/>
              </w:rPr>
              <w:t>Ведущий специалист по юридическим и кадровым вопросам, секретарь комиссии</w:t>
            </w:r>
          </w:p>
        </w:tc>
      </w:tr>
      <w:tr>
        <w:tc>
          <w:tcPr>
            <w:tcW w:type="dxa" w:w="3652"/>
            <w:tcBorders>
              <w:top w:color="000000" w:sz="4" w:val="nil"/>
              <w:left w:color="000000" w:sz="4" w:val="nil"/>
              <w:bottom w:color="000000" w:sz="4" w:val="nil"/>
              <w:right w:color="000000" w:sz="4" w:val="nil"/>
            </w:tcBorders>
            <w:tcMar>
              <w:top w:type="dxa" w:w="0"/>
              <w:left w:type="dxa" w:w="108"/>
              <w:bottom w:type="dxa" w:w="0"/>
              <w:right w:type="dxa" w:w="108"/>
            </w:tcMar>
          </w:tcPr>
          <w:p w14:paraId="29000000">
            <w:pPr>
              <w:spacing w:after="0" w:line="240" w:lineRule="auto"/>
              <w:ind/>
              <w:rPr>
                <w:rFonts w:ascii="Times New Roman" w:hAnsi="Times New Roman"/>
                <w:sz w:val="16"/>
              </w:rPr>
            </w:pPr>
          </w:p>
        </w:tc>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2A000000">
            <w:pPr>
              <w:spacing w:after="0" w:line="240" w:lineRule="auto"/>
              <w:ind/>
              <w:jc w:val="center"/>
              <w:rPr>
                <w:rFonts w:ascii="Times New Roman" w:hAnsi="Times New Roman"/>
                <w:sz w:val="16"/>
              </w:rPr>
            </w:pPr>
          </w:p>
        </w:tc>
        <w:tc>
          <w:tcPr>
            <w:tcW w:type="dxa" w:w="5352"/>
            <w:tcBorders>
              <w:top w:color="000000" w:sz="4" w:val="nil"/>
              <w:left w:color="000000" w:sz="4" w:val="nil"/>
              <w:bottom w:color="000000" w:sz="4" w:val="nil"/>
              <w:right w:color="000000" w:sz="4" w:val="nil"/>
            </w:tcBorders>
            <w:tcMar>
              <w:top w:type="dxa" w:w="0"/>
              <w:left w:type="dxa" w:w="108"/>
              <w:bottom w:type="dxa" w:w="0"/>
              <w:right w:type="dxa" w:w="108"/>
            </w:tcMar>
          </w:tcPr>
          <w:p w14:paraId="2B000000">
            <w:pPr>
              <w:spacing w:after="0" w:line="240" w:lineRule="auto"/>
              <w:ind/>
              <w:jc w:val="center"/>
              <w:rPr>
                <w:rFonts w:ascii="Times New Roman" w:hAnsi="Times New Roman"/>
                <w:sz w:val="16"/>
              </w:rPr>
            </w:pPr>
          </w:p>
        </w:tc>
      </w:tr>
      <w:tr>
        <w:tc>
          <w:tcPr>
            <w:tcW w:type="dxa" w:w="3652"/>
            <w:tcBorders>
              <w:top w:color="000000" w:sz="4" w:val="nil"/>
              <w:left w:color="000000" w:sz="4" w:val="nil"/>
              <w:bottom w:color="000000" w:sz="4" w:val="nil"/>
              <w:right w:color="000000" w:sz="4" w:val="nil"/>
            </w:tcBorders>
            <w:tcMar>
              <w:top w:type="dxa" w:w="0"/>
              <w:left w:type="dxa" w:w="108"/>
              <w:bottom w:type="dxa" w:w="0"/>
              <w:right w:type="dxa" w:w="108"/>
            </w:tcMar>
          </w:tcPr>
          <w:p w14:paraId="2C000000">
            <w:pPr>
              <w:spacing w:after="0" w:line="240" w:lineRule="auto"/>
              <w:ind/>
              <w:rPr>
                <w:rFonts w:ascii="Times New Roman" w:hAnsi="Times New Roman"/>
                <w:sz w:val="28"/>
              </w:rPr>
            </w:pPr>
            <w:r>
              <w:rPr>
                <w:rFonts w:ascii="Times New Roman" w:hAnsi="Times New Roman"/>
                <w:sz w:val="28"/>
              </w:rPr>
              <w:t>Члены комиссии:</w:t>
            </w:r>
          </w:p>
        </w:tc>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2D000000">
            <w:pPr>
              <w:spacing w:after="0" w:line="240" w:lineRule="auto"/>
              <w:ind/>
              <w:jc w:val="center"/>
              <w:rPr>
                <w:rFonts w:ascii="Times New Roman" w:hAnsi="Times New Roman"/>
                <w:sz w:val="28"/>
              </w:rPr>
            </w:pPr>
          </w:p>
        </w:tc>
        <w:tc>
          <w:tcPr>
            <w:tcW w:type="dxa" w:w="5352"/>
            <w:tcBorders>
              <w:top w:color="000000" w:sz="4" w:val="nil"/>
              <w:left w:color="000000" w:sz="4" w:val="nil"/>
              <w:bottom w:color="000000" w:sz="4" w:val="nil"/>
              <w:right w:color="000000" w:sz="4" w:val="nil"/>
            </w:tcBorders>
            <w:tcMar>
              <w:top w:type="dxa" w:w="0"/>
              <w:left w:type="dxa" w:w="108"/>
              <w:bottom w:type="dxa" w:w="0"/>
              <w:right w:type="dxa" w:w="108"/>
            </w:tcMar>
          </w:tcPr>
          <w:p w14:paraId="2E000000">
            <w:pPr>
              <w:spacing w:after="0" w:line="240" w:lineRule="auto"/>
              <w:ind/>
              <w:jc w:val="center"/>
              <w:rPr>
                <w:rFonts w:ascii="Times New Roman" w:hAnsi="Times New Roman"/>
                <w:sz w:val="28"/>
              </w:rPr>
            </w:pPr>
          </w:p>
        </w:tc>
      </w:tr>
      <w:tr>
        <w:tc>
          <w:tcPr>
            <w:tcW w:type="dxa" w:w="3652"/>
            <w:tcBorders>
              <w:top w:color="000000" w:sz="4" w:val="nil"/>
              <w:left w:color="000000" w:sz="4" w:val="nil"/>
              <w:bottom w:color="000000" w:sz="4" w:val="nil"/>
              <w:right w:color="000000" w:sz="4" w:val="nil"/>
            </w:tcBorders>
            <w:tcMar>
              <w:top w:type="dxa" w:w="0"/>
              <w:left w:type="dxa" w:w="108"/>
              <w:bottom w:type="dxa" w:w="0"/>
              <w:right w:type="dxa" w:w="108"/>
            </w:tcMar>
          </w:tcPr>
          <w:p w14:paraId="2F000000">
            <w:pPr>
              <w:spacing w:after="0" w:line="240" w:lineRule="auto"/>
              <w:ind/>
              <w:rPr>
                <w:rFonts w:ascii="Times New Roman" w:hAnsi="Times New Roman"/>
                <w:sz w:val="16"/>
              </w:rPr>
            </w:pPr>
          </w:p>
        </w:tc>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30000000">
            <w:pPr>
              <w:spacing w:after="0" w:line="240" w:lineRule="auto"/>
              <w:ind/>
              <w:jc w:val="center"/>
              <w:rPr>
                <w:rFonts w:ascii="Times New Roman" w:hAnsi="Times New Roman"/>
                <w:sz w:val="16"/>
              </w:rPr>
            </w:pPr>
          </w:p>
        </w:tc>
        <w:tc>
          <w:tcPr>
            <w:tcW w:type="dxa" w:w="5352"/>
            <w:tcBorders>
              <w:top w:color="000000" w:sz="4" w:val="nil"/>
              <w:left w:color="000000" w:sz="4" w:val="nil"/>
              <w:bottom w:color="000000" w:sz="4" w:val="nil"/>
              <w:right w:color="000000" w:sz="4" w:val="nil"/>
            </w:tcBorders>
            <w:tcMar>
              <w:top w:type="dxa" w:w="0"/>
              <w:left w:type="dxa" w:w="108"/>
              <w:bottom w:type="dxa" w:w="0"/>
              <w:right w:type="dxa" w:w="108"/>
            </w:tcMar>
          </w:tcPr>
          <w:p w14:paraId="31000000">
            <w:pPr>
              <w:spacing w:after="0" w:line="240" w:lineRule="auto"/>
              <w:ind/>
              <w:jc w:val="both"/>
              <w:rPr>
                <w:rFonts w:ascii="Times New Roman" w:hAnsi="Times New Roman"/>
                <w:sz w:val="16"/>
              </w:rPr>
            </w:pPr>
          </w:p>
        </w:tc>
      </w:tr>
      <w:tr>
        <w:tc>
          <w:tcPr>
            <w:tcW w:type="dxa" w:w="3652"/>
            <w:tcBorders>
              <w:top w:color="000000" w:sz="4" w:val="nil"/>
              <w:left w:color="000000" w:sz="4" w:val="nil"/>
              <w:bottom w:color="000000" w:sz="4" w:val="nil"/>
              <w:right w:color="000000" w:sz="4" w:val="nil"/>
            </w:tcBorders>
            <w:tcMar>
              <w:top w:type="dxa" w:w="0"/>
              <w:left w:type="dxa" w:w="108"/>
              <w:bottom w:type="dxa" w:w="0"/>
              <w:right w:type="dxa" w:w="108"/>
            </w:tcMar>
          </w:tcPr>
          <w:p w14:paraId="32000000">
            <w:pPr>
              <w:spacing w:after="0" w:line="240" w:lineRule="auto"/>
              <w:ind/>
              <w:rPr>
                <w:rFonts w:ascii="Times New Roman" w:hAnsi="Times New Roman"/>
                <w:sz w:val="28"/>
              </w:rPr>
            </w:pPr>
            <w:r>
              <w:rPr>
                <w:rFonts w:ascii="Times New Roman" w:hAnsi="Times New Roman"/>
                <w:sz w:val="28"/>
              </w:rPr>
              <w:t>Матюшин Александр Владимирович</w:t>
            </w:r>
          </w:p>
        </w:tc>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33000000">
            <w:pPr>
              <w:spacing w:after="0" w:line="240" w:lineRule="auto"/>
              <w:ind/>
              <w:jc w:val="center"/>
              <w:rPr>
                <w:rFonts w:ascii="Times New Roman" w:hAnsi="Times New Roman"/>
                <w:sz w:val="28"/>
              </w:rPr>
            </w:pPr>
            <w:r>
              <w:rPr>
                <w:rFonts w:ascii="Times New Roman" w:hAnsi="Times New Roman"/>
                <w:sz w:val="28"/>
              </w:rPr>
              <w:t>-</w:t>
            </w:r>
          </w:p>
        </w:tc>
        <w:tc>
          <w:tcPr>
            <w:tcW w:type="dxa" w:w="5352"/>
            <w:tcBorders>
              <w:top w:color="000000" w:sz="4" w:val="nil"/>
              <w:left w:color="000000" w:sz="4" w:val="nil"/>
              <w:bottom w:color="000000" w:sz="4" w:val="nil"/>
              <w:right w:color="000000" w:sz="4" w:val="nil"/>
            </w:tcBorders>
            <w:tcMar>
              <w:top w:type="dxa" w:w="0"/>
              <w:left w:type="dxa" w:w="108"/>
              <w:bottom w:type="dxa" w:w="0"/>
              <w:right w:type="dxa" w:w="108"/>
            </w:tcMar>
          </w:tcPr>
          <w:p w14:paraId="34000000">
            <w:pPr>
              <w:spacing w:after="0" w:line="240" w:lineRule="auto"/>
              <w:ind/>
              <w:jc w:val="both"/>
              <w:rPr>
                <w:rFonts w:ascii="Times New Roman" w:hAnsi="Times New Roman"/>
                <w:sz w:val="28"/>
              </w:rPr>
            </w:pPr>
            <w:r>
              <w:rPr>
                <w:rFonts w:ascii="Times New Roman" w:hAnsi="Times New Roman"/>
                <w:sz w:val="28"/>
              </w:rPr>
              <w:t>Ведущий специалист по вопросам делопроизводства</w:t>
            </w:r>
          </w:p>
        </w:tc>
      </w:tr>
      <w:tr>
        <w:tc>
          <w:tcPr>
            <w:tcW w:type="dxa" w:w="3652"/>
            <w:tcBorders>
              <w:top w:color="000000" w:sz="4" w:val="nil"/>
              <w:left w:color="000000" w:sz="4" w:val="nil"/>
              <w:bottom w:color="000000" w:sz="4" w:val="nil"/>
              <w:right w:color="000000" w:sz="4" w:val="nil"/>
            </w:tcBorders>
            <w:tcMar>
              <w:top w:type="dxa" w:w="0"/>
              <w:left w:type="dxa" w:w="108"/>
              <w:bottom w:type="dxa" w:w="0"/>
              <w:right w:type="dxa" w:w="108"/>
            </w:tcMar>
          </w:tcPr>
          <w:p w14:paraId="35000000">
            <w:pPr>
              <w:spacing w:after="0" w:line="240" w:lineRule="auto"/>
              <w:ind/>
              <w:rPr>
                <w:rFonts w:ascii="Times New Roman" w:hAnsi="Times New Roman"/>
                <w:sz w:val="16"/>
              </w:rPr>
            </w:pPr>
          </w:p>
        </w:tc>
        <w:tc>
          <w:tcPr>
            <w:tcW w:type="dxa" w:w="567"/>
            <w:tcBorders>
              <w:top w:color="000000" w:sz="4" w:val="nil"/>
              <w:left w:color="000000" w:sz="4" w:val="nil"/>
              <w:bottom w:color="000000" w:sz="4" w:val="nil"/>
              <w:right w:color="000000" w:sz="4" w:val="nil"/>
            </w:tcBorders>
            <w:tcMar>
              <w:top w:type="dxa" w:w="0"/>
              <w:left w:type="dxa" w:w="108"/>
              <w:bottom w:type="dxa" w:w="0"/>
              <w:right w:type="dxa" w:w="108"/>
            </w:tcMar>
          </w:tcPr>
          <w:p w14:paraId="36000000">
            <w:pPr>
              <w:spacing w:after="0" w:line="240" w:lineRule="auto"/>
              <w:ind/>
              <w:jc w:val="center"/>
              <w:rPr>
                <w:rFonts w:ascii="Times New Roman" w:hAnsi="Times New Roman"/>
                <w:sz w:val="16"/>
              </w:rPr>
            </w:pPr>
          </w:p>
        </w:tc>
        <w:tc>
          <w:tcPr>
            <w:tcW w:type="dxa" w:w="5352"/>
            <w:tcBorders>
              <w:top w:color="000000" w:sz="4" w:val="nil"/>
              <w:left w:color="000000" w:sz="4" w:val="nil"/>
              <w:bottom w:color="000000" w:sz="4" w:val="nil"/>
              <w:right w:color="000000" w:sz="4" w:val="nil"/>
            </w:tcBorders>
            <w:tcMar>
              <w:top w:type="dxa" w:w="0"/>
              <w:left w:type="dxa" w:w="108"/>
              <w:bottom w:type="dxa" w:w="0"/>
              <w:right w:type="dxa" w:w="108"/>
            </w:tcMar>
          </w:tcPr>
          <w:p w14:paraId="37000000">
            <w:pPr>
              <w:spacing w:after="0" w:line="240" w:lineRule="auto"/>
              <w:ind/>
              <w:jc w:val="both"/>
              <w:rPr>
                <w:rFonts w:ascii="Times New Roman" w:hAnsi="Times New Roman"/>
                <w:sz w:val="16"/>
              </w:rPr>
            </w:pPr>
          </w:p>
        </w:tc>
      </w:tr>
    </w:tbl>
    <w:p w14:paraId="38000000">
      <w:pPr>
        <w:spacing w:after="0" w:line="240" w:lineRule="auto"/>
        <w:ind/>
        <w:jc w:val="center"/>
        <w:rPr>
          <w:rFonts w:ascii="Times New Roman" w:hAnsi="Times New Roman"/>
          <w:sz w:val="28"/>
        </w:rPr>
      </w:pPr>
    </w:p>
    <w:p w14:paraId="39000000">
      <w:pPr>
        <w:spacing w:after="0" w:line="240" w:lineRule="auto"/>
        <w:ind/>
        <w:jc w:val="center"/>
        <w:rPr>
          <w:rFonts w:ascii="Times New Roman" w:hAnsi="Times New Roman"/>
          <w:sz w:val="28"/>
        </w:rPr>
      </w:pPr>
    </w:p>
    <w:p w14:paraId="3A000000">
      <w:pPr>
        <w:spacing w:after="0" w:line="240" w:lineRule="auto"/>
        <w:ind/>
        <w:jc w:val="center"/>
        <w:rPr>
          <w:rFonts w:ascii="Times New Roman" w:hAnsi="Times New Roman"/>
          <w:sz w:val="28"/>
        </w:rPr>
      </w:pPr>
    </w:p>
    <w:p w14:paraId="3B000000">
      <w:pPr>
        <w:spacing w:after="0" w:line="240" w:lineRule="auto"/>
        <w:ind/>
        <w:rPr>
          <w:rFonts w:ascii="Times New Roman" w:hAnsi="Times New Roman"/>
          <w:sz w:val="28"/>
        </w:rPr>
      </w:pPr>
      <w:r>
        <w:rPr>
          <w:rFonts w:ascii="Times New Roman" w:hAnsi="Times New Roman"/>
          <w:sz w:val="28"/>
        </w:rPr>
        <w:t xml:space="preserve">Глава Администрации </w:t>
      </w:r>
    </w:p>
    <w:p w14:paraId="3C000000">
      <w:pPr>
        <w:spacing w:after="0" w:line="240" w:lineRule="auto"/>
        <w:ind/>
        <w:rPr>
          <w:rFonts w:ascii="Times New Roman" w:hAnsi="Times New Roman"/>
          <w:sz w:val="28"/>
        </w:rPr>
      </w:pPr>
      <w:r>
        <w:rPr>
          <w:rFonts w:ascii="Times New Roman" w:hAnsi="Times New Roman"/>
          <w:sz w:val="28"/>
        </w:rPr>
        <w:t xml:space="preserve">Куйбышевского </w:t>
      </w:r>
    </w:p>
    <w:p w14:paraId="3D000000">
      <w:pPr>
        <w:spacing w:after="0" w:line="240" w:lineRule="auto"/>
        <w:ind/>
        <w:rPr>
          <w:rFonts w:ascii="Times New Roman" w:hAnsi="Times New Roman"/>
          <w:sz w:val="28"/>
        </w:rPr>
      </w:pPr>
      <w:r>
        <w:rPr>
          <w:rFonts w:ascii="Times New Roman" w:hAnsi="Times New Roman"/>
          <w:sz w:val="28"/>
        </w:rPr>
        <w:t xml:space="preserve">сельского поселения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w:t>
      </w:r>
      <w:r>
        <w:rPr>
          <w:rFonts w:ascii="Times New Roman" w:hAnsi="Times New Roman"/>
          <w:sz w:val="28"/>
        </w:rPr>
        <w:t>С.Л. Слепченко</w:t>
      </w:r>
    </w:p>
    <w:p w14:paraId="3E000000">
      <w:pPr>
        <w:rPr>
          <w:rFonts w:ascii="Times New Roman" w:hAnsi="Times New Roman"/>
          <w:sz w:val="28"/>
        </w:rPr>
      </w:pPr>
      <w:r>
        <w:rPr>
          <w:rFonts w:ascii="Times New Roman" w:hAnsi="Times New Roman"/>
          <w:sz w:val="28"/>
        </w:rPr>
        <w:br w:type="page"/>
      </w:r>
    </w:p>
    <w:p w14:paraId="3F000000">
      <w:pPr>
        <w:spacing w:after="0" w:line="240" w:lineRule="auto"/>
        <w:ind w:firstLine="0" w:left="6236"/>
        <w:jc w:val="center"/>
        <w:rPr>
          <w:rFonts w:ascii="Times New Roman" w:hAnsi="Times New Roman"/>
          <w:sz w:val="28"/>
        </w:rPr>
      </w:pPr>
      <w:r>
        <w:rPr>
          <w:rFonts w:ascii="Times New Roman" w:hAnsi="Times New Roman"/>
          <w:sz w:val="28"/>
        </w:rPr>
        <w:t xml:space="preserve">Приложение </w:t>
      </w:r>
      <w:r>
        <w:rPr>
          <w:rFonts w:ascii="Times New Roman" w:hAnsi="Times New Roman"/>
          <w:sz w:val="28"/>
        </w:rPr>
        <w:t xml:space="preserve">№ </w:t>
      </w:r>
      <w:r>
        <w:rPr>
          <w:rFonts w:ascii="Times New Roman" w:hAnsi="Times New Roman"/>
          <w:sz w:val="28"/>
        </w:rPr>
        <w:t>2</w:t>
      </w:r>
    </w:p>
    <w:p w14:paraId="40000000">
      <w:pPr>
        <w:spacing w:after="0" w:line="240" w:lineRule="auto"/>
        <w:ind w:firstLine="0" w:left="6236"/>
        <w:jc w:val="center"/>
        <w:rPr>
          <w:rFonts w:ascii="Times New Roman" w:hAnsi="Times New Roman"/>
          <w:sz w:val="28"/>
        </w:rPr>
      </w:pPr>
      <w:r>
        <w:rPr>
          <w:rFonts w:ascii="Times New Roman" w:hAnsi="Times New Roman"/>
          <w:sz w:val="28"/>
        </w:rPr>
        <w:t xml:space="preserve">к </w:t>
      </w:r>
      <w:r>
        <w:rPr>
          <w:rFonts w:ascii="Times New Roman" w:hAnsi="Times New Roman"/>
          <w:sz w:val="28"/>
        </w:rPr>
        <w:t>постановлению А</w:t>
      </w:r>
      <w:r>
        <w:rPr>
          <w:rFonts w:ascii="Times New Roman" w:hAnsi="Times New Roman"/>
          <w:sz w:val="28"/>
        </w:rPr>
        <w:t>дминистрации</w:t>
      </w:r>
      <w:r>
        <w:rPr>
          <w:rFonts w:ascii="Times New Roman" w:hAnsi="Times New Roman"/>
          <w:sz w:val="28"/>
        </w:rPr>
        <w:t xml:space="preserve"> </w:t>
      </w:r>
      <w:r>
        <w:rPr>
          <w:rFonts w:ascii="Times New Roman" w:hAnsi="Times New Roman"/>
          <w:sz w:val="28"/>
        </w:rPr>
        <w:t>Куйбышевского сельского поселения</w:t>
      </w:r>
      <w:r>
        <w:rPr>
          <w:rFonts w:ascii="Times New Roman" w:hAnsi="Times New Roman"/>
          <w:sz w:val="28"/>
        </w:rPr>
        <w:t xml:space="preserve"> </w:t>
      </w:r>
    </w:p>
    <w:p w14:paraId="41000000">
      <w:pPr>
        <w:spacing w:after="0" w:line="240" w:lineRule="auto"/>
        <w:ind w:firstLine="0" w:left="6236"/>
        <w:jc w:val="center"/>
        <w:rPr>
          <w:rFonts w:ascii="Times New Roman" w:hAnsi="Times New Roman"/>
          <w:sz w:val="28"/>
        </w:rPr>
      </w:pPr>
      <w:r>
        <w:rPr>
          <w:rFonts w:ascii="Times New Roman" w:hAnsi="Times New Roman"/>
          <w:sz w:val="28"/>
        </w:rPr>
        <w:t>от 17.11.</w:t>
      </w:r>
      <w:r>
        <w:rPr>
          <w:rFonts w:ascii="Times New Roman" w:hAnsi="Times New Roman"/>
          <w:sz w:val="28"/>
        </w:rPr>
        <w:t xml:space="preserve">2023 </w:t>
      </w:r>
      <w:r>
        <w:rPr>
          <w:rFonts w:ascii="Times New Roman" w:hAnsi="Times New Roman"/>
          <w:sz w:val="28"/>
        </w:rPr>
        <w:t xml:space="preserve">№ </w:t>
      </w:r>
      <w:r>
        <w:rPr>
          <w:rFonts w:ascii="Times New Roman" w:hAnsi="Times New Roman"/>
          <w:sz w:val="28"/>
        </w:rPr>
        <w:t>177</w:t>
      </w:r>
    </w:p>
    <w:p w14:paraId="42000000">
      <w:pPr>
        <w:spacing w:after="150" w:before="0" w:line="240" w:lineRule="auto"/>
        <w:ind w:firstLine="0" w:left="6236"/>
        <w:jc w:val="center"/>
        <w:rPr>
          <w:b w:val="1"/>
          <w:color w:themeColor="text1" w:val="000000"/>
          <w:sz w:val="28"/>
        </w:rPr>
      </w:pPr>
    </w:p>
    <w:p w14:paraId="43000000">
      <w:pPr>
        <w:spacing w:after="150" w:before="0" w:line="240" w:lineRule="auto"/>
        <w:ind/>
        <w:jc w:val="center"/>
        <w:rPr>
          <w:rFonts w:ascii="Times New Roman" w:hAnsi="Times New Roman"/>
          <w:b w:val="1"/>
          <w:color w:themeColor="text1" w:val="000000"/>
          <w:sz w:val="28"/>
        </w:rPr>
      </w:pPr>
      <w:r>
        <w:rPr>
          <w:rFonts w:ascii="Times New Roman" w:hAnsi="Times New Roman"/>
          <w:b w:val="0"/>
          <w:color w:themeColor="text1" w:val="000000"/>
          <w:sz w:val="28"/>
        </w:rPr>
        <w:t>ПОЛОЖЕНИЕ</w:t>
      </w:r>
      <w:r>
        <w:rPr>
          <w:rFonts w:ascii="Times New Roman" w:hAnsi="Times New Roman"/>
          <w:b w:val="1"/>
          <w:color w:themeColor="text1" w:val="000000"/>
          <w:sz w:val="28"/>
        </w:rPr>
        <w:br/>
      </w:r>
      <w:r>
        <w:rPr>
          <w:rFonts w:ascii="Times New Roman" w:hAnsi="Times New Roman"/>
          <w:b w:val="0"/>
          <w:color w:themeColor="text1" w:val="000000"/>
          <w:sz w:val="28"/>
        </w:rPr>
        <w:t xml:space="preserve">о комиссии по установлению стажа муниципальной службы и стажа работы специалистов Администрации </w:t>
      </w:r>
      <w:r>
        <w:rPr>
          <w:rFonts w:ascii="Times New Roman" w:hAnsi="Times New Roman"/>
          <w:b w:val="0"/>
          <w:color w:themeColor="text1" w:val="000000"/>
          <w:sz w:val="28"/>
        </w:rPr>
        <w:t>Куйбышевского</w:t>
      </w:r>
      <w:r>
        <w:rPr>
          <w:rFonts w:ascii="Times New Roman" w:hAnsi="Times New Roman"/>
          <w:b w:val="0"/>
          <w:color w:themeColor="text1" w:val="000000"/>
          <w:sz w:val="28"/>
        </w:rPr>
        <w:t xml:space="preserve"> сельского поселения</w:t>
      </w:r>
    </w:p>
    <w:p w14:paraId="44000000">
      <w:pPr>
        <w:spacing w:after="0" w:line="240" w:lineRule="auto"/>
        <w:ind w:firstLine="567" w:left="0"/>
        <w:jc w:val="both"/>
        <w:rPr>
          <w:rFonts w:ascii="Times New Roman" w:hAnsi="Times New Roman"/>
          <w:sz w:val="28"/>
        </w:rPr>
      </w:pPr>
    </w:p>
    <w:p w14:paraId="45000000">
      <w:pPr>
        <w:spacing w:after="0" w:line="240" w:lineRule="auto"/>
        <w:ind w:firstLine="567" w:left="0"/>
        <w:jc w:val="both"/>
        <w:rPr>
          <w:rFonts w:ascii="Times New Roman" w:hAnsi="Times New Roman"/>
          <w:sz w:val="28"/>
        </w:rPr>
      </w:pPr>
      <w:r>
        <w:rPr>
          <w:rFonts w:ascii="Times New Roman" w:hAnsi="Times New Roman"/>
          <w:sz w:val="28"/>
        </w:rPr>
        <w:t>1. Общие положения</w:t>
      </w:r>
    </w:p>
    <w:p w14:paraId="46000000">
      <w:pPr>
        <w:spacing w:after="0" w:line="240" w:lineRule="auto"/>
        <w:ind w:firstLine="567" w:left="0"/>
        <w:jc w:val="both"/>
        <w:rPr>
          <w:rFonts w:ascii="Times New Roman" w:hAnsi="Times New Roman"/>
          <w:sz w:val="28"/>
        </w:rPr>
      </w:pPr>
      <w:r>
        <w:rPr>
          <w:rFonts w:ascii="Times New Roman" w:hAnsi="Times New Roman"/>
          <w:sz w:val="28"/>
        </w:rPr>
        <w:t xml:space="preserve">1.1. </w:t>
      </w:r>
      <w:r>
        <w:rPr>
          <w:rFonts w:ascii="Times New Roman" w:hAnsi="Times New Roman"/>
          <w:sz w:val="28"/>
        </w:rPr>
        <w:t xml:space="preserve">Комиссия по установлению стажа муниципальной службы и стажа работы специалистов </w:t>
      </w:r>
      <w:r>
        <w:rPr>
          <w:rFonts w:ascii="Times New Roman" w:hAnsi="Times New Roman"/>
          <w:sz w:val="28"/>
        </w:rPr>
        <w:t>А</w:t>
      </w:r>
      <w:r>
        <w:rPr>
          <w:rFonts w:ascii="Times New Roman" w:hAnsi="Times New Roman"/>
          <w:sz w:val="28"/>
        </w:rPr>
        <w:t>дминистрации Куйбышевского сельского поселения (далее – комиссия) образована с целью установления стажа муниципальной службы и стажа работы специалистов, лицам, замещающим должности муниципальной службы, служащим и является постоянно действующим органом по рассмотрению вопросов определения стажа муниципальной службы и стажа работы специалистов, дающего право на получение ежемесячной надбавки к должностному окладу за выслугу</w:t>
      </w:r>
      <w:r>
        <w:rPr>
          <w:rFonts w:ascii="Times New Roman" w:hAnsi="Times New Roman"/>
          <w:sz w:val="28"/>
        </w:rPr>
        <w:t xml:space="preserve"> лет, определения продолжительности ежегодного дополнительного оплачиваемого отпуска за выслугу лет.</w:t>
      </w:r>
    </w:p>
    <w:p w14:paraId="47000000">
      <w:pPr>
        <w:spacing w:after="0" w:line="240" w:lineRule="auto"/>
        <w:ind w:firstLine="567" w:left="0"/>
        <w:jc w:val="both"/>
        <w:rPr>
          <w:rFonts w:ascii="Times New Roman" w:hAnsi="Times New Roman"/>
          <w:sz w:val="28"/>
        </w:rPr>
      </w:pPr>
      <w:r>
        <w:rPr>
          <w:rFonts w:ascii="Times New Roman" w:hAnsi="Times New Roman"/>
          <w:sz w:val="28"/>
        </w:rPr>
        <w:t xml:space="preserve">1.2. Комиссия в своей деятельности руководствуется законодательством Российской Федерации, </w:t>
      </w:r>
      <w:r>
        <w:rPr>
          <w:rFonts w:ascii="Times New Roman" w:hAnsi="Times New Roman"/>
          <w:sz w:val="28"/>
        </w:rPr>
        <w:t>Ростовской</w:t>
      </w:r>
      <w:r>
        <w:rPr>
          <w:rFonts w:ascii="Times New Roman" w:hAnsi="Times New Roman"/>
          <w:sz w:val="28"/>
        </w:rPr>
        <w:t xml:space="preserve"> области, правовыми актами Куйбышевского сельского поселения и настоящим Положением.</w:t>
      </w:r>
    </w:p>
    <w:p w14:paraId="48000000">
      <w:pPr>
        <w:spacing w:after="0" w:line="240" w:lineRule="auto"/>
        <w:ind w:firstLine="567" w:left="0"/>
        <w:jc w:val="both"/>
        <w:rPr>
          <w:rFonts w:ascii="Times New Roman" w:hAnsi="Times New Roman"/>
          <w:sz w:val="28"/>
        </w:rPr>
      </w:pPr>
    </w:p>
    <w:p w14:paraId="49000000">
      <w:pPr>
        <w:spacing w:after="0" w:line="240" w:lineRule="auto"/>
        <w:ind w:firstLine="567" w:left="0"/>
        <w:jc w:val="both"/>
        <w:rPr>
          <w:rFonts w:ascii="Times New Roman" w:hAnsi="Times New Roman"/>
          <w:sz w:val="28"/>
        </w:rPr>
      </w:pPr>
      <w:r>
        <w:rPr>
          <w:rFonts w:ascii="Times New Roman" w:hAnsi="Times New Roman"/>
          <w:sz w:val="28"/>
        </w:rPr>
        <w:t>2. Права и обязанности комиссии</w:t>
      </w:r>
    </w:p>
    <w:p w14:paraId="4A000000">
      <w:pPr>
        <w:spacing w:after="0" w:line="240" w:lineRule="auto"/>
        <w:ind w:firstLine="567" w:left="0"/>
        <w:jc w:val="both"/>
        <w:rPr>
          <w:rFonts w:ascii="Times New Roman" w:hAnsi="Times New Roman"/>
          <w:sz w:val="28"/>
        </w:rPr>
      </w:pPr>
      <w:r>
        <w:rPr>
          <w:rFonts w:ascii="Times New Roman" w:hAnsi="Times New Roman"/>
          <w:sz w:val="28"/>
        </w:rPr>
        <w:t>2.1.</w:t>
      </w:r>
      <w:r>
        <w:rPr>
          <w:rFonts w:ascii="Times New Roman" w:hAnsi="Times New Roman"/>
          <w:sz w:val="28"/>
        </w:rPr>
        <w:t xml:space="preserve">1. </w:t>
      </w:r>
      <w:r>
        <w:rPr>
          <w:rFonts w:ascii="Times New Roman" w:hAnsi="Times New Roman"/>
          <w:sz w:val="28"/>
        </w:rPr>
        <w:t>Принимает решения об установлении стажа муниципальной службы муниципального служащего и стажа работы специалистов.</w:t>
      </w:r>
    </w:p>
    <w:p w14:paraId="4B000000">
      <w:pPr>
        <w:spacing w:after="0" w:line="240" w:lineRule="auto"/>
        <w:ind w:firstLine="567" w:left="0"/>
        <w:jc w:val="both"/>
        <w:rPr>
          <w:rFonts w:ascii="Times New Roman" w:hAnsi="Times New Roman"/>
          <w:sz w:val="28"/>
        </w:rPr>
      </w:pPr>
      <w:r>
        <w:rPr>
          <w:rFonts w:ascii="Times New Roman" w:hAnsi="Times New Roman"/>
          <w:sz w:val="28"/>
        </w:rPr>
        <w:t>2.1.2. Проверяет обоснованность включения в стаж муниципальной службы и стажа работы специалистов отдельных периодов трудовой деятельности (службы) муниципального служащего и специалистов поселения.</w:t>
      </w:r>
    </w:p>
    <w:p w14:paraId="4C000000">
      <w:pPr>
        <w:spacing w:after="0" w:line="240" w:lineRule="auto"/>
        <w:ind w:firstLine="567" w:left="0"/>
        <w:jc w:val="both"/>
        <w:rPr>
          <w:rFonts w:ascii="Times New Roman" w:hAnsi="Times New Roman"/>
          <w:sz w:val="28"/>
        </w:rPr>
      </w:pPr>
      <w:r>
        <w:rPr>
          <w:rFonts w:ascii="Times New Roman" w:hAnsi="Times New Roman"/>
          <w:sz w:val="28"/>
        </w:rPr>
        <w:t>2.1.3. Рассматривает заявления муниципальных служащих, специалистов о включении иных периодов трудовой деятельности в стаж муниципальной службы и стажа работы специалистов.</w:t>
      </w:r>
    </w:p>
    <w:p w14:paraId="4D000000">
      <w:pPr>
        <w:spacing w:after="0" w:line="240" w:lineRule="auto"/>
        <w:ind w:firstLine="567" w:left="0"/>
        <w:jc w:val="both"/>
        <w:rPr>
          <w:rFonts w:ascii="Times New Roman" w:hAnsi="Times New Roman"/>
          <w:sz w:val="28"/>
        </w:rPr>
      </w:pPr>
      <w:r>
        <w:rPr>
          <w:rFonts w:ascii="Times New Roman" w:hAnsi="Times New Roman"/>
          <w:sz w:val="28"/>
        </w:rPr>
        <w:t>2.1.4. Рассматривает спорные вопросы, связанные с включением иных периодов трудовой деятельности в стаж муниципальной службы муниципального служащего и стажа работы специалистов.</w:t>
      </w:r>
    </w:p>
    <w:p w14:paraId="4E000000">
      <w:pPr>
        <w:spacing w:after="0" w:line="240" w:lineRule="auto"/>
        <w:ind w:firstLine="567" w:left="0"/>
        <w:jc w:val="both"/>
        <w:rPr>
          <w:rFonts w:ascii="Times New Roman" w:hAnsi="Times New Roman"/>
          <w:sz w:val="28"/>
        </w:rPr>
      </w:pPr>
      <w:r>
        <w:rPr>
          <w:rFonts w:ascii="Times New Roman" w:hAnsi="Times New Roman"/>
          <w:sz w:val="28"/>
        </w:rPr>
        <w:t>2.2. Комиссия имеет право:</w:t>
      </w:r>
    </w:p>
    <w:p w14:paraId="4F000000">
      <w:pPr>
        <w:spacing w:after="0" w:line="240" w:lineRule="auto"/>
        <w:ind w:firstLine="567" w:left="0"/>
        <w:jc w:val="both"/>
        <w:rPr>
          <w:rFonts w:ascii="Times New Roman" w:hAnsi="Times New Roman"/>
          <w:sz w:val="28"/>
        </w:rPr>
      </w:pPr>
      <w:r>
        <w:rPr>
          <w:rFonts w:ascii="Times New Roman" w:hAnsi="Times New Roman"/>
          <w:sz w:val="28"/>
        </w:rPr>
        <w:t>2.2.1. В случае необходимости приглашать на заседание комиссии муниципального служащего или его руководителя и заслушивать их пояснения.</w:t>
      </w:r>
    </w:p>
    <w:p w14:paraId="50000000">
      <w:pPr>
        <w:spacing w:after="0" w:line="240" w:lineRule="auto"/>
        <w:ind w:firstLine="567" w:left="0"/>
        <w:jc w:val="both"/>
        <w:rPr>
          <w:rFonts w:ascii="Times New Roman" w:hAnsi="Times New Roman"/>
          <w:sz w:val="28"/>
        </w:rPr>
      </w:pPr>
      <w:r>
        <w:rPr>
          <w:rFonts w:ascii="Times New Roman" w:hAnsi="Times New Roman"/>
          <w:sz w:val="28"/>
        </w:rPr>
        <w:t>2.2.2. Запрашивать у муниципального служащего и специалиста дополнительную информацию, необходимую для принятия решения.</w:t>
      </w:r>
    </w:p>
    <w:p w14:paraId="51000000">
      <w:pPr>
        <w:spacing w:after="0" w:line="240" w:lineRule="auto"/>
        <w:ind w:firstLine="567" w:left="0"/>
        <w:jc w:val="both"/>
        <w:rPr>
          <w:rFonts w:ascii="Times New Roman" w:hAnsi="Times New Roman"/>
          <w:sz w:val="28"/>
        </w:rPr>
      </w:pPr>
      <w:r>
        <w:rPr>
          <w:rFonts w:ascii="Times New Roman" w:hAnsi="Times New Roman"/>
          <w:sz w:val="28"/>
        </w:rPr>
        <w:t>2.2.3. Запрашивать в органах государственной власти, органах местного самоуправления информацию и документы, необходимые для принятия решения.</w:t>
      </w:r>
    </w:p>
    <w:p w14:paraId="52000000">
      <w:pPr>
        <w:spacing w:after="0" w:line="240" w:lineRule="auto"/>
        <w:ind w:firstLine="567" w:left="0"/>
        <w:jc w:val="both"/>
        <w:rPr>
          <w:rFonts w:ascii="Times New Roman" w:hAnsi="Times New Roman"/>
          <w:sz w:val="28"/>
        </w:rPr>
      </w:pPr>
      <w:r>
        <w:rPr>
          <w:rFonts w:ascii="Times New Roman" w:hAnsi="Times New Roman"/>
          <w:sz w:val="28"/>
        </w:rPr>
        <w:t>2.2.4. Проводить проверку документов, а также условий (оснований), необходимых для определения стажа муниципальной службы и стажа специалиста.</w:t>
      </w:r>
    </w:p>
    <w:p w14:paraId="53000000">
      <w:pPr>
        <w:spacing w:after="0" w:line="240" w:lineRule="auto"/>
        <w:ind w:firstLine="567" w:left="0"/>
        <w:jc w:val="both"/>
        <w:rPr>
          <w:rFonts w:ascii="Times New Roman" w:hAnsi="Times New Roman"/>
          <w:sz w:val="28"/>
        </w:rPr>
      </w:pPr>
      <w:r>
        <w:rPr>
          <w:rFonts w:ascii="Times New Roman" w:hAnsi="Times New Roman"/>
          <w:sz w:val="28"/>
        </w:rPr>
        <w:t>3. Порядок работы комиссии</w:t>
      </w:r>
    </w:p>
    <w:p w14:paraId="54000000">
      <w:pPr>
        <w:spacing w:after="0" w:line="240" w:lineRule="auto"/>
        <w:ind w:firstLine="567" w:left="0"/>
        <w:jc w:val="both"/>
        <w:rPr>
          <w:rFonts w:ascii="Times New Roman" w:hAnsi="Times New Roman"/>
          <w:sz w:val="28"/>
        </w:rPr>
      </w:pPr>
      <w:r>
        <w:rPr>
          <w:rFonts w:ascii="Times New Roman" w:hAnsi="Times New Roman"/>
          <w:sz w:val="28"/>
        </w:rPr>
        <w:t>3.1. Комиссия состоит из председателя, секретаря и членов комиссии.</w:t>
      </w:r>
    </w:p>
    <w:p w14:paraId="55000000">
      <w:pPr>
        <w:spacing w:after="0" w:line="240" w:lineRule="auto"/>
        <w:ind w:firstLine="567" w:left="0"/>
        <w:jc w:val="both"/>
        <w:rPr>
          <w:rFonts w:ascii="Times New Roman" w:hAnsi="Times New Roman"/>
          <w:sz w:val="28"/>
        </w:rPr>
      </w:pPr>
      <w:r>
        <w:rPr>
          <w:rFonts w:ascii="Times New Roman" w:hAnsi="Times New Roman"/>
          <w:sz w:val="28"/>
        </w:rPr>
        <w:t>3.2. Секретарь комиссии обеспечивает организацию работы комиссии:</w:t>
      </w:r>
    </w:p>
    <w:p w14:paraId="56000000">
      <w:pPr>
        <w:spacing w:after="0" w:line="240" w:lineRule="auto"/>
        <w:ind w:firstLine="567" w:left="0"/>
        <w:jc w:val="both"/>
        <w:rPr>
          <w:rFonts w:ascii="Times New Roman" w:hAnsi="Times New Roman"/>
          <w:sz w:val="28"/>
        </w:rPr>
      </w:pPr>
      <w:r>
        <w:rPr>
          <w:rFonts w:ascii="Times New Roman" w:hAnsi="Times New Roman"/>
          <w:sz w:val="28"/>
        </w:rPr>
        <w:t>3.2.1. подготавливает материалы, необходимые для принятия решения;</w:t>
      </w:r>
    </w:p>
    <w:p w14:paraId="57000000">
      <w:pPr>
        <w:spacing w:after="0" w:line="240" w:lineRule="auto"/>
        <w:ind w:firstLine="567" w:left="0"/>
        <w:jc w:val="both"/>
        <w:rPr>
          <w:rFonts w:ascii="Times New Roman" w:hAnsi="Times New Roman"/>
          <w:sz w:val="28"/>
        </w:rPr>
      </w:pPr>
      <w:r>
        <w:rPr>
          <w:rFonts w:ascii="Times New Roman" w:hAnsi="Times New Roman"/>
          <w:sz w:val="28"/>
        </w:rPr>
        <w:t>3.2.2. оповещает членов комиссии о предстоящем заседании комиссии;</w:t>
      </w:r>
    </w:p>
    <w:p w14:paraId="58000000">
      <w:pPr>
        <w:spacing w:after="0" w:line="240" w:lineRule="auto"/>
        <w:ind w:firstLine="567" w:left="0"/>
        <w:jc w:val="both"/>
        <w:rPr>
          <w:rFonts w:ascii="Times New Roman" w:hAnsi="Times New Roman"/>
          <w:sz w:val="28"/>
        </w:rPr>
      </w:pPr>
      <w:r>
        <w:rPr>
          <w:rFonts w:ascii="Times New Roman" w:hAnsi="Times New Roman"/>
          <w:sz w:val="28"/>
        </w:rPr>
        <w:t>3.2.3. доводит до сведения членов комиссии информацию о материалах, представленных на рассмотрение комиссии;</w:t>
      </w:r>
    </w:p>
    <w:p w14:paraId="59000000">
      <w:pPr>
        <w:spacing w:after="0" w:line="240" w:lineRule="auto"/>
        <w:ind w:firstLine="567" w:left="0"/>
        <w:jc w:val="both"/>
        <w:rPr>
          <w:rFonts w:ascii="Times New Roman" w:hAnsi="Times New Roman"/>
          <w:sz w:val="28"/>
        </w:rPr>
      </w:pPr>
      <w:r>
        <w:rPr>
          <w:rFonts w:ascii="Times New Roman" w:hAnsi="Times New Roman"/>
          <w:sz w:val="28"/>
        </w:rPr>
        <w:t>3.2.4. ведет протоколы заседаний комиссии;</w:t>
      </w:r>
    </w:p>
    <w:p w14:paraId="5A000000">
      <w:pPr>
        <w:spacing w:after="0" w:line="240" w:lineRule="auto"/>
        <w:ind w:firstLine="567" w:left="0"/>
        <w:jc w:val="both"/>
        <w:rPr>
          <w:rFonts w:ascii="Times New Roman" w:hAnsi="Times New Roman"/>
          <w:sz w:val="28"/>
        </w:rPr>
      </w:pPr>
      <w:r>
        <w:rPr>
          <w:rFonts w:ascii="Times New Roman" w:hAnsi="Times New Roman"/>
          <w:sz w:val="28"/>
        </w:rPr>
        <w:t>3.2.5. при подготовке документов к заседанию комиссии проводит проверку документов заявителя.</w:t>
      </w:r>
    </w:p>
    <w:p w14:paraId="5B000000">
      <w:pPr>
        <w:spacing w:after="0" w:line="240" w:lineRule="auto"/>
        <w:ind w:firstLine="567" w:left="0"/>
        <w:jc w:val="both"/>
        <w:rPr>
          <w:rFonts w:ascii="Times New Roman" w:hAnsi="Times New Roman"/>
          <w:sz w:val="28"/>
        </w:rPr>
      </w:pPr>
      <w:r>
        <w:rPr>
          <w:rFonts w:ascii="Times New Roman" w:hAnsi="Times New Roman"/>
          <w:sz w:val="28"/>
        </w:rPr>
        <w:t>3.3. Основанием для рассмотрения на заседании комиссии вопросов по исчислению стажа муниципальной службы и стажа работы специалиста является обращение муниципального служащего, специалиста или главы</w:t>
      </w:r>
      <w:r>
        <w:rPr>
          <w:rFonts w:ascii="Times New Roman" w:hAnsi="Times New Roman"/>
          <w:sz w:val="28"/>
        </w:rPr>
        <w:t xml:space="preserve"> Администрации Куйбышевского сельского </w:t>
      </w:r>
      <w:r>
        <w:rPr>
          <w:rFonts w:ascii="Times New Roman" w:hAnsi="Times New Roman"/>
          <w:sz w:val="28"/>
        </w:rPr>
        <w:t>поселения.</w:t>
      </w:r>
    </w:p>
    <w:p w14:paraId="5C000000">
      <w:pPr>
        <w:spacing w:after="0" w:line="240" w:lineRule="auto"/>
        <w:ind w:firstLine="567" w:left="0"/>
        <w:jc w:val="both"/>
        <w:rPr>
          <w:rFonts w:ascii="Times New Roman" w:hAnsi="Times New Roman"/>
          <w:sz w:val="28"/>
        </w:rPr>
      </w:pPr>
      <w:r>
        <w:rPr>
          <w:rFonts w:ascii="Times New Roman" w:hAnsi="Times New Roman"/>
          <w:sz w:val="28"/>
        </w:rPr>
        <w:t>3.4. Документами по исчислению стажа муниципальной службы и стажа работы специалистов являются трудовая книжка или выписка из трудовой книжки, заверенная в установленном порядке, военный билет и другие документы, подтверждающие служебную деятельность муниципального служащего или специалиста.</w:t>
      </w:r>
    </w:p>
    <w:p w14:paraId="5D000000">
      <w:pPr>
        <w:spacing w:after="0" w:line="240" w:lineRule="auto"/>
        <w:ind w:firstLine="567" w:left="0"/>
        <w:jc w:val="both"/>
        <w:rPr>
          <w:rFonts w:ascii="Times New Roman" w:hAnsi="Times New Roman"/>
          <w:sz w:val="28"/>
        </w:rPr>
      </w:pPr>
      <w:r>
        <w:rPr>
          <w:rFonts w:ascii="Times New Roman" w:hAnsi="Times New Roman"/>
          <w:sz w:val="28"/>
        </w:rPr>
        <w:t>3.5. Заседания комиссии проводятся по мере необходимости. Заседание комиссии считается правомочным, если на нем присутствует не менее двух третей членов комиссии.</w:t>
      </w:r>
    </w:p>
    <w:p w14:paraId="5E000000">
      <w:pPr>
        <w:spacing w:after="0" w:line="240" w:lineRule="auto"/>
        <w:ind w:firstLine="567" w:left="0"/>
        <w:jc w:val="both"/>
        <w:rPr>
          <w:rFonts w:ascii="Times New Roman" w:hAnsi="Times New Roman"/>
          <w:sz w:val="28"/>
        </w:rPr>
      </w:pPr>
      <w:r>
        <w:rPr>
          <w:rFonts w:ascii="Times New Roman" w:hAnsi="Times New Roman"/>
          <w:sz w:val="28"/>
        </w:rPr>
        <w:t>3.6. Заседание комиссии проводит председатель комиссии.</w:t>
      </w:r>
    </w:p>
    <w:p w14:paraId="5F000000">
      <w:pPr>
        <w:spacing w:after="0" w:line="240" w:lineRule="auto"/>
        <w:ind w:firstLine="567" w:left="0"/>
        <w:jc w:val="both"/>
        <w:rPr>
          <w:rFonts w:ascii="Times New Roman" w:hAnsi="Times New Roman"/>
          <w:sz w:val="28"/>
        </w:rPr>
      </w:pPr>
      <w:r>
        <w:rPr>
          <w:rFonts w:ascii="Times New Roman" w:hAnsi="Times New Roman"/>
          <w:sz w:val="28"/>
        </w:rPr>
        <w:t>3.7. Решение комиссии считается принятым, если за него проголосовало простое большинство голосов членов комиссии, присутствующих на заседании. При равенстве голосов голос председателя комиссии считается решающим.</w:t>
      </w:r>
    </w:p>
    <w:p w14:paraId="60000000">
      <w:pPr>
        <w:spacing w:after="0" w:line="240" w:lineRule="auto"/>
        <w:ind w:firstLine="567" w:left="0"/>
        <w:jc w:val="both"/>
        <w:rPr>
          <w:rFonts w:ascii="Times New Roman" w:hAnsi="Times New Roman"/>
          <w:sz w:val="28"/>
        </w:rPr>
      </w:pPr>
      <w:r>
        <w:rPr>
          <w:rFonts w:ascii="Times New Roman" w:hAnsi="Times New Roman"/>
          <w:sz w:val="28"/>
        </w:rPr>
        <w:t>3.8. Решение комиссии оформляется протоколом. Протокол подписывается председателем и секретарем комиссии.</w:t>
      </w:r>
    </w:p>
    <w:p w14:paraId="61000000">
      <w:pPr>
        <w:spacing w:after="0" w:line="240" w:lineRule="auto"/>
        <w:ind w:firstLine="567" w:left="0"/>
        <w:jc w:val="both"/>
        <w:rPr>
          <w:rFonts w:ascii="Times New Roman" w:hAnsi="Times New Roman"/>
          <w:sz w:val="28"/>
        </w:rPr>
      </w:pPr>
      <w:r>
        <w:rPr>
          <w:rFonts w:ascii="Times New Roman" w:hAnsi="Times New Roman"/>
          <w:sz w:val="28"/>
        </w:rPr>
        <w:t>3.9. Члены комиссии, не согласные с принятым решением, вправе письменно изложить свою позицию в приложении к протоколу.</w:t>
      </w:r>
    </w:p>
    <w:p w14:paraId="62000000">
      <w:pPr>
        <w:spacing w:after="0" w:line="240" w:lineRule="auto"/>
        <w:ind w:firstLine="567" w:left="0"/>
        <w:jc w:val="both"/>
        <w:rPr>
          <w:rFonts w:ascii="Times New Roman" w:hAnsi="Times New Roman"/>
          <w:sz w:val="28"/>
        </w:rPr>
      </w:pPr>
      <w:r>
        <w:rPr>
          <w:rFonts w:ascii="Times New Roman" w:hAnsi="Times New Roman"/>
          <w:sz w:val="28"/>
        </w:rPr>
        <w:t xml:space="preserve">3.10. Решение комиссии, а также в случае необходимости и иные материалы, послужившие правовым основанием для разрешения вопроса по существу, направляются главе </w:t>
      </w:r>
      <w:r>
        <w:rPr>
          <w:rFonts w:ascii="Times New Roman" w:hAnsi="Times New Roman"/>
          <w:sz w:val="28"/>
        </w:rPr>
        <w:t xml:space="preserve">Администрации Куйбышевского сельского </w:t>
      </w:r>
      <w:r>
        <w:rPr>
          <w:rFonts w:ascii="Times New Roman" w:hAnsi="Times New Roman"/>
          <w:sz w:val="28"/>
        </w:rPr>
        <w:t>поселения.</w:t>
      </w:r>
    </w:p>
    <w:p w14:paraId="63000000">
      <w:pPr>
        <w:spacing w:after="0" w:line="240" w:lineRule="auto"/>
        <w:ind w:firstLine="567" w:left="0"/>
        <w:jc w:val="both"/>
        <w:rPr>
          <w:rFonts w:ascii="Times New Roman" w:hAnsi="Times New Roman"/>
          <w:sz w:val="28"/>
        </w:rPr>
      </w:pPr>
      <w:r>
        <w:rPr>
          <w:rFonts w:ascii="Times New Roman" w:hAnsi="Times New Roman"/>
          <w:sz w:val="28"/>
        </w:rPr>
        <w:t xml:space="preserve">3.11. Протокол комиссии является основанием для издания распоряжения администрации поселения об установлении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установления и выплаты ежемесячной доплаты к трудовой пенсии. Проекты распоряжений </w:t>
      </w:r>
      <w:r>
        <w:rPr>
          <w:rFonts w:ascii="Times New Roman" w:hAnsi="Times New Roman"/>
          <w:sz w:val="28"/>
        </w:rPr>
        <w:t>А</w:t>
      </w:r>
      <w:r>
        <w:rPr>
          <w:rFonts w:ascii="Times New Roman" w:hAnsi="Times New Roman"/>
          <w:sz w:val="28"/>
        </w:rPr>
        <w:t xml:space="preserve">дминистрации </w:t>
      </w:r>
      <w:r>
        <w:rPr>
          <w:rFonts w:ascii="Times New Roman" w:hAnsi="Times New Roman"/>
          <w:sz w:val="28"/>
        </w:rPr>
        <w:t xml:space="preserve">Куйбышевского сельского </w:t>
      </w:r>
      <w:r>
        <w:rPr>
          <w:rFonts w:ascii="Times New Roman" w:hAnsi="Times New Roman"/>
          <w:sz w:val="28"/>
        </w:rPr>
        <w:t>поселения подготавливает секретарь комиссии.</w:t>
      </w:r>
    </w:p>
    <w:p w14:paraId="64000000">
      <w:pPr>
        <w:spacing w:after="0" w:line="240" w:lineRule="auto"/>
        <w:ind w:firstLine="567" w:left="0"/>
        <w:jc w:val="both"/>
        <w:rPr>
          <w:rFonts w:ascii="Times New Roman" w:hAnsi="Times New Roman"/>
          <w:sz w:val="28"/>
        </w:rPr>
      </w:pPr>
      <w:r>
        <w:rPr>
          <w:rFonts w:ascii="Times New Roman" w:hAnsi="Times New Roman"/>
          <w:sz w:val="28"/>
        </w:rPr>
        <w:t>3.12. Выписка из протокола направляется в 10-дневный срок лицу, обратившемуся в комиссию.</w:t>
      </w:r>
    </w:p>
    <w:p w14:paraId="65000000">
      <w:pPr>
        <w:spacing w:after="0" w:line="240" w:lineRule="auto"/>
        <w:ind w:firstLine="567" w:left="0"/>
        <w:jc w:val="both"/>
        <w:rPr>
          <w:rFonts w:ascii="Times New Roman" w:hAnsi="Times New Roman"/>
          <w:sz w:val="28"/>
        </w:rPr>
      </w:pPr>
      <w:r>
        <w:rPr>
          <w:rFonts w:ascii="Times New Roman" w:hAnsi="Times New Roman"/>
          <w:sz w:val="28"/>
        </w:rPr>
        <w:t xml:space="preserve">3.13. Организационное обеспечение деятельности комиссии осуществляет </w:t>
      </w:r>
      <w:r>
        <w:rPr>
          <w:rFonts w:ascii="Times New Roman" w:hAnsi="Times New Roman"/>
          <w:sz w:val="28"/>
        </w:rPr>
        <w:t>А</w:t>
      </w:r>
      <w:r>
        <w:rPr>
          <w:rFonts w:ascii="Times New Roman" w:hAnsi="Times New Roman"/>
          <w:sz w:val="28"/>
        </w:rPr>
        <w:t>дминистрация Куйбышевского сельского поселения.</w:t>
      </w:r>
    </w:p>
    <w:p w14:paraId="66000000">
      <w:pPr>
        <w:spacing w:after="0" w:line="240" w:lineRule="auto"/>
        <w:ind w:firstLine="567" w:left="0"/>
        <w:jc w:val="both"/>
        <w:rPr>
          <w:rFonts w:ascii="Times New Roman" w:hAnsi="Times New Roman"/>
          <w:sz w:val="28"/>
        </w:rPr>
      </w:pPr>
      <w:r>
        <w:rPr>
          <w:rFonts w:ascii="Times New Roman" w:hAnsi="Times New Roman"/>
          <w:sz w:val="28"/>
        </w:rPr>
        <w:t>3.14. Спорные вопросы, связанные с установлением и исчислением стажа муниципальной службы и стажа работы специалистов, разрешаются в установленном действующим законодательством порядке.</w:t>
      </w:r>
    </w:p>
    <w:p w14:paraId="67000000">
      <w:pPr>
        <w:spacing w:after="0" w:line="240" w:lineRule="auto"/>
        <w:ind w:firstLine="567" w:left="0"/>
        <w:jc w:val="both"/>
        <w:rPr>
          <w:rFonts w:ascii="Times New Roman" w:hAnsi="Times New Roman"/>
          <w:sz w:val="28"/>
        </w:rPr>
      </w:pPr>
    </w:p>
    <w:p w14:paraId="68000000">
      <w:pPr>
        <w:spacing w:after="0" w:line="240" w:lineRule="auto"/>
        <w:ind w:firstLine="567" w:left="0"/>
        <w:jc w:val="both"/>
        <w:rPr>
          <w:rFonts w:ascii="Times New Roman" w:hAnsi="Times New Roman"/>
          <w:sz w:val="28"/>
        </w:rPr>
      </w:pPr>
    </w:p>
    <w:p w14:paraId="69000000">
      <w:pPr>
        <w:spacing w:after="0" w:line="240" w:lineRule="auto"/>
        <w:ind w:firstLine="567" w:left="0"/>
        <w:jc w:val="both"/>
        <w:rPr>
          <w:rFonts w:ascii="Times New Roman" w:hAnsi="Times New Roman"/>
          <w:sz w:val="28"/>
        </w:rPr>
      </w:pPr>
    </w:p>
    <w:p w14:paraId="6A000000">
      <w:pPr>
        <w:spacing w:after="0" w:line="240" w:lineRule="auto"/>
        <w:ind/>
        <w:rPr>
          <w:rFonts w:ascii="Times New Roman" w:hAnsi="Times New Roman"/>
          <w:sz w:val="28"/>
        </w:rPr>
      </w:pPr>
      <w:r>
        <w:rPr>
          <w:rFonts w:ascii="Times New Roman" w:hAnsi="Times New Roman"/>
          <w:sz w:val="28"/>
        </w:rPr>
        <w:t xml:space="preserve">Глава Администрации </w:t>
      </w:r>
    </w:p>
    <w:p w14:paraId="6B000000">
      <w:pPr>
        <w:spacing w:after="0" w:line="240" w:lineRule="auto"/>
        <w:ind/>
        <w:rPr>
          <w:rFonts w:ascii="Times New Roman" w:hAnsi="Times New Roman"/>
          <w:sz w:val="28"/>
        </w:rPr>
      </w:pPr>
      <w:r>
        <w:rPr>
          <w:rFonts w:ascii="Times New Roman" w:hAnsi="Times New Roman"/>
          <w:sz w:val="28"/>
        </w:rPr>
        <w:t xml:space="preserve">Куйбышевского </w:t>
      </w:r>
    </w:p>
    <w:p w14:paraId="6C000000">
      <w:pPr>
        <w:spacing w:after="0" w:line="240" w:lineRule="auto"/>
        <w:ind/>
        <w:rPr>
          <w:rFonts w:ascii="Times New Roman" w:hAnsi="Times New Roman"/>
          <w:sz w:val="28"/>
        </w:rPr>
      </w:pPr>
      <w:r>
        <w:rPr>
          <w:rFonts w:ascii="Times New Roman" w:hAnsi="Times New Roman"/>
          <w:sz w:val="28"/>
        </w:rPr>
        <w:t xml:space="preserve">сельского поселения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С.Л. Слепченко</w:t>
      </w:r>
    </w:p>
    <w:p w14:paraId="6D000000">
      <w:pPr>
        <w:spacing w:after="0" w:line="240" w:lineRule="auto"/>
        <w:ind w:firstLine="567" w:left="0"/>
        <w:jc w:val="both"/>
        <w:rPr>
          <w:rFonts w:ascii="Times New Roman" w:hAnsi="Times New Roman"/>
          <w:sz w:val="28"/>
        </w:rPr>
      </w:pPr>
    </w:p>
    <w:p w14:paraId="6E000000">
      <w:pPr>
        <w:rPr>
          <w:rFonts w:ascii="Times New Roman" w:hAnsi="Times New Roman"/>
          <w:sz w:val="28"/>
        </w:rPr>
      </w:pPr>
      <w:r>
        <w:rPr>
          <w:rFonts w:ascii="Times New Roman" w:hAnsi="Times New Roman"/>
          <w:sz w:val="28"/>
        </w:rPr>
        <w:br w:type="page"/>
      </w:r>
    </w:p>
    <w:p w14:paraId="6F000000">
      <w:pPr>
        <w:spacing w:after="0" w:line="240" w:lineRule="auto"/>
        <w:ind w:firstLine="0" w:left="6236"/>
        <w:jc w:val="center"/>
        <w:rPr>
          <w:rFonts w:ascii="Times New Roman" w:hAnsi="Times New Roman"/>
          <w:sz w:val="28"/>
        </w:rPr>
      </w:pPr>
      <w:r>
        <w:rPr>
          <w:rFonts w:ascii="Times New Roman" w:hAnsi="Times New Roman"/>
          <w:sz w:val="28"/>
        </w:rPr>
        <w:t xml:space="preserve">Приложение </w:t>
      </w:r>
      <w:r>
        <w:rPr>
          <w:rFonts w:ascii="Times New Roman" w:hAnsi="Times New Roman"/>
          <w:sz w:val="28"/>
        </w:rPr>
        <w:t xml:space="preserve">№ </w:t>
      </w:r>
      <w:r>
        <w:rPr>
          <w:rFonts w:ascii="Times New Roman" w:hAnsi="Times New Roman"/>
          <w:sz w:val="28"/>
        </w:rPr>
        <w:t>3</w:t>
      </w:r>
    </w:p>
    <w:p w14:paraId="70000000">
      <w:pPr>
        <w:spacing w:after="0" w:line="240" w:lineRule="auto"/>
        <w:ind w:firstLine="0" w:left="6236"/>
        <w:jc w:val="center"/>
        <w:rPr>
          <w:rFonts w:ascii="Times New Roman" w:hAnsi="Times New Roman"/>
          <w:sz w:val="28"/>
        </w:rPr>
      </w:pPr>
      <w:r>
        <w:rPr>
          <w:rFonts w:ascii="Times New Roman" w:hAnsi="Times New Roman"/>
          <w:sz w:val="28"/>
        </w:rPr>
        <w:t xml:space="preserve">к </w:t>
      </w:r>
      <w:r>
        <w:rPr>
          <w:rFonts w:ascii="Times New Roman" w:hAnsi="Times New Roman"/>
          <w:sz w:val="28"/>
        </w:rPr>
        <w:t>постановлению</w:t>
      </w:r>
      <w:r>
        <w:rPr>
          <w:rFonts w:ascii="Times New Roman" w:hAnsi="Times New Roman"/>
          <w:sz w:val="28"/>
        </w:rPr>
        <w:t xml:space="preserve"> </w:t>
      </w:r>
      <w:r>
        <w:rPr>
          <w:rFonts w:ascii="Times New Roman" w:hAnsi="Times New Roman"/>
          <w:sz w:val="28"/>
        </w:rPr>
        <w:t>А</w:t>
      </w:r>
      <w:r>
        <w:rPr>
          <w:rFonts w:ascii="Times New Roman" w:hAnsi="Times New Roman"/>
          <w:sz w:val="28"/>
        </w:rPr>
        <w:t>дминистрации</w:t>
      </w:r>
      <w:r>
        <w:rPr>
          <w:rFonts w:ascii="Times New Roman" w:hAnsi="Times New Roman"/>
          <w:sz w:val="28"/>
        </w:rPr>
        <w:t xml:space="preserve"> </w:t>
      </w:r>
      <w:r>
        <w:rPr>
          <w:rFonts w:ascii="Times New Roman" w:hAnsi="Times New Roman"/>
          <w:sz w:val="28"/>
        </w:rPr>
        <w:t>Куйбышевского сельского поселения</w:t>
      </w:r>
      <w:r>
        <w:rPr>
          <w:rFonts w:ascii="Times New Roman" w:hAnsi="Times New Roman"/>
          <w:sz w:val="28"/>
        </w:rPr>
        <w:t xml:space="preserve"> </w:t>
      </w:r>
    </w:p>
    <w:p w14:paraId="71000000">
      <w:pPr>
        <w:spacing w:after="0" w:line="240" w:lineRule="auto"/>
        <w:ind w:firstLine="0" w:left="6236"/>
        <w:jc w:val="center"/>
        <w:rPr>
          <w:rFonts w:ascii="Times New Roman" w:hAnsi="Times New Roman"/>
          <w:sz w:val="28"/>
        </w:rPr>
      </w:pPr>
      <w:r>
        <w:rPr>
          <w:rFonts w:ascii="Times New Roman" w:hAnsi="Times New Roman"/>
          <w:sz w:val="28"/>
        </w:rPr>
        <w:t>от 17</w:t>
      </w:r>
      <w:r>
        <w:rPr>
          <w:rFonts w:ascii="Times New Roman" w:hAnsi="Times New Roman"/>
          <w:sz w:val="28"/>
        </w:rPr>
        <w:t>.11.</w:t>
      </w:r>
      <w:r>
        <w:rPr>
          <w:rFonts w:ascii="Times New Roman" w:hAnsi="Times New Roman"/>
          <w:sz w:val="28"/>
        </w:rPr>
        <w:t>2023</w:t>
      </w:r>
      <w:r>
        <w:rPr>
          <w:rFonts w:ascii="Times New Roman" w:hAnsi="Times New Roman"/>
          <w:sz w:val="28"/>
        </w:rPr>
        <w:t xml:space="preserve"> г. № 177</w:t>
      </w:r>
    </w:p>
    <w:p w14:paraId="72000000">
      <w:pPr>
        <w:spacing w:after="150" w:before="0" w:line="240" w:lineRule="auto"/>
        <w:ind/>
        <w:jc w:val="right"/>
        <w:rPr>
          <w:color w:themeColor="text1" w:val="000000"/>
          <w:sz w:val="28"/>
        </w:rPr>
      </w:pPr>
    </w:p>
    <w:p w14:paraId="73000000">
      <w:pPr>
        <w:spacing w:after="150" w:before="0" w:line="240" w:lineRule="auto"/>
        <w:ind/>
        <w:jc w:val="center"/>
        <w:rPr>
          <w:rFonts w:ascii="Times New Roman" w:hAnsi="Times New Roman"/>
          <w:b w:val="0"/>
          <w:color w:themeColor="text1" w:val="000000"/>
          <w:sz w:val="28"/>
        </w:rPr>
      </w:pPr>
      <w:r>
        <w:rPr>
          <w:rFonts w:ascii="Times New Roman" w:hAnsi="Times New Roman"/>
          <w:b w:val="0"/>
          <w:color w:themeColor="text1" w:val="000000"/>
          <w:sz w:val="28"/>
        </w:rPr>
        <w:t>ПОРЯДОК</w:t>
      </w:r>
      <w:r>
        <w:rPr>
          <w:rFonts w:ascii="Times New Roman" w:hAnsi="Times New Roman"/>
          <w:b w:val="1"/>
          <w:color w:themeColor="text1" w:val="000000"/>
          <w:sz w:val="28"/>
        </w:rPr>
        <w:br/>
      </w:r>
      <w:r>
        <w:rPr>
          <w:rFonts w:ascii="Times New Roman" w:hAnsi="Times New Roman"/>
          <w:b w:val="0"/>
          <w:color w:themeColor="text1" w:val="000000"/>
          <w:sz w:val="28"/>
        </w:rPr>
        <w:t xml:space="preserve">исчисления стажа муниципальной службы и стажа специалиста </w:t>
      </w:r>
      <w:r>
        <w:rPr>
          <w:rFonts w:ascii="Times New Roman" w:hAnsi="Times New Roman"/>
          <w:b w:val="0"/>
          <w:color w:themeColor="text1" w:val="000000"/>
          <w:sz w:val="28"/>
        </w:rPr>
        <w:t>и</w:t>
      </w:r>
      <w:r>
        <w:rPr>
          <w:rFonts w:ascii="Times New Roman" w:hAnsi="Times New Roman"/>
          <w:b w:val="0"/>
          <w:color w:themeColor="text1" w:val="000000"/>
          <w:sz w:val="28"/>
        </w:rPr>
        <w:t xml:space="preserve"> зачета</w:t>
      </w:r>
      <w:r>
        <w:rPr>
          <w:rFonts w:ascii="Times New Roman" w:hAnsi="Times New Roman"/>
          <w:b w:val="1"/>
          <w:color w:themeColor="text1" w:val="000000"/>
          <w:sz w:val="28"/>
        </w:rPr>
        <w:br/>
      </w:r>
      <w:r>
        <w:rPr>
          <w:rFonts w:ascii="Times New Roman" w:hAnsi="Times New Roman"/>
          <w:b w:val="0"/>
          <w:color w:themeColor="text1" w:val="000000"/>
          <w:sz w:val="28"/>
        </w:rPr>
        <w:t>в него иных периодов трудовой деятельности</w:t>
      </w:r>
    </w:p>
    <w:p w14:paraId="74000000">
      <w:pPr>
        <w:spacing w:after="150" w:before="0" w:line="240" w:lineRule="auto"/>
        <w:ind/>
        <w:jc w:val="center"/>
        <w:rPr>
          <w:rFonts w:ascii="Times New Roman" w:hAnsi="Times New Roman"/>
          <w:b w:val="0"/>
          <w:color w:themeColor="text1" w:val="000000"/>
          <w:sz w:val="28"/>
        </w:rPr>
      </w:pPr>
    </w:p>
    <w:p w14:paraId="75000000">
      <w:pPr>
        <w:spacing w:after="0" w:line="276" w:lineRule="auto"/>
        <w:ind w:firstLine="709" w:left="0"/>
        <w:jc w:val="both"/>
        <w:rPr>
          <w:rFonts w:ascii="Times New Roman" w:hAnsi="Times New Roman"/>
          <w:sz w:val="28"/>
        </w:rPr>
      </w:pPr>
      <w:r>
        <w:rPr>
          <w:rFonts w:ascii="Times New Roman" w:hAnsi="Times New Roman"/>
          <w:sz w:val="28"/>
        </w:rPr>
        <w:t>1. Исчисления стажа муниципальной службы, дающего право на получение надбавки за выслугу лет</w:t>
      </w:r>
    </w:p>
    <w:p w14:paraId="76000000">
      <w:pPr>
        <w:spacing w:after="0" w:line="276" w:lineRule="auto"/>
        <w:ind w:firstLine="709" w:left="0"/>
        <w:jc w:val="both"/>
        <w:rPr>
          <w:rFonts w:ascii="Times New Roman" w:hAnsi="Times New Roman"/>
          <w:sz w:val="28"/>
        </w:rPr>
      </w:pPr>
      <w:r>
        <w:rPr>
          <w:rFonts w:ascii="Times New Roman" w:hAnsi="Times New Roman"/>
          <w:sz w:val="28"/>
        </w:rPr>
        <w:t>1.1. В стаж (общую продолжительность) муниципальной службы, дающий право на получение ежемесячной надбавки за выслугу лет включаются периоды трудовой деятельности:</w:t>
      </w:r>
    </w:p>
    <w:p w14:paraId="77000000">
      <w:pPr>
        <w:spacing w:after="0" w:line="276" w:lineRule="auto"/>
        <w:ind w:firstLine="709" w:left="0"/>
        <w:jc w:val="both"/>
        <w:rPr>
          <w:rFonts w:ascii="Times New Roman" w:hAnsi="Times New Roman"/>
          <w:sz w:val="28"/>
        </w:rPr>
      </w:pPr>
      <w:r>
        <w:rPr>
          <w:rFonts w:ascii="Times New Roman" w:hAnsi="Times New Roman"/>
          <w:sz w:val="28"/>
        </w:rPr>
        <w:t>1) на должностях муниципальной службы (муниципальных должностях муниципальной службы);</w:t>
      </w:r>
    </w:p>
    <w:p w14:paraId="78000000">
      <w:pPr>
        <w:spacing w:after="0" w:line="276" w:lineRule="auto"/>
        <w:ind w:firstLine="709" w:left="0"/>
        <w:jc w:val="both"/>
        <w:rPr>
          <w:rFonts w:ascii="Times New Roman" w:hAnsi="Times New Roman"/>
          <w:sz w:val="28"/>
        </w:rPr>
      </w:pPr>
      <w:r>
        <w:rPr>
          <w:rFonts w:ascii="Times New Roman" w:hAnsi="Times New Roman"/>
          <w:sz w:val="28"/>
        </w:rPr>
        <w:t>2) на муниципальных должностях;</w:t>
      </w:r>
    </w:p>
    <w:p w14:paraId="79000000">
      <w:pPr>
        <w:spacing w:after="0" w:line="276" w:lineRule="auto"/>
        <w:ind w:firstLine="709" w:left="0"/>
        <w:jc w:val="both"/>
        <w:rPr>
          <w:rFonts w:ascii="Times New Roman" w:hAnsi="Times New Roman"/>
          <w:sz w:val="28"/>
        </w:rPr>
      </w:pPr>
      <w:r>
        <w:rPr>
          <w:rFonts w:ascii="Times New Roman" w:hAnsi="Times New Roman"/>
          <w:sz w:val="28"/>
        </w:rPr>
        <w:t>3) на государственных должностях Российской Федерации и государственных должностях Томской области;</w:t>
      </w:r>
    </w:p>
    <w:p w14:paraId="7A000000">
      <w:pPr>
        <w:spacing w:after="0" w:line="276" w:lineRule="auto"/>
        <w:ind w:firstLine="709" w:left="0"/>
        <w:jc w:val="both"/>
        <w:rPr>
          <w:rFonts w:ascii="Times New Roman" w:hAnsi="Times New Roman"/>
          <w:sz w:val="28"/>
        </w:rPr>
      </w:pPr>
      <w:r>
        <w:rPr>
          <w:rFonts w:ascii="Times New Roman" w:hAnsi="Times New Roman"/>
          <w:sz w:val="28"/>
        </w:rPr>
        <w:t>4) на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14:paraId="7B000000">
      <w:pPr>
        <w:spacing w:after="0" w:line="276" w:lineRule="auto"/>
        <w:ind w:firstLine="709" w:left="0"/>
        <w:jc w:val="both"/>
        <w:rPr>
          <w:rFonts w:ascii="Times New Roman" w:hAnsi="Times New Roman"/>
          <w:sz w:val="28"/>
        </w:rPr>
      </w:pPr>
      <w:r>
        <w:rPr>
          <w:rFonts w:ascii="Times New Roman" w:hAnsi="Times New Roman"/>
          <w:sz w:val="28"/>
        </w:rPr>
        <w:t>5) на должностях в органах государственной власти и в органах местного самоуправления других субъектов Российской Федерации;</w:t>
      </w:r>
    </w:p>
    <w:p w14:paraId="7C000000">
      <w:pPr>
        <w:spacing w:after="0" w:line="276" w:lineRule="auto"/>
        <w:ind w:firstLine="709" w:left="0"/>
        <w:jc w:val="both"/>
        <w:rPr>
          <w:rFonts w:ascii="Times New Roman" w:hAnsi="Times New Roman"/>
          <w:sz w:val="28"/>
        </w:rPr>
      </w:pPr>
      <w:r>
        <w:rPr>
          <w:rFonts w:ascii="Times New Roman" w:hAnsi="Times New Roman"/>
          <w:sz w:val="28"/>
        </w:rPr>
        <w:t xml:space="preserve">6) на государственных и муниципальных должностях, должностях государственной и муниципальной службы в избирательных комиссиях, созданных на территории </w:t>
      </w:r>
      <w:r>
        <w:rPr>
          <w:rFonts w:ascii="Times New Roman" w:hAnsi="Times New Roman"/>
          <w:sz w:val="28"/>
        </w:rPr>
        <w:t>Ростовской</w:t>
      </w:r>
      <w:r>
        <w:rPr>
          <w:rFonts w:ascii="Times New Roman" w:hAnsi="Times New Roman"/>
          <w:sz w:val="28"/>
        </w:rPr>
        <w:t xml:space="preserve"> области, действующих на постоянной основе и являющихся юридическими лицами;</w:t>
      </w:r>
    </w:p>
    <w:p w14:paraId="7D000000">
      <w:pPr>
        <w:spacing w:after="0" w:line="276" w:lineRule="auto"/>
        <w:ind w:firstLine="709" w:left="0"/>
        <w:jc w:val="both"/>
        <w:rPr>
          <w:rFonts w:ascii="Times New Roman" w:hAnsi="Times New Roman"/>
          <w:sz w:val="28"/>
        </w:rPr>
      </w:pPr>
      <w:r>
        <w:rPr>
          <w:rFonts w:ascii="Times New Roman" w:hAnsi="Times New Roman"/>
          <w:sz w:val="28"/>
        </w:rPr>
        <w:t>7) в краевых, областных, автономных областей, автономных округов, районных, городских, районных в городах, поселковых, сельских Советах народных депутатов (депутатов трудящихся) и их исполнительных комитетах на должностях, не связанных с техническим обслуживанием и обеспечением их функционирования;</w:t>
      </w:r>
    </w:p>
    <w:p w14:paraId="7E000000">
      <w:pPr>
        <w:spacing w:after="0" w:line="276" w:lineRule="auto"/>
        <w:ind w:firstLine="709" w:left="0"/>
        <w:jc w:val="both"/>
        <w:rPr>
          <w:rFonts w:ascii="Times New Roman" w:hAnsi="Times New Roman"/>
          <w:sz w:val="28"/>
        </w:rPr>
      </w:pPr>
      <w:r>
        <w:rPr>
          <w:rFonts w:ascii="Times New Roman" w:hAnsi="Times New Roman"/>
          <w:sz w:val="28"/>
        </w:rPr>
        <w:t>8) время нахождения на военной службе по призыву;</w:t>
      </w:r>
    </w:p>
    <w:p w14:paraId="7F000000">
      <w:pPr>
        <w:spacing w:after="0" w:line="276" w:lineRule="auto"/>
        <w:ind w:firstLine="709" w:left="0"/>
        <w:jc w:val="both"/>
        <w:rPr>
          <w:rFonts w:ascii="Times New Roman" w:hAnsi="Times New Roman"/>
          <w:sz w:val="28"/>
        </w:rPr>
      </w:pPr>
      <w:r>
        <w:rPr>
          <w:rFonts w:ascii="Times New Roman" w:hAnsi="Times New Roman"/>
          <w:sz w:val="28"/>
        </w:rPr>
        <w:t>9) время обучения лиц, замещающих государственные, муниципальные должности, а также должности государственной, муниципальной службы в учебных заведениях системы повышения квалификации и переподготовки кадров с отрывом от работы по направлению соответствующего органа государственной власти и органа местного самоуправления;</w:t>
      </w:r>
    </w:p>
    <w:p w14:paraId="80000000">
      <w:pPr>
        <w:spacing w:after="0" w:line="276" w:lineRule="auto"/>
        <w:ind w:firstLine="709" w:left="0"/>
        <w:jc w:val="both"/>
        <w:rPr>
          <w:rFonts w:ascii="Times New Roman" w:hAnsi="Times New Roman"/>
          <w:sz w:val="28"/>
        </w:rPr>
      </w:pPr>
      <w:r>
        <w:rPr>
          <w:rFonts w:ascii="Times New Roman" w:hAnsi="Times New Roman"/>
          <w:sz w:val="28"/>
        </w:rPr>
        <w:t>10)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в период прохождения муниципальной службы;</w:t>
      </w:r>
    </w:p>
    <w:p w14:paraId="81000000">
      <w:pPr>
        <w:spacing w:after="0" w:line="276" w:lineRule="auto"/>
        <w:ind w:firstLine="709" w:left="0"/>
        <w:jc w:val="both"/>
        <w:rPr>
          <w:rFonts w:ascii="Times New Roman" w:hAnsi="Times New Roman"/>
          <w:sz w:val="28"/>
        </w:rPr>
      </w:pPr>
      <w:r>
        <w:rPr>
          <w:rFonts w:ascii="Times New Roman" w:hAnsi="Times New Roman"/>
          <w:sz w:val="28"/>
        </w:rPr>
        <w:t>11) в государственных органах и организациях СССР на должностях, не связанных с их техническим обслуживанием и обеспечением, а именно:</w:t>
      </w:r>
    </w:p>
    <w:p w14:paraId="82000000">
      <w:pPr>
        <w:spacing w:after="0" w:line="276"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в органах государственной власти и управления, государственного (народного) контроля, государственного нотариата, судах, прокуратуре, в международных организациях, дипломатических представительствах и консульских учреждениях до 12 июня 1991 года;</w:t>
      </w:r>
    </w:p>
    <w:p w14:paraId="83000000">
      <w:pPr>
        <w:spacing w:after="0" w:line="276"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на выборных должностях и в аппаратах центральных профсоюзных органов, профсоюзных органов союзных республик, краев, областей, городов, районов, районов в городах до 14 марта 1990 года;</w:t>
      </w:r>
    </w:p>
    <w:p w14:paraId="84000000">
      <w:pPr>
        <w:spacing w:after="0" w:line="276"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на выборных должностях и в аппаратах органов ЦК КПСС, ЦК КП союзных республик, крайкомов, обкомов, горкомов, райкомов КПСС (до 14 марта 1990 года);</w:t>
      </w:r>
    </w:p>
    <w:p w14:paraId="85000000">
      <w:pPr>
        <w:spacing w:after="0" w:line="276"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на должности первого секретаря </w:t>
      </w:r>
      <w:r>
        <w:rPr>
          <w:rFonts w:ascii="Times New Roman" w:hAnsi="Times New Roman"/>
          <w:sz w:val="28"/>
        </w:rPr>
        <w:t>Ростовской</w:t>
      </w:r>
      <w:r>
        <w:rPr>
          <w:rFonts w:ascii="Times New Roman" w:hAnsi="Times New Roman"/>
          <w:sz w:val="28"/>
        </w:rPr>
        <w:t xml:space="preserve"> обкома ВЛКСМ (до 14 марта 1990 года).</w:t>
      </w:r>
    </w:p>
    <w:p w14:paraId="86000000">
      <w:pPr>
        <w:spacing w:after="0" w:line="276" w:lineRule="auto"/>
        <w:ind w:firstLine="709" w:left="0"/>
        <w:jc w:val="both"/>
        <w:rPr>
          <w:rFonts w:ascii="Times New Roman" w:hAnsi="Times New Roman"/>
          <w:sz w:val="28"/>
        </w:rPr>
      </w:pPr>
      <w:r>
        <w:rPr>
          <w:rFonts w:ascii="Times New Roman" w:hAnsi="Times New Roman"/>
          <w:sz w:val="28"/>
        </w:rPr>
        <w:t xml:space="preserve">1.2. Стаж муниципальной службы, исчисляемый в соответствии с частью 1.1 настоящей статьи, применяется </w:t>
      </w:r>
      <w:r>
        <w:rPr>
          <w:rFonts w:ascii="Times New Roman" w:hAnsi="Times New Roman"/>
          <w:sz w:val="28"/>
        </w:rPr>
        <w:t>для</w:t>
      </w:r>
      <w:r>
        <w:rPr>
          <w:rFonts w:ascii="Times New Roman" w:hAnsi="Times New Roman"/>
          <w:sz w:val="28"/>
        </w:rPr>
        <w:t>:</w:t>
      </w:r>
    </w:p>
    <w:p w14:paraId="87000000">
      <w:pPr>
        <w:spacing w:after="0" w:line="276" w:lineRule="auto"/>
        <w:ind w:firstLine="709" w:left="0"/>
        <w:jc w:val="both"/>
        <w:rPr>
          <w:rFonts w:ascii="Times New Roman" w:hAnsi="Times New Roman"/>
          <w:sz w:val="28"/>
        </w:rPr>
      </w:pPr>
      <w:r>
        <w:rPr>
          <w:rFonts w:ascii="Times New Roman" w:hAnsi="Times New Roman"/>
          <w:sz w:val="28"/>
        </w:rPr>
        <w:t>1) установления ежемесячной надбавки к должностному окладу за выслугу лет;</w:t>
      </w:r>
    </w:p>
    <w:p w14:paraId="88000000">
      <w:pPr>
        <w:spacing w:after="0" w:line="276" w:lineRule="auto"/>
        <w:ind w:firstLine="709" w:left="0"/>
        <w:jc w:val="both"/>
        <w:rPr>
          <w:rFonts w:ascii="Times New Roman" w:hAnsi="Times New Roman"/>
          <w:sz w:val="28"/>
        </w:rPr>
      </w:pPr>
      <w:r>
        <w:rPr>
          <w:rFonts w:ascii="Times New Roman" w:hAnsi="Times New Roman"/>
          <w:sz w:val="28"/>
        </w:rPr>
        <w:t>2) определения продолжительности ежегодного дополнительного оплачиваемого отпуска за выслугу лет</w:t>
      </w:r>
      <w:r>
        <w:rPr>
          <w:rFonts w:ascii="Times New Roman" w:hAnsi="Times New Roman"/>
          <w:sz w:val="28"/>
        </w:rPr>
        <w:t>;</w:t>
      </w:r>
    </w:p>
    <w:p w14:paraId="89000000">
      <w:pPr>
        <w:spacing w:after="0" w:line="276" w:lineRule="auto"/>
        <w:ind w:firstLine="709" w:left="0"/>
        <w:jc w:val="both"/>
        <w:rPr>
          <w:rFonts w:ascii="Times New Roman" w:hAnsi="Times New Roman"/>
          <w:sz w:val="28"/>
        </w:rPr>
      </w:pPr>
      <w:r>
        <w:rPr>
          <w:rFonts w:ascii="Times New Roman" w:hAnsi="Times New Roman"/>
          <w:sz w:val="28"/>
        </w:rPr>
        <w:t>3) определения соответствия стажа и опыта работы по специальности квалификационным требованиям.</w:t>
      </w:r>
    </w:p>
    <w:p w14:paraId="8A000000">
      <w:pPr>
        <w:spacing w:after="0" w:line="276" w:lineRule="auto"/>
        <w:ind w:firstLine="709" w:left="0"/>
        <w:jc w:val="both"/>
        <w:rPr>
          <w:rFonts w:ascii="Times New Roman" w:hAnsi="Times New Roman"/>
          <w:sz w:val="28"/>
        </w:rPr>
      </w:pPr>
      <w:r>
        <w:rPr>
          <w:rFonts w:ascii="Times New Roman" w:hAnsi="Times New Roman"/>
          <w:sz w:val="28"/>
        </w:rPr>
        <w:t>1.3.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p>
    <w:p w14:paraId="8B000000">
      <w:pPr>
        <w:spacing w:after="0" w:line="276" w:lineRule="auto"/>
        <w:ind w:firstLine="709" w:left="0"/>
        <w:jc w:val="both"/>
        <w:rPr>
          <w:rFonts w:ascii="Times New Roman" w:hAnsi="Times New Roman"/>
          <w:sz w:val="28"/>
        </w:rPr>
      </w:pPr>
      <w:r>
        <w:rPr>
          <w:rFonts w:ascii="Times New Roman" w:hAnsi="Times New Roman"/>
          <w:sz w:val="28"/>
        </w:rPr>
        <w:t xml:space="preserve">1.4. </w:t>
      </w:r>
      <w:r>
        <w:rPr>
          <w:rFonts w:ascii="Times New Roman" w:hAnsi="Times New Roman"/>
          <w:sz w:val="28"/>
        </w:rPr>
        <w:t xml:space="preserve">Для муниципальных специалистов и лиц, замещающих муниципальные должности и должности муниципальной службы, замещаемые на основании срочного трудового договора (контракта) на дату вступления в силу Закона о муниципальной службе в </w:t>
      </w:r>
      <w:r>
        <w:rPr>
          <w:rFonts w:ascii="Times New Roman" w:hAnsi="Times New Roman"/>
          <w:sz w:val="28"/>
        </w:rPr>
        <w:t>Ростовской</w:t>
      </w:r>
      <w:r>
        <w:rPr>
          <w:rFonts w:ascii="Times New Roman" w:hAnsi="Times New Roman"/>
          <w:sz w:val="28"/>
        </w:rPr>
        <w:t xml:space="preserve"> области, перерасчет стажа муниципальной службы, ведущий к его уменьшению, не допускается.</w:t>
      </w:r>
    </w:p>
    <w:p w14:paraId="8C000000">
      <w:pPr>
        <w:spacing w:after="0" w:line="276" w:lineRule="auto"/>
        <w:ind w:firstLine="709" w:left="0"/>
        <w:jc w:val="both"/>
        <w:rPr>
          <w:rFonts w:ascii="Times New Roman" w:hAnsi="Times New Roman"/>
          <w:sz w:val="28"/>
        </w:rPr>
      </w:pPr>
      <w:r>
        <w:rPr>
          <w:rFonts w:ascii="Times New Roman" w:hAnsi="Times New Roman"/>
          <w:sz w:val="28"/>
        </w:rPr>
        <w:t>2. Исчисления стажа работы специалиста, дающего право на получение надбавки за выслугу лет</w:t>
      </w:r>
      <w:r>
        <w:rPr>
          <w:rFonts w:ascii="Times New Roman" w:hAnsi="Times New Roman"/>
          <w:sz w:val="28"/>
        </w:rPr>
        <w:t>.</w:t>
      </w:r>
    </w:p>
    <w:p w14:paraId="8D000000">
      <w:pPr>
        <w:spacing w:after="0" w:line="276" w:lineRule="auto"/>
        <w:ind w:firstLine="709" w:left="0"/>
        <w:jc w:val="both"/>
        <w:rPr>
          <w:rFonts w:ascii="Times New Roman" w:hAnsi="Times New Roman"/>
          <w:sz w:val="28"/>
        </w:rPr>
      </w:pPr>
      <w:r>
        <w:rPr>
          <w:rFonts w:ascii="Times New Roman" w:hAnsi="Times New Roman"/>
          <w:sz w:val="28"/>
        </w:rPr>
        <w:t>2.1.В стаж работы, дающий право на получение ежемесячной надбавки за выслугу лет специалиста включаются:</w:t>
      </w:r>
    </w:p>
    <w:p w14:paraId="8E000000">
      <w:pPr>
        <w:spacing w:after="0" w:line="276" w:lineRule="auto"/>
        <w:ind w:firstLine="709" w:left="0"/>
        <w:jc w:val="both"/>
        <w:rPr>
          <w:rFonts w:ascii="Times New Roman" w:hAnsi="Times New Roman"/>
          <w:sz w:val="28"/>
        </w:rPr>
      </w:pPr>
      <w:r>
        <w:rPr>
          <w:rFonts w:ascii="Times New Roman" w:hAnsi="Times New Roman"/>
          <w:sz w:val="28"/>
        </w:rPr>
        <w:t>1) Время работы:</w:t>
      </w:r>
    </w:p>
    <w:p w14:paraId="8F000000">
      <w:pPr>
        <w:spacing w:after="0" w:line="276" w:lineRule="auto"/>
        <w:ind w:firstLine="709" w:left="0"/>
        <w:jc w:val="both"/>
        <w:rPr>
          <w:rFonts w:ascii="Times New Roman" w:hAnsi="Times New Roman"/>
          <w:sz w:val="28"/>
        </w:rPr>
      </w:pPr>
      <w:r>
        <w:rPr>
          <w:rFonts w:ascii="Times New Roman" w:hAnsi="Times New Roman"/>
          <w:sz w:val="28"/>
        </w:rPr>
        <w:t>- в федеральных и областных органах государственной власти;</w:t>
      </w:r>
    </w:p>
    <w:p w14:paraId="90000000">
      <w:pPr>
        <w:spacing w:after="0" w:line="276" w:lineRule="auto"/>
        <w:ind w:firstLine="709" w:left="0"/>
        <w:jc w:val="both"/>
        <w:rPr>
          <w:rFonts w:ascii="Times New Roman" w:hAnsi="Times New Roman"/>
          <w:sz w:val="28"/>
        </w:rPr>
      </w:pPr>
      <w:r>
        <w:rPr>
          <w:rFonts w:ascii="Times New Roman" w:hAnsi="Times New Roman"/>
          <w:sz w:val="28"/>
        </w:rPr>
        <w:t>- в органах местного самоуправления;</w:t>
      </w:r>
    </w:p>
    <w:p w14:paraId="91000000">
      <w:pPr>
        <w:spacing w:after="0" w:line="276" w:lineRule="auto"/>
        <w:ind w:firstLine="709" w:left="0"/>
        <w:jc w:val="both"/>
        <w:rPr>
          <w:rFonts w:ascii="Times New Roman" w:hAnsi="Times New Roman"/>
          <w:sz w:val="28"/>
        </w:rPr>
      </w:pPr>
      <w:r>
        <w:rPr>
          <w:rFonts w:ascii="Times New Roman" w:hAnsi="Times New Roman"/>
          <w:sz w:val="28"/>
        </w:rPr>
        <w:t>- в органах народного контроля и государственного арбитража;</w:t>
      </w:r>
    </w:p>
    <w:p w14:paraId="92000000">
      <w:pPr>
        <w:spacing w:after="0" w:line="276" w:lineRule="auto"/>
        <w:ind w:firstLine="709" w:left="0"/>
        <w:jc w:val="both"/>
        <w:rPr>
          <w:rFonts w:ascii="Times New Roman" w:hAnsi="Times New Roman"/>
          <w:sz w:val="28"/>
        </w:rPr>
      </w:pPr>
      <w:r>
        <w:rPr>
          <w:rFonts w:ascii="Times New Roman" w:hAnsi="Times New Roman"/>
          <w:sz w:val="28"/>
        </w:rPr>
        <w:t>- в органах прокуратуры и судов всех уровней;</w:t>
      </w:r>
    </w:p>
    <w:p w14:paraId="93000000">
      <w:pPr>
        <w:spacing w:after="0" w:line="276" w:lineRule="auto"/>
        <w:ind w:firstLine="709" w:left="0"/>
        <w:jc w:val="both"/>
        <w:rPr>
          <w:rFonts w:ascii="Times New Roman" w:hAnsi="Times New Roman"/>
          <w:sz w:val="28"/>
        </w:rPr>
      </w:pPr>
      <w:r>
        <w:rPr>
          <w:rFonts w:ascii="Times New Roman" w:hAnsi="Times New Roman"/>
          <w:sz w:val="28"/>
        </w:rPr>
        <w:t>- в организациях, научных и учебных учреждениях по соответствующей должности.</w:t>
      </w:r>
    </w:p>
    <w:p w14:paraId="94000000">
      <w:pPr>
        <w:spacing w:after="0" w:line="276" w:lineRule="auto"/>
        <w:ind w:firstLine="709" w:left="0"/>
        <w:jc w:val="both"/>
        <w:rPr>
          <w:rFonts w:ascii="Times New Roman" w:hAnsi="Times New Roman"/>
          <w:sz w:val="28"/>
        </w:rPr>
      </w:pPr>
      <w:r>
        <w:rPr>
          <w:rFonts w:ascii="Times New Roman" w:hAnsi="Times New Roman"/>
          <w:sz w:val="28"/>
        </w:rPr>
        <w:t>2) Время работы на выборных должностях в органах государственной власти и местного самоуправления.</w:t>
      </w:r>
    </w:p>
    <w:p w14:paraId="95000000">
      <w:pPr>
        <w:spacing w:after="0" w:line="276" w:lineRule="auto"/>
        <w:ind w:firstLine="709" w:left="0"/>
        <w:jc w:val="both"/>
        <w:rPr>
          <w:rFonts w:ascii="Times New Roman" w:hAnsi="Times New Roman"/>
          <w:sz w:val="28"/>
        </w:rPr>
      </w:pPr>
      <w:r>
        <w:rPr>
          <w:rFonts w:ascii="Times New Roman" w:hAnsi="Times New Roman"/>
          <w:sz w:val="28"/>
        </w:rPr>
        <w:t>3) Время прохождения военной службы, в том числе военной службы по призыву.</w:t>
      </w:r>
    </w:p>
    <w:p w14:paraId="96000000">
      <w:pPr>
        <w:spacing w:after="0" w:line="276" w:lineRule="auto"/>
        <w:ind w:firstLine="709" w:left="0"/>
        <w:jc w:val="both"/>
        <w:rPr>
          <w:rFonts w:ascii="Times New Roman" w:hAnsi="Times New Roman"/>
          <w:sz w:val="28"/>
        </w:rPr>
      </w:pPr>
      <w:r>
        <w:rPr>
          <w:rFonts w:ascii="Times New Roman" w:hAnsi="Times New Roman"/>
          <w:sz w:val="28"/>
        </w:rPr>
        <w:t>4) Время работы в аппарате:</w:t>
      </w:r>
    </w:p>
    <w:p w14:paraId="97000000">
      <w:pPr>
        <w:spacing w:after="0" w:line="276" w:lineRule="auto"/>
        <w:ind w:firstLine="709" w:left="0"/>
        <w:jc w:val="both"/>
        <w:rPr>
          <w:rFonts w:ascii="Times New Roman" w:hAnsi="Times New Roman"/>
          <w:sz w:val="28"/>
        </w:rPr>
      </w:pPr>
      <w:r>
        <w:rPr>
          <w:rFonts w:ascii="Times New Roman" w:hAnsi="Times New Roman"/>
          <w:sz w:val="28"/>
        </w:rPr>
        <w:t>- профсоюзных органов всех уровней (до 31 декабря 1991 года), а также на освобожденных выборных должностях этих органов;</w:t>
      </w:r>
    </w:p>
    <w:p w14:paraId="98000000">
      <w:pPr>
        <w:spacing w:after="0" w:line="276" w:lineRule="auto"/>
        <w:ind w:firstLine="709" w:left="0"/>
        <w:jc w:val="both"/>
        <w:rPr>
          <w:rFonts w:ascii="Times New Roman" w:hAnsi="Times New Roman"/>
          <w:sz w:val="28"/>
        </w:rPr>
      </w:pPr>
      <w:r>
        <w:rPr>
          <w:rFonts w:ascii="Times New Roman" w:hAnsi="Times New Roman"/>
          <w:sz w:val="28"/>
        </w:rPr>
        <w:t>- партийных органов всех уровней (до 14 марта 1990 года), а также на выборных должностях этих органов.</w:t>
      </w:r>
    </w:p>
    <w:p w14:paraId="99000000">
      <w:pPr>
        <w:spacing w:after="0" w:line="276" w:lineRule="auto"/>
        <w:ind w:firstLine="709" w:left="0"/>
        <w:jc w:val="both"/>
        <w:rPr>
          <w:rFonts w:ascii="Times New Roman" w:hAnsi="Times New Roman"/>
          <w:sz w:val="28"/>
        </w:rPr>
      </w:pPr>
      <w:r>
        <w:rPr>
          <w:rFonts w:ascii="Times New Roman" w:hAnsi="Times New Roman"/>
          <w:sz w:val="28"/>
        </w:rPr>
        <w:t>5) Время обучения в учебных заведениях (на курсах) по подготовке и повышению квалификации кадров с отрывом от работы, если за работником сохранялось место (должность), заработная плата (частично или полностью) или ему производятся выплаты, предусмотренные действующим законодательством.</w:t>
      </w:r>
    </w:p>
    <w:p w14:paraId="9A000000">
      <w:pPr>
        <w:spacing w:after="0" w:line="276" w:lineRule="auto"/>
        <w:ind w:firstLine="709" w:left="0"/>
        <w:jc w:val="both"/>
        <w:rPr>
          <w:rFonts w:ascii="Times New Roman" w:hAnsi="Times New Roman"/>
          <w:sz w:val="28"/>
        </w:rPr>
      </w:pPr>
      <w:r>
        <w:rPr>
          <w:rFonts w:ascii="Times New Roman" w:hAnsi="Times New Roman"/>
          <w:sz w:val="28"/>
        </w:rPr>
        <w:t>6)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w:t>
      </w:r>
    </w:p>
    <w:p w14:paraId="9B000000">
      <w:pPr>
        <w:spacing w:after="0" w:line="276" w:lineRule="auto"/>
        <w:ind w:firstLine="709" w:left="0"/>
        <w:jc w:val="both"/>
        <w:rPr>
          <w:rFonts w:ascii="Times New Roman" w:hAnsi="Times New Roman"/>
          <w:sz w:val="28"/>
        </w:rPr>
      </w:pPr>
      <w:r>
        <w:rPr>
          <w:rFonts w:ascii="Times New Roman" w:hAnsi="Times New Roman"/>
          <w:sz w:val="28"/>
        </w:rPr>
        <w:t>2.2. Порядок начисления и выплаты надбавки за выслугу лет</w:t>
      </w:r>
      <w:r>
        <w:rPr>
          <w:rFonts w:ascii="Times New Roman" w:hAnsi="Times New Roman"/>
          <w:sz w:val="28"/>
        </w:rPr>
        <w:t xml:space="preserve"> п</w:t>
      </w:r>
      <w:r>
        <w:rPr>
          <w:rFonts w:ascii="Times New Roman" w:hAnsi="Times New Roman"/>
          <w:sz w:val="28"/>
        </w:rPr>
        <w:t>ри временном выполнении обязанностей отсутствующего работника надбавка за выслугу лет начисляется на должностной оклад по основной работе.</w:t>
      </w:r>
    </w:p>
    <w:p w14:paraId="9C000000">
      <w:pPr>
        <w:spacing w:after="0" w:line="276" w:lineRule="auto"/>
        <w:ind w:firstLine="709" w:left="0"/>
        <w:jc w:val="both"/>
        <w:rPr>
          <w:rFonts w:ascii="Times New Roman" w:hAnsi="Times New Roman"/>
          <w:sz w:val="28"/>
        </w:rPr>
      </w:pPr>
      <w:r>
        <w:rPr>
          <w:rFonts w:ascii="Times New Roman" w:hAnsi="Times New Roman"/>
          <w:sz w:val="28"/>
        </w:rPr>
        <w:t>Ежемесячная надбавка за выслугу лет учитывается во всех случаях исчисления среднего заработка.</w:t>
      </w:r>
    </w:p>
    <w:p w14:paraId="9D000000">
      <w:pPr>
        <w:spacing w:after="0" w:line="276" w:lineRule="auto"/>
        <w:ind w:firstLine="709" w:left="0"/>
        <w:jc w:val="both"/>
        <w:rPr>
          <w:rFonts w:ascii="Times New Roman" w:hAnsi="Times New Roman"/>
          <w:sz w:val="28"/>
        </w:rPr>
      </w:pPr>
      <w:r>
        <w:rPr>
          <w:rFonts w:ascii="Times New Roman" w:hAnsi="Times New Roman"/>
          <w:sz w:val="28"/>
        </w:rPr>
        <w:t>Надбавка за выслугу лет выплачивается с момента возникновения права на ее назначение. В случае</w:t>
      </w:r>
      <w:r>
        <w:rPr>
          <w:rFonts w:ascii="Times New Roman" w:hAnsi="Times New Roman"/>
          <w:sz w:val="28"/>
        </w:rPr>
        <w:t>,</w:t>
      </w:r>
      <w:r>
        <w:rPr>
          <w:rFonts w:ascii="Times New Roman" w:hAnsi="Times New Roman"/>
          <w:sz w:val="28"/>
        </w:rPr>
        <w:t xml:space="preserve"> если у работника наступило право на назначение надбавки в период исполнения обязанностей, при переподготовке или повышении квалификации с отрывом от работы в учебном учреждении, где за слушателем сохраняется средняя заработная плата, и в других случаях, когда за работником сохраняется средний заработок, указанная надбавка ему устанавливается с момента наступления этого права и производиться соответствующий перерасчет среднего заработка.</w:t>
      </w:r>
    </w:p>
    <w:p w14:paraId="9E000000">
      <w:pPr>
        <w:spacing w:after="0" w:line="276" w:lineRule="auto"/>
        <w:ind w:firstLine="709" w:left="0"/>
        <w:jc w:val="both"/>
        <w:rPr>
          <w:rFonts w:ascii="Times New Roman" w:hAnsi="Times New Roman"/>
          <w:sz w:val="28"/>
        </w:rPr>
      </w:pPr>
      <w:r>
        <w:rPr>
          <w:rFonts w:ascii="Times New Roman" w:hAnsi="Times New Roman"/>
          <w:sz w:val="28"/>
        </w:rPr>
        <w:t xml:space="preserve">Назначение надбавки за выслугу лет производиться на основании распоряжения </w:t>
      </w:r>
      <w:r>
        <w:rPr>
          <w:rFonts w:ascii="Times New Roman" w:hAnsi="Times New Roman"/>
          <w:sz w:val="28"/>
        </w:rPr>
        <w:t>А</w:t>
      </w:r>
      <w:r>
        <w:rPr>
          <w:rFonts w:ascii="Times New Roman" w:hAnsi="Times New Roman"/>
          <w:sz w:val="28"/>
        </w:rPr>
        <w:t>дминистрации Куйбышевского сельского поселения по представлению комиссии по установлению трудового стажа.</w:t>
      </w:r>
    </w:p>
    <w:p w14:paraId="9F000000">
      <w:pPr>
        <w:spacing w:after="0" w:line="276" w:lineRule="auto"/>
        <w:ind w:firstLine="709" w:left="0"/>
        <w:jc w:val="both"/>
        <w:rPr>
          <w:rFonts w:ascii="Times New Roman" w:hAnsi="Times New Roman"/>
          <w:sz w:val="28"/>
        </w:rPr>
      </w:pPr>
      <w:r>
        <w:rPr>
          <w:rFonts w:ascii="Times New Roman" w:hAnsi="Times New Roman"/>
          <w:sz w:val="28"/>
        </w:rPr>
        <w:t>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14:paraId="A0000000">
      <w:pPr>
        <w:spacing w:after="0" w:line="276" w:lineRule="auto"/>
        <w:ind w:firstLine="709" w:left="0"/>
        <w:jc w:val="both"/>
        <w:rPr>
          <w:rFonts w:ascii="Times New Roman" w:hAnsi="Times New Roman"/>
          <w:sz w:val="28"/>
        </w:rPr>
      </w:pPr>
      <w:r>
        <w:rPr>
          <w:rFonts w:ascii="Times New Roman" w:hAnsi="Times New Roman"/>
          <w:sz w:val="28"/>
        </w:rPr>
        <w:t>2.3. Порядок установления стажа работы, дающего право на получение надбавки за выслугу лет.</w:t>
      </w:r>
    </w:p>
    <w:p w14:paraId="A1000000">
      <w:pPr>
        <w:spacing w:after="0" w:line="276" w:lineRule="auto"/>
        <w:ind w:firstLine="709" w:left="0"/>
        <w:jc w:val="both"/>
        <w:rPr>
          <w:rFonts w:ascii="Times New Roman" w:hAnsi="Times New Roman"/>
          <w:sz w:val="28"/>
        </w:rPr>
      </w:pPr>
      <w:r>
        <w:rPr>
          <w:rFonts w:ascii="Times New Roman" w:hAnsi="Times New Roman"/>
          <w:sz w:val="28"/>
        </w:rPr>
        <w:t>Стаж работы для выплаты ежемесячной надбавки за выслугу лет определяется комиссией по установлению трудового стажа. Основным документом для определения общего стажа работы, дающего право на получение ежемесячной надбавки за выслугу лет, является трудовая книжка, военный билет.</w:t>
      </w:r>
    </w:p>
    <w:p w14:paraId="A2000000">
      <w:pPr>
        <w:spacing w:after="150" w:before="0" w:line="276" w:lineRule="auto"/>
        <w:ind w:firstLine="709" w:left="0"/>
        <w:jc w:val="both"/>
        <w:rPr>
          <w:color w:themeColor="text1" w:val="000000"/>
          <w:sz w:val="28"/>
        </w:rPr>
      </w:pPr>
    </w:p>
    <w:p w14:paraId="A3000000">
      <w:pPr>
        <w:spacing w:after="150" w:before="0" w:line="276" w:lineRule="auto"/>
        <w:ind w:firstLine="709" w:left="0"/>
        <w:jc w:val="both"/>
        <w:rPr>
          <w:color w:themeColor="text1" w:val="000000"/>
          <w:sz w:val="28"/>
        </w:rPr>
      </w:pPr>
    </w:p>
    <w:p w14:paraId="A4000000">
      <w:pPr>
        <w:spacing w:after="150" w:before="0" w:line="276" w:lineRule="auto"/>
        <w:ind w:firstLine="709" w:left="0"/>
        <w:jc w:val="both"/>
        <w:rPr>
          <w:color w:themeColor="text1" w:val="000000"/>
          <w:sz w:val="28"/>
        </w:rPr>
      </w:pPr>
    </w:p>
    <w:p w14:paraId="A5000000">
      <w:pPr>
        <w:spacing w:after="0" w:line="276" w:lineRule="auto"/>
        <w:ind/>
        <w:rPr>
          <w:rFonts w:ascii="Times New Roman" w:hAnsi="Times New Roman"/>
          <w:sz w:val="28"/>
        </w:rPr>
      </w:pPr>
      <w:r>
        <w:rPr>
          <w:rFonts w:ascii="Times New Roman" w:hAnsi="Times New Roman"/>
          <w:sz w:val="28"/>
        </w:rPr>
        <w:t xml:space="preserve">Глава Администрации </w:t>
      </w:r>
    </w:p>
    <w:p w14:paraId="A6000000">
      <w:pPr>
        <w:spacing w:after="0" w:line="276" w:lineRule="auto"/>
        <w:ind/>
        <w:rPr>
          <w:rFonts w:ascii="Times New Roman" w:hAnsi="Times New Roman"/>
          <w:sz w:val="28"/>
        </w:rPr>
      </w:pPr>
      <w:r>
        <w:rPr>
          <w:rFonts w:ascii="Times New Roman" w:hAnsi="Times New Roman"/>
          <w:sz w:val="28"/>
        </w:rPr>
        <w:t xml:space="preserve">Куйбышевского </w:t>
      </w:r>
    </w:p>
    <w:p w14:paraId="A7000000">
      <w:pPr>
        <w:spacing w:after="0" w:line="276" w:lineRule="auto"/>
        <w:ind/>
        <w:rPr>
          <w:rFonts w:ascii="Times New Roman" w:hAnsi="Times New Roman"/>
          <w:sz w:val="28"/>
        </w:rPr>
      </w:pPr>
      <w:r>
        <w:rPr>
          <w:rFonts w:ascii="Times New Roman" w:hAnsi="Times New Roman"/>
          <w:sz w:val="28"/>
        </w:rPr>
        <w:t xml:space="preserve">сельского поселения </w:t>
      </w:r>
      <w:r>
        <w:rPr>
          <w:rFonts w:ascii="Times New Roman" w:hAnsi="Times New Roman"/>
          <w:sz w:val="28"/>
        </w:rPr>
        <w:t xml:space="preserve">                                                                         С.Л. Слепченко</w:t>
      </w:r>
    </w:p>
    <w:p w14:paraId="A8000000">
      <w:pPr>
        <w:pStyle w:val="Style_1"/>
        <w:spacing w:after="0" w:line="276" w:lineRule="auto"/>
        <w:ind/>
      </w:pPr>
    </w:p>
    <w:p w14:paraId="A9000000">
      <w:pPr>
        <w:pStyle w:val="Style_3"/>
        <w:spacing w:line="276" w:lineRule="auto"/>
        <w:ind w:firstLine="2540" w:left="0" w:right="0"/>
        <w:rPr>
          <w:sz w:val="28"/>
        </w:rPr>
      </w:pPr>
    </w:p>
    <w:sectPr>
      <w:headerReference r:id="rId1" w:type="default"/>
      <w:pgSz w:h="16840" w:orient="portrait" w:w="11900"/>
      <w:pgMar w:bottom="1134" w:footer="2412" w:gutter="0" w:header="647" w:left="1701" w:right="567" w:top="1134"/>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Arial Unicode MS" w:hAnsi="Arial Unicode MS"/>
        <w:color w:val="000000"/>
        <w:spacing w:val="0"/>
        <w:sz w:val="24"/>
      </w:rPr>
    </w:rPrDefault>
    <w:pPrDefault>
      <w:pPr>
        <w:widowControl w:val="0"/>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toc 2"/>
    <w:next w:val="Style_4"/>
    <w:link w:val="Style_5_ch"/>
    <w:uiPriority w:val="39"/>
    <w:pPr>
      <w:ind w:firstLine="0" w:left="200"/>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4"/>
    <w:link w:val="Style_6_ch"/>
    <w:uiPriority w:val="39"/>
    <w:pPr>
      <w:ind w:firstLine="0" w:left="600"/>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4"/>
    <w:link w:val="Style_7_ch"/>
    <w:uiPriority w:val="39"/>
    <w:pPr>
      <w:ind w:firstLine="0" w:left="1000"/>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4"/>
    <w:link w:val="Style_8_ch"/>
    <w:uiPriority w:val="39"/>
    <w:pPr>
      <w:ind w:firstLine="0" w:left="1200"/>
    </w:pPr>
    <w:rPr>
      <w:rFonts w:ascii="XO Thames" w:hAnsi="XO Thames"/>
      <w:sz w:val="28"/>
    </w:rPr>
  </w:style>
  <w:style w:styleId="Style_8_ch" w:type="character">
    <w:name w:val="toc 7"/>
    <w:link w:val="Style_8"/>
    <w:rPr>
      <w:rFonts w:ascii="XO Thames" w:hAnsi="XO Thames"/>
      <w:sz w:val="28"/>
    </w:rPr>
  </w:style>
  <w:style w:styleId="Style_9" w:type="paragraph">
    <w:name w:val="Гиперссылка1"/>
    <w:link w:val="Style_9_ch"/>
    <w:rPr>
      <w:color w:val="0000FF"/>
      <w:u w:val="single"/>
    </w:rPr>
  </w:style>
  <w:style w:styleId="Style_9_ch" w:type="character">
    <w:name w:val="Гиперссылка1"/>
    <w:link w:val="Style_9"/>
    <w:rPr>
      <w:color w:val="0000FF"/>
      <w:u w:val="single"/>
    </w:rPr>
  </w:style>
  <w:style w:styleId="Style_10" w:type="paragraph">
    <w:name w:val="heading 3"/>
    <w:next w:val="Style_4"/>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11" w:type="paragraph">
    <w:name w:val="Обычный1"/>
    <w:link w:val="Style_11_ch"/>
    <w:rPr>
      <w:rFonts w:ascii="Arial Unicode MS" w:hAnsi="Arial Unicode MS"/>
      <w:color w:val="000000"/>
      <w:spacing w:val="0"/>
      <w:sz w:val="24"/>
    </w:rPr>
  </w:style>
  <w:style w:styleId="Style_11_ch" w:type="character">
    <w:name w:val="Обычный1"/>
    <w:link w:val="Style_11"/>
    <w:rPr>
      <w:rFonts w:ascii="Arial Unicode MS" w:hAnsi="Arial Unicode MS"/>
      <w:color w:val="000000"/>
      <w:spacing w:val="0"/>
      <w:sz w:val="24"/>
    </w:rPr>
  </w:style>
  <w:style w:styleId="Style_12" w:type="paragraph">
    <w:name w:val="Заголовок №1"/>
    <w:basedOn w:val="Style_4"/>
    <w:link w:val="Style_12_ch"/>
    <w:pPr>
      <w:spacing w:after="320"/>
      <w:ind/>
      <w:jc w:val="center"/>
      <w:outlineLvl w:val="0"/>
    </w:pPr>
    <w:rPr>
      <w:rFonts w:ascii="Times New Roman" w:hAnsi="Times New Roman"/>
      <w:b w:val="1"/>
      <w:sz w:val="28"/>
    </w:rPr>
  </w:style>
  <w:style w:styleId="Style_12_ch" w:type="character">
    <w:name w:val="Заголовок №1"/>
    <w:basedOn w:val="Style_4_ch"/>
    <w:link w:val="Style_12"/>
    <w:rPr>
      <w:rFonts w:ascii="Times New Roman" w:hAnsi="Times New Roman"/>
      <w:b w:val="1"/>
      <w:sz w:val="28"/>
    </w:rPr>
  </w:style>
  <w:style w:styleId="Style_3" w:type="paragraph">
    <w:name w:val="Основной текст (2)"/>
    <w:basedOn w:val="Style_4"/>
    <w:link w:val="Style_3_ch"/>
    <w:pPr>
      <w:spacing w:line="204" w:lineRule="auto"/>
      <w:ind w:firstLine="1270" w:left="2730" w:right="150"/>
    </w:pPr>
    <w:rPr>
      <w:rFonts w:ascii="Arial" w:hAnsi="Arial"/>
      <w:color w:val="A1A9D9"/>
      <w:sz w:val="16"/>
    </w:rPr>
  </w:style>
  <w:style w:styleId="Style_3_ch" w:type="character">
    <w:name w:val="Основной текст (2)"/>
    <w:basedOn w:val="Style_4_ch"/>
    <w:link w:val="Style_3"/>
    <w:rPr>
      <w:rFonts w:ascii="Arial" w:hAnsi="Arial"/>
      <w:color w:val="A1A9D9"/>
      <w:sz w:val="16"/>
    </w:rPr>
  </w:style>
  <w:style w:styleId="Style_13" w:type="paragraph">
    <w:name w:val="toc 3"/>
    <w:next w:val="Style_4"/>
    <w:link w:val="Style_13_ch"/>
    <w:uiPriority w:val="39"/>
    <w:pPr>
      <w:ind w:firstLine="0" w:left="400"/>
    </w:pPr>
    <w:rPr>
      <w:rFonts w:ascii="XO Thames" w:hAnsi="XO Thames"/>
      <w:sz w:val="28"/>
    </w:rPr>
  </w:style>
  <w:style w:styleId="Style_13_ch" w:type="character">
    <w:name w:val="toc 3"/>
    <w:link w:val="Style_13"/>
    <w:rPr>
      <w:rFonts w:ascii="XO Thames" w:hAnsi="XO Thames"/>
      <w:sz w:val="28"/>
    </w:rPr>
  </w:style>
  <w:style w:styleId="Style_14" w:type="paragraph">
    <w:name w:val="heading 5"/>
    <w:next w:val="Style_4"/>
    <w:link w:val="Style_14_ch"/>
    <w:uiPriority w:val="9"/>
    <w:qFormat/>
    <w:pPr>
      <w:spacing w:after="120" w:before="120"/>
      <w:ind/>
      <w:jc w:val="both"/>
      <w:outlineLvl w:val="4"/>
    </w:pPr>
    <w:rPr>
      <w:rFonts w:ascii="XO Thames" w:hAnsi="XO Thames"/>
      <w:b w:val="1"/>
      <w:sz w:val="22"/>
    </w:rPr>
  </w:style>
  <w:style w:styleId="Style_14_ch" w:type="character">
    <w:name w:val="heading 5"/>
    <w:link w:val="Style_14"/>
    <w:rPr>
      <w:rFonts w:ascii="XO Thames" w:hAnsi="XO Thames"/>
      <w:b w:val="1"/>
      <w:sz w:val="22"/>
    </w:rPr>
  </w:style>
  <w:style w:styleId="Style_15" w:type="paragraph">
    <w:name w:val="heading 1"/>
    <w:next w:val="Style_4"/>
    <w:link w:val="Style_15_ch"/>
    <w:uiPriority w:val="9"/>
    <w:qFormat/>
    <w:pPr>
      <w:spacing w:after="120" w:before="120"/>
      <w:ind/>
      <w:jc w:val="both"/>
      <w:outlineLvl w:val="0"/>
    </w:pPr>
    <w:rPr>
      <w:rFonts w:ascii="XO Thames" w:hAnsi="XO Thames"/>
      <w:b w:val="1"/>
      <w:sz w:val="32"/>
    </w:rPr>
  </w:style>
  <w:style w:styleId="Style_15_ch" w:type="character">
    <w:name w:val="heading 1"/>
    <w:link w:val="Style_15"/>
    <w:rPr>
      <w:rFonts w:ascii="XO Thames" w:hAnsi="XO Thames"/>
      <w:b w:val="1"/>
      <w:sz w:val="32"/>
    </w:rPr>
  </w:style>
  <w:style w:styleId="Style_16" w:type="paragraph">
    <w:name w:val="Default Paragraph Font"/>
    <w:link w:val="Style_16_ch"/>
  </w:style>
  <w:style w:styleId="Style_16_ch" w:type="character">
    <w:name w:val="Default Paragraph Font"/>
    <w:link w:val="Style_16"/>
  </w:style>
  <w:style w:styleId="Style_17" w:type="paragraph">
    <w:name w:val="Hyperlink"/>
    <w:link w:val="Style_17_ch"/>
    <w:rPr>
      <w:color w:val="0000FF"/>
      <w:u w:val="single"/>
    </w:rPr>
  </w:style>
  <w:style w:styleId="Style_17_ch" w:type="character">
    <w:name w:val="Hyperlink"/>
    <w:link w:val="Style_17"/>
    <w:rPr>
      <w:color w:val="0000FF"/>
      <w:u w:val="single"/>
    </w:rPr>
  </w:style>
  <w:style w:styleId="Style_18" w:type="paragraph">
    <w:name w:val="Footnote"/>
    <w:link w:val="Style_18_ch"/>
    <w:pPr>
      <w:ind w:firstLine="851" w:left="0"/>
      <w:jc w:val="both"/>
    </w:pPr>
    <w:rPr>
      <w:rFonts w:ascii="XO Thames" w:hAnsi="XO Thames"/>
      <w:sz w:val="22"/>
    </w:rPr>
  </w:style>
  <w:style w:styleId="Style_18_ch" w:type="character">
    <w:name w:val="Footnote"/>
    <w:link w:val="Style_18"/>
    <w:rPr>
      <w:rFonts w:ascii="XO Thames" w:hAnsi="XO Thames"/>
      <w:sz w:val="22"/>
    </w:rPr>
  </w:style>
  <w:style w:styleId="Style_19" w:type="paragraph">
    <w:name w:val="toc 1"/>
    <w:next w:val="Style_4"/>
    <w:link w:val="Style_19_ch"/>
    <w:uiPriority w:val="39"/>
    <w:rPr>
      <w:rFonts w:ascii="XO Thames" w:hAnsi="XO Thames"/>
      <w:b w:val="1"/>
      <w:sz w:val="28"/>
    </w:rPr>
  </w:style>
  <w:style w:styleId="Style_19_ch" w:type="character">
    <w:name w:val="toc 1"/>
    <w:link w:val="Style_19"/>
    <w:rPr>
      <w:rFonts w:ascii="XO Thames" w:hAnsi="XO Thames"/>
      <w:b w:val="1"/>
      <w:sz w:val="28"/>
    </w:rPr>
  </w:style>
  <w:style w:styleId="Style_20" w:type="paragraph">
    <w:name w:val="Header and Footer"/>
    <w:link w:val="Style_20_ch"/>
    <w:pPr>
      <w:ind/>
      <w:jc w:val="both"/>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toc 9"/>
    <w:next w:val="Style_4"/>
    <w:link w:val="Style_21_ch"/>
    <w:uiPriority w:val="39"/>
    <w:pPr>
      <w:ind w:firstLine="0" w:left="1600"/>
    </w:pPr>
    <w:rPr>
      <w:rFonts w:ascii="XO Thames" w:hAnsi="XO Thames"/>
      <w:sz w:val="28"/>
    </w:rPr>
  </w:style>
  <w:style w:styleId="Style_21_ch" w:type="character">
    <w:name w:val="toc 9"/>
    <w:link w:val="Style_21"/>
    <w:rPr>
      <w:rFonts w:ascii="XO Thames" w:hAnsi="XO Thames"/>
      <w:sz w:val="28"/>
    </w:rPr>
  </w:style>
  <w:style w:styleId="Style_22" w:type="paragraph">
    <w:name w:val="toc 8"/>
    <w:next w:val="Style_4"/>
    <w:link w:val="Style_22_ch"/>
    <w:uiPriority w:val="39"/>
    <w:pPr>
      <w:ind w:firstLine="0" w:left="1400"/>
    </w:pPr>
    <w:rPr>
      <w:rFonts w:ascii="XO Thames" w:hAnsi="XO Thames"/>
      <w:sz w:val="28"/>
    </w:rPr>
  </w:style>
  <w:style w:styleId="Style_22_ch" w:type="character">
    <w:name w:val="toc 8"/>
    <w:link w:val="Style_22"/>
    <w:rPr>
      <w:rFonts w:ascii="XO Thames" w:hAnsi="XO Thames"/>
      <w:sz w:val="28"/>
    </w:rPr>
  </w:style>
  <w:style w:styleId="Style_1" w:type="paragraph">
    <w:name w:val="Body Text"/>
    <w:basedOn w:val="Style_4"/>
    <w:link w:val="Style_1_ch"/>
    <w:pPr>
      <w:spacing w:after="280"/>
      <w:ind/>
    </w:pPr>
    <w:rPr>
      <w:rFonts w:ascii="Times New Roman" w:hAnsi="Times New Roman"/>
      <w:sz w:val="28"/>
    </w:rPr>
  </w:style>
  <w:style w:styleId="Style_1_ch" w:type="character">
    <w:name w:val="Body Text"/>
    <w:basedOn w:val="Style_4_ch"/>
    <w:link w:val="Style_1"/>
    <w:rPr>
      <w:rFonts w:ascii="Times New Roman" w:hAnsi="Times New Roman"/>
      <w:sz w:val="28"/>
    </w:rPr>
  </w:style>
  <w:style w:styleId="Style_23" w:type="paragraph">
    <w:name w:val="toc 5"/>
    <w:next w:val="Style_4"/>
    <w:link w:val="Style_23_ch"/>
    <w:uiPriority w:val="39"/>
    <w:pPr>
      <w:ind w:firstLine="0" w:left="800"/>
    </w:pPr>
    <w:rPr>
      <w:rFonts w:ascii="XO Thames" w:hAnsi="XO Thames"/>
      <w:sz w:val="28"/>
    </w:rPr>
  </w:style>
  <w:style w:styleId="Style_23_ch" w:type="character">
    <w:name w:val="toc 5"/>
    <w:link w:val="Style_23"/>
    <w:rPr>
      <w:rFonts w:ascii="XO Thames" w:hAnsi="XO Thames"/>
      <w:sz w:val="28"/>
    </w:rPr>
  </w:style>
  <w:style w:styleId="Style_24" w:type="paragraph">
    <w:name w:val="Основной шрифт абзаца1"/>
    <w:link w:val="Style_24_ch"/>
  </w:style>
  <w:style w:styleId="Style_24_ch" w:type="character">
    <w:name w:val="Основной шрифт абзаца1"/>
    <w:link w:val="Style_24"/>
  </w:style>
  <w:style w:styleId="Style_25" w:type="paragraph">
    <w:name w:val="Subtitle"/>
    <w:next w:val="Style_4"/>
    <w:link w:val="Style_25_ch"/>
    <w:uiPriority w:val="11"/>
    <w:qFormat/>
    <w:pPr>
      <w:ind/>
      <w:jc w:val="both"/>
    </w:pPr>
    <w:rPr>
      <w:rFonts w:ascii="XO Thames" w:hAnsi="XO Thames"/>
      <w:i w:val="1"/>
    </w:rPr>
  </w:style>
  <w:style w:styleId="Style_25_ch" w:type="character">
    <w:name w:val="Subtitle"/>
    <w:link w:val="Style_25"/>
    <w:rPr>
      <w:rFonts w:ascii="XO Thames" w:hAnsi="XO Thames"/>
      <w:i w:val="1"/>
    </w:rPr>
  </w:style>
  <w:style w:styleId="Style_26" w:type="paragraph">
    <w:name w:val="Title"/>
    <w:next w:val="Style_4"/>
    <w:link w:val="Style_26_ch"/>
    <w:uiPriority w:val="10"/>
    <w:qFormat/>
    <w:pPr>
      <w:spacing w:after="567" w:before="567"/>
      <w:ind/>
      <w:jc w:val="center"/>
    </w:pPr>
    <w:rPr>
      <w:rFonts w:ascii="XO Thames" w:hAnsi="XO Thames"/>
      <w:b w:val="1"/>
      <w:caps w:val="1"/>
      <w:sz w:val="40"/>
    </w:rPr>
  </w:style>
  <w:style w:styleId="Style_26_ch" w:type="character">
    <w:name w:val="Title"/>
    <w:link w:val="Style_26"/>
    <w:rPr>
      <w:rFonts w:ascii="XO Thames" w:hAnsi="XO Thames"/>
      <w:b w:val="1"/>
      <w:caps w:val="1"/>
      <w:sz w:val="40"/>
    </w:rPr>
  </w:style>
  <w:style w:styleId="Style_27" w:type="paragraph">
    <w:name w:val="heading 4"/>
    <w:next w:val="Style_4"/>
    <w:link w:val="Style_27_ch"/>
    <w:uiPriority w:val="9"/>
    <w:qFormat/>
    <w:pPr>
      <w:spacing w:after="120" w:before="120"/>
      <w:ind/>
      <w:jc w:val="both"/>
      <w:outlineLvl w:val="3"/>
    </w:pPr>
    <w:rPr>
      <w:rFonts w:ascii="XO Thames" w:hAnsi="XO Thames"/>
      <w:b w:val="1"/>
    </w:rPr>
  </w:style>
  <w:style w:styleId="Style_27_ch" w:type="character">
    <w:name w:val="heading 4"/>
    <w:link w:val="Style_27"/>
    <w:rPr>
      <w:rFonts w:ascii="XO Thames" w:hAnsi="XO Thames"/>
      <w:b w:val="1"/>
    </w:rPr>
  </w:style>
  <w:style w:styleId="Style_28" w:type="paragraph">
    <w:name w:val="heading 2"/>
    <w:next w:val="Style_4"/>
    <w:link w:val="Style_28_ch"/>
    <w:uiPriority w:val="9"/>
    <w:qFormat/>
    <w:pPr>
      <w:spacing w:after="120" w:before="120"/>
      <w:ind/>
      <w:jc w:val="both"/>
      <w:outlineLvl w:val="1"/>
    </w:pPr>
    <w:rPr>
      <w:rFonts w:ascii="XO Thames" w:hAnsi="XO Thames"/>
      <w:b w:val="1"/>
      <w:sz w:val="28"/>
    </w:rPr>
  </w:style>
  <w:style w:styleId="Style_28_ch" w:type="character">
    <w:name w:val="heading 2"/>
    <w:link w:val="Style_28"/>
    <w:rPr>
      <w:rFonts w:ascii="XO Thames" w:hAnsi="XO Thames"/>
      <w:b w:val="1"/>
      <w:sz w:val="28"/>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2023-11-17T08:51:11Z</dcterms:modified>
</cp:coreProperties>
</file>