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2"/>
      </w:tblGrid>
      <w:tr w:rsidR="00BC445E" w:rsidRPr="00B91961">
        <w:trPr>
          <w:trHeight w:val="4252"/>
        </w:trPr>
        <w:tc>
          <w:tcPr>
            <w:tcW w:w="9992" w:type="dxa"/>
          </w:tcPr>
          <w:p w:rsidR="00BC445E" w:rsidRPr="00121FE8" w:rsidRDefault="00BC445E" w:rsidP="00AF4A8C">
            <w:pPr>
              <w:pStyle w:val="af0"/>
              <w:ind w:right="-414"/>
              <w:rPr>
                <w:b/>
                <w:szCs w:val="28"/>
              </w:rPr>
            </w:pPr>
            <w:r w:rsidRPr="00121FE8">
              <w:rPr>
                <w:b/>
                <w:szCs w:val="28"/>
              </w:rPr>
              <w:t>РОССИЙСКАЯ ФЕДЕРАЦИЯ</w:t>
            </w:r>
          </w:p>
          <w:p w:rsidR="00BC445E" w:rsidRPr="00121FE8" w:rsidRDefault="00BC445E" w:rsidP="00AF4A8C">
            <w:pPr>
              <w:pStyle w:val="af0"/>
              <w:ind w:right="-414"/>
              <w:rPr>
                <w:b/>
                <w:bCs/>
                <w:szCs w:val="28"/>
              </w:rPr>
            </w:pPr>
            <w:r w:rsidRPr="00121FE8">
              <w:rPr>
                <w:b/>
                <w:szCs w:val="28"/>
              </w:rPr>
              <w:t>РОСТОВСКАЯ ОБЛАСТЬ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КУЙБЫШЕВСКИЙ РАЙОН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МУНИЦИПАЛЬНОЕ ОБРАЗОВАНИЕ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br/>
              <w:t xml:space="preserve">   «КУЙБЫШЕВСКОЕ СЕЛЬСКОЕ ПОСЕЛЕНИЕ»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АДМИНИСТРАЦИЯ </w:t>
            </w:r>
            <w:proofErr w:type="gramStart"/>
            <w:r w:rsidRPr="00121FE8">
              <w:rPr>
                <w:rFonts w:ascii="Times New Roman" w:hAnsi="Times New Roman"/>
                <w:b/>
                <w:bCs/>
                <w:sz w:val="28"/>
              </w:rPr>
              <w:t>КУЙБЫШЕВСКОГО</w:t>
            </w:r>
            <w:proofErr w:type="gramEnd"/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СЕЛЬСКОГО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ПОСЕЛЕНИЯ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  <w:p w:rsidR="00BC445E" w:rsidRPr="00C96294" w:rsidRDefault="00BC445E" w:rsidP="00C66F5E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ab/>
            </w:r>
            <w:r w:rsidR="00C66F5E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C66F5E"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>.201</w:t>
            </w:r>
            <w:r w:rsidR="00AF28A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</w:t>
            </w:r>
            <w:r w:rsidR="00FF2FAA">
              <w:rPr>
                <w:rFonts w:ascii="Times New Roman" w:hAnsi="Times New Roman"/>
                <w:b/>
                <w:bCs/>
                <w:sz w:val="28"/>
              </w:rPr>
              <w:t xml:space="preserve">          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№ </w:t>
            </w:r>
            <w:r w:rsidR="009C3353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66F5E">
              <w:rPr>
                <w:rFonts w:ascii="Times New Roman" w:hAnsi="Times New Roman"/>
                <w:b/>
                <w:bCs/>
                <w:sz w:val="28"/>
              </w:rPr>
              <w:t>98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</w:t>
            </w:r>
            <w:r w:rsidR="00FF2FAA">
              <w:rPr>
                <w:rFonts w:ascii="Times New Roman" w:hAnsi="Times New Roman"/>
                <w:b/>
                <w:bCs/>
                <w:sz w:val="28"/>
              </w:rPr>
              <w:t xml:space="preserve">     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               с.Куйбышево</w:t>
            </w:r>
          </w:p>
        </w:tc>
      </w:tr>
    </w:tbl>
    <w:p w:rsidR="00BC445E" w:rsidRPr="00B91961" w:rsidRDefault="00BC445E" w:rsidP="00BC44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Куйбышевского сельского поселения от 26.08.2013 № 312</w:t>
      </w:r>
    </w:p>
    <w:p w:rsidR="00BC445E" w:rsidRPr="00B91961" w:rsidRDefault="00BC445E" w:rsidP="00BC4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45E" w:rsidRDefault="00BC445E" w:rsidP="00BC445E">
      <w:pPr>
        <w:jc w:val="both"/>
        <w:rPr>
          <w:rFonts w:ascii="Times New Roman" w:hAnsi="Times New Roman"/>
          <w:sz w:val="28"/>
          <w:szCs w:val="28"/>
        </w:rPr>
      </w:pPr>
      <w:r w:rsidRPr="00B91961">
        <w:rPr>
          <w:rFonts w:ascii="Times New Roman" w:hAnsi="Times New Roman"/>
          <w:sz w:val="28"/>
          <w:szCs w:val="28"/>
        </w:rPr>
        <w:t xml:space="preserve">           </w:t>
      </w:r>
      <w:r w:rsidRPr="00F720DA">
        <w:rPr>
          <w:rFonts w:ascii="Times New Roman" w:hAnsi="Times New Roman"/>
          <w:kern w:val="2"/>
          <w:sz w:val="28"/>
          <w:szCs w:val="28"/>
        </w:rPr>
        <w:t xml:space="preserve">Во исполнение подпункта 2 пункта 5 Перечня поручений по реализации Послания Президента Российской Федерации Федеральному Собранию Российской Федерации от 12.12.2013 № Пр-3086 Правительство Ростовской области </w:t>
      </w:r>
      <w:r w:rsidRPr="00F720DA">
        <w:rPr>
          <w:rFonts w:ascii="Times New Roman" w:hAnsi="Times New Roman"/>
          <w:sz w:val="28"/>
          <w:szCs w:val="28"/>
        </w:rPr>
        <w:t xml:space="preserve">и во исполнение постановления Правительства Ростовской области от 03.07.2014 </w:t>
      </w:r>
      <w:r w:rsidRPr="00F720DA">
        <w:rPr>
          <w:rFonts w:ascii="Times New Roman" w:hAnsi="Times New Roman"/>
          <w:sz w:val="28"/>
          <w:szCs w:val="28"/>
        </w:rPr>
        <w:sym w:font="Times New Roman" w:char="2116"/>
      </w:r>
      <w:r w:rsidRPr="00F720DA">
        <w:rPr>
          <w:rFonts w:ascii="Times New Roman" w:hAnsi="Times New Roman"/>
          <w:sz w:val="28"/>
          <w:szCs w:val="28"/>
        </w:rPr>
        <w:t xml:space="preserve"> 478</w:t>
      </w:r>
    </w:p>
    <w:p w:rsidR="00BC445E" w:rsidRPr="00B91961" w:rsidRDefault="00BC445E" w:rsidP="00BC44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961">
        <w:rPr>
          <w:rFonts w:ascii="Times New Roman" w:hAnsi="Times New Roman"/>
          <w:b/>
          <w:sz w:val="28"/>
          <w:szCs w:val="28"/>
        </w:rPr>
        <w:t>ПОСТАНОВЛЯЮ:</w:t>
      </w:r>
    </w:p>
    <w:p w:rsidR="00BC445E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DA">
        <w:rPr>
          <w:rFonts w:ascii="Times New Roman" w:hAnsi="Times New Roman"/>
          <w:kern w:val="2"/>
          <w:sz w:val="28"/>
          <w:szCs w:val="28"/>
        </w:rPr>
        <w:t xml:space="preserve">Внести в приложение к постановлению </w:t>
      </w:r>
      <w:r w:rsidRPr="009739DA">
        <w:rPr>
          <w:rFonts w:ascii="Times New Roman" w:hAnsi="Times New Roman"/>
          <w:sz w:val="28"/>
          <w:szCs w:val="28"/>
        </w:rPr>
        <w:t>Администрации Куйбышевского сельского поселения от 26.08.2013 № 312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>
        <w:rPr>
          <w:rFonts w:ascii="Times New Roman" w:hAnsi="Times New Roman"/>
          <w:kern w:val="2"/>
          <w:sz w:val="28"/>
          <w:szCs w:val="28"/>
        </w:rPr>
        <w:t>Куйбышевском сельском поселении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» </w:t>
      </w:r>
      <w:proofErr w:type="gramStart"/>
      <w:r w:rsidRPr="009739DA">
        <w:rPr>
          <w:rFonts w:ascii="Times New Roman" w:hAnsi="Times New Roman"/>
          <w:kern w:val="2"/>
          <w:sz w:val="28"/>
          <w:szCs w:val="28"/>
        </w:rPr>
        <w:t>изменени</w:t>
      </w:r>
      <w:r>
        <w:rPr>
          <w:rFonts w:ascii="Times New Roman" w:hAnsi="Times New Roman"/>
          <w:kern w:val="2"/>
          <w:sz w:val="28"/>
          <w:szCs w:val="28"/>
        </w:rPr>
        <w:t>е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изложив его в редакции 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 согласно приложению.</w:t>
      </w:r>
    </w:p>
    <w:p w:rsidR="00BC445E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39">
        <w:rPr>
          <w:rFonts w:ascii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сектора экономики и финансов</w:t>
      </w:r>
      <w:r w:rsidRPr="0042508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425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25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Терещенко С.Н.)</w:t>
      </w:r>
      <w:r w:rsidRPr="00425083">
        <w:rPr>
          <w:rFonts w:ascii="Times New Roman" w:hAnsi="Times New Roman"/>
          <w:sz w:val="28"/>
          <w:szCs w:val="28"/>
        </w:rPr>
        <w:t xml:space="preserve">  при подготовке проекта бюджета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425083">
        <w:rPr>
          <w:rFonts w:ascii="Times New Roman" w:hAnsi="Times New Roman"/>
          <w:sz w:val="28"/>
          <w:szCs w:val="28"/>
        </w:rPr>
        <w:t>на очередной финансовый год и плановы</w:t>
      </w:r>
      <w:r>
        <w:rPr>
          <w:rFonts w:ascii="Times New Roman" w:hAnsi="Times New Roman"/>
          <w:sz w:val="28"/>
          <w:szCs w:val="28"/>
        </w:rPr>
        <w:t xml:space="preserve">й период учитывать мероприятия, </w:t>
      </w:r>
      <w:r w:rsidRPr="00425083">
        <w:rPr>
          <w:rFonts w:ascii="Times New Roman" w:hAnsi="Times New Roman"/>
          <w:sz w:val="28"/>
          <w:szCs w:val="28"/>
        </w:rPr>
        <w:t>предусмотренные Планом.</w:t>
      </w:r>
    </w:p>
    <w:p w:rsidR="00BC445E" w:rsidRPr="009739DA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D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bCs/>
          <w:sz w:val="28"/>
          <w:szCs w:val="28"/>
        </w:rPr>
        <w:t>момента официального опубликования.</w:t>
      </w:r>
    </w:p>
    <w:p w:rsidR="00BC445E" w:rsidRPr="00121FE8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1F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1FE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C445E" w:rsidRPr="00121FE8" w:rsidRDefault="00BC445E" w:rsidP="00BC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8A1" w:rsidRDefault="00AF28A1" w:rsidP="00AF28A1">
      <w:pPr>
        <w:pStyle w:val="a8"/>
        <w:ind w:firstLine="502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AF28A1" w:rsidRPr="00497117" w:rsidRDefault="00AF28A1" w:rsidP="00AF28A1">
      <w:pPr>
        <w:pStyle w:val="a8"/>
        <w:ind w:firstLine="502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         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BC445E" w:rsidRDefault="00BC445E" w:rsidP="00BC445E">
      <w:pPr>
        <w:pStyle w:val="a8"/>
        <w:rPr>
          <w:bCs/>
          <w:szCs w:val="28"/>
        </w:rPr>
      </w:pPr>
    </w:p>
    <w:p w:rsidR="00BC445E" w:rsidRPr="00D4095A" w:rsidRDefault="00BC445E" w:rsidP="00BC445E">
      <w:pPr>
        <w:pStyle w:val="a8"/>
        <w:rPr>
          <w:bCs/>
          <w:szCs w:val="28"/>
        </w:rPr>
      </w:pPr>
      <w:r w:rsidRPr="00D4095A">
        <w:rPr>
          <w:bCs/>
          <w:szCs w:val="28"/>
        </w:rPr>
        <w:t xml:space="preserve">                                                                   </w:t>
      </w:r>
    </w:p>
    <w:p w:rsidR="00BC445E" w:rsidRPr="00D4095A" w:rsidRDefault="00BC445E" w:rsidP="00BC445E">
      <w:pPr>
        <w:pStyle w:val="a8"/>
        <w:jc w:val="both"/>
        <w:rPr>
          <w:sz w:val="20"/>
        </w:rPr>
      </w:pPr>
      <w:r w:rsidRPr="00D4095A">
        <w:rPr>
          <w:bCs/>
          <w:sz w:val="20"/>
        </w:rPr>
        <w:t xml:space="preserve"> </w:t>
      </w:r>
      <w:r w:rsidR="00AF28A1">
        <w:rPr>
          <w:bCs/>
          <w:sz w:val="20"/>
        </w:rPr>
        <w:tab/>
      </w:r>
      <w:r w:rsidRPr="00D4095A">
        <w:rPr>
          <w:bCs/>
          <w:sz w:val="20"/>
        </w:rPr>
        <w:t>Постановление вносит ведущий специалист</w:t>
      </w:r>
      <w:r w:rsidRPr="00D4095A">
        <w:rPr>
          <w:sz w:val="20"/>
        </w:rPr>
        <w:t xml:space="preserve"> </w:t>
      </w:r>
    </w:p>
    <w:p w:rsidR="00BC445E" w:rsidRPr="00D4095A" w:rsidRDefault="00BC445E" w:rsidP="00BC445E">
      <w:pPr>
        <w:pStyle w:val="a8"/>
        <w:jc w:val="both"/>
        <w:rPr>
          <w:bCs/>
          <w:sz w:val="20"/>
        </w:rPr>
      </w:pPr>
      <w:r w:rsidRPr="00D4095A">
        <w:rPr>
          <w:sz w:val="20"/>
        </w:rPr>
        <w:t xml:space="preserve"> </w:t>
      </w:r>
      <w:r w:rsidR="00AF28A1">
        <w:rPr>
          <w:sz w:val="20"/>
        </w:rPr>
        <w:tab/>
      </w:r>
      <w:r w:rsidRPr="00D4095A">
        <w:rPr>
          <w:sz w:val="20"/>
        </w:rPr>
        <w:t xml:space="preserve">по социальным вопросам, культуре и спорту                                                                       </w:t>
      </w:r>
    </w:p>
    <w:p w:rsidR="00BC445E" w:rsidRDefault="00BC445E" w:rsidP="00BC445E">
      <w:pPr>
        <w:ind w:left="5770"/>
        <w:rPr>
          <w:rFonts w:ascii="Times New Roman" w:hAnsi="Times New Roman"/>
          <w:sz w:val="24"/>
          <w:szCs w:val="24"/>
        </w:rPr>
      </w:pPr>
    </w:p>
    <w:p w:rsidR="00BC445E" w:rsidRPr="00425083" w:rsidRDefault="00BC445E" w:rsidP="00BC445E">
      <w:pPr>
        <w:ind w:left="5770"/>
        <w:rPr>
          <w:rFonts w:ascii="Times New Roman" w:hAnsi="Times New Roman"/>
          <w:sz w:val="24"/>
          <w:szCs w:val="24"/>
        </w:rPr>
      </w:pPr>
      <w:r w:rsidRPr="0042508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8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Куйбышевског</w:t>
      </w:r>
      <w:r w:rsidR="00AF28A1">
        <w:rPr>
          <w:rFonts w:ascii="Times New Roman" w:hAnsi="Times New Roman"/>
          <w:sz w:val="24"/>
          <w:szCs w:val="24"/>
        </w:rPr>
        <w:t>о       сельского поселения</w:t>
      </w:r>
      <w:r w:rsidR="00AF28A1">
        <w:rPr>
          <w:rFonts w:ascii="Times New Roman" w:hAnsi="Times New Roman"/>
          <w:sz w:val="24"/>
          <w:szCs w:val="24"/>
        </w:rPr>
        <w:br/>
        <w:t xml:space="preserve">от </w:t>
      </w:r>
      <w:r w:rsidR="00C66F5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C66F5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AF28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6F5E">
        <w:rPr>
          <w:rFonts w:ascii="Times New Roman" w:hAnsi="Times New Roman"/>
          <w:sz w:val="24"/>
          <w:szCs w:val="24"/>
        </w:rPr>
        <w:t>398</w:t>
      </w:r>
    </w:p>
    <w:p w:rsidR="00BC445E" w:rsidRPr="00425083" w:rsidRDefault="00BC445E" w:rsidP="00BC445E">
      <w:pPr>
        <w:ind w:left="5770"/>
        <w:rPr>
          <w:rFonts w:ascii="Times New Roman" w:hAnsi="Times New Roman"/>
          <w:sz w:val="24"/>
          <w:szCs w:val="24"/>
        </w:rPr>
      </w:pPr>
      <w:r w:rsidRPr="00425083">
        <w:rPr>
          <w:rFonts w:ascii="Times New Roman" w:hAnsi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8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Куйбышевского       сельского поселения</w:t>
      </w:r>
      <w:r>
        <w:rPr>
          <w:rFonts w:ascii="Times New Roman" w:hAnsi="Times New Roman"/>
          <w:sz w:val="24"/>
          <w:szCs w:val="24"/>
        </w:rPr>
        <w:br/>
        <w:t>от 26.08.2013 № 312</w:t>
      </w:r>
    </w:p>
    <w:p w:rsidR="008A6CBD" w:rsidRPr="007E167C" w:rsidRDefault="008A6CBD" w:rsidP="008A6CBD">
      <w:pPr>
        <w:ind w:firstLine="5954"/>
        <w:jc w:val="right"/>
        <w:rPr>
          <w:rFonts w:ascii="Times New Roman" w:hAnsi="Times New Roman"/>
          <w:sz w:val="24"/>
          <w:szCs w:val="24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(«дорожная карта»)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«Изменения в отраслях социальной сферы, направленные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повышение эффективности сферы культуры в Куйбышевском </w:t>
      </w:r>
      <w:r w:rsidR="00BC445E"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сельском поселении</w:t>
      </w: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разработки «дорожной карты»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Куйбышевском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» (далее – «дорожная карта») являются: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жизни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их творческой самореализации;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для устойчивого развития сферы культуры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достойной </w:t>
      </w:r>
      <w:proofErr w:type="gramStart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proofErr w:type="gramEnd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результат повышения качества и количества оказываемых 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развитие и сохранение кадрового потенциала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престижности и привлекательности профессий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обеспечение доступа граждан к культурным ценностям и участию в культурной жизни;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воспитание (формирование) подрастающего поколения в духе культурных традиций Российской Федерации и Ростовской области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Куйбышевского района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Куйбышевского 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развития творческих способностей и социализации современной молодежи.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CBD" w:rsidRPr="00FF2FAA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2. Проведение структурных реформ в сфере культуры</w:t>
      </w:r>
    </w:p>
    <w:p w:rsidR="008A6CBD" w:rsidRPr="00FF2FAA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В рамках структурных реформ предусматриваются: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и расширение спектра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услуг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сохранности и осуществление популяризации многонационального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культурного наследия народов России;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равного доступа населения к услугам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повышения качества и конкурентоспособности услуг, предоставляемых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м 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традиционной народной культуры, народных художественных промыслов;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осуществление компьютеризации и информатизации учреждени</w:t>
      </w:r>
      <w:r w:rsidR="00BC44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модернизации и развитие инфраструктуры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достижений и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BC445E"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на российский и мировой культурный уровень;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совершенствования организационных, </w:t>
      </w:r>
      <w:proofErr w:type="gramStart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экономических и правовых механизмов</w:t>
      </w:r>
      <w:proofErr w:type="gramEnd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сферы культуры.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3. Целевые показатели (индикаторы) развития сферы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 и меры, обеспечивающие их достижение</w:t>
      </w:r>
    </w:p>
    <w:p w:rsidR="008A6CBD" w:rsidRPr="00206553" w:rsidRDefault="008A6CBD" w:rsidP="008A6CBD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. Коэффициент динамики количества библиографических записей в сводном электронном каталоге библиотек Ростовской области, в том числе включенных в Сводный электронный каталог библиотек России (по сравнению с  предыдущим годом):  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</w:tbl>
    <w:p w:rsidR="008A6CBD" w:rsidRPr="00206553" w:rsidRDefault="008A6CBD" w:rsidP="008A6CB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3.1.2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Доля объектов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собственности:</w:t>
      </w:r>
    </w:p>
    <w:p w:rsidR="008A6CBD" w:rsidRPr="00206553" w:rsidRDefault="008A6CBD" w:rsidP="008A6CBD">
      <w:pPr>
        <w:widowControl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bCs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0"/>
        <w:gridCol w:w="1475"/>
        <w:gridCol w:w="1475"/>
        <w:gridCol w:w="1475"/>
        <w:gridCol w:w="1475"/>
        <w:gridCol w:w="1476"/>
        <w:gridCol w:w="1476"/>
      </w:tblGrid>
      <w:tr w:rsidR="008A6CBD" w:rsidRPr="00206553">
        <w:tc>
          <w:tcPr>
            <w:tcW w:w="162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62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A6CBD" w:rsidRPr="00206553" w:rsidRDefault="008A6CBD" w:rsidP="008A6CBD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3.1.3</w:t>
      </w:r>
      <w:r w:rsidRPr="0020655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Увеличение численности участников культурно-досуговых мероприятий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сравнению с предыдущим годом):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6,4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3.1.4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. Доля муниципальных библиотек, подключенных к информационно-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коммуникационной сети «Интернет», в общем количестве библиотек Ростовской области: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7E167C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E167C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E167C">
        <w:rPr>
          <w:rFonts w:ascii="Times New Roman" w:hAnsi="Times New Roman"/>
          <w:sz w:val="28"/>
          <w:szCs w:val="28"/>
          <w:lang w:eastAsia="ru-RU"/>
        </w:rPr>
        <w:t xml:space="preserve">. Увеличение посещаемости учреждений культуры (по отношению к 2013 году):                                                                                            </w:t>
      </w:r>
      <w:r w:rsidRPr="00634DF1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7E16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7E167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7E167C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A6CBD" w:rsidRPr="007E167C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3.1.6. У</w:t>
      </w:r>
      <w:r w:rsidRPr="007E167C">
        <w:rPr>
          <w:rFonts w:ascii="Times New Roman" w:hAnsi="Times New Roman"/>
          <w:sz w:val="28"/>
          <w:szCs w:val="28"/>
          <w:lang w:eastAsia="ru-RU"/>
        </w:rPr>
        <w:t>величение количества предоставляемых дополнительных услуг учреждениями культуры (по отношению к 2013 году):</w:t>
      </w:r>
    </w:p>
    <w:p w:rsidR="008A6CBD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1F37AB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5657DB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A6CBD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3.1.7. Оптимизация численности работников учреждени</w:t>
      </w:r>
      <w:r w:rsidR="00FC7918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1F37AB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5657DB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3.2.1. Создание механизма стимулирования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до средней заработной платы в Ростовской области  в соответствии с </w:t>
      </w:r>
      <w:hyperlink r:id="rId9" w:history="1">
        <w:r w:rsidRPr="00206553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3.2.3. Обновление квалификационных требований к работникам, переобучение,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8A6CBD" w:rsidRPr="004B01E7" w:rsidRDefault="008A6CBD" w:rsidP="008A6C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Реорганизация неэффективн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учреждени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культуры, оптимизация и реструктуризация учреждени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культуры». </w:t>
      </w:r>
    </w:p>
    <w:p w:rsidR="008A6CBD" w:rsidRPr="00FF2FAA" w:rsidRDefault="008A6CBD" w:rsidP="008A6C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Мероприятия по совершенствованию оплаты</w:t>
      </w:r>
    </w:p>
    <w:p w:rsidR="008A6CBD" w:rsidRPr="00FF2FAA" w:rsidRDefault="008A6CBD" w:rsidP="008A6C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труда работников учреждени</w:t>
      </w:r>
      <w:r w:rsidR="00BC445E"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культуры</w:t>
      </w:r>
    </w:p>
    <w:p w:rsidR="008A6CBD" w:rsidRPr="00206553" w:rsidRDefault="008A6CBD" w:rsidP="008A6C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4.1. Разработка и проведение мероприятий по совершенствованию </w:t>
      </w:r>
      <w:proofErr w:type="gramStart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осуществляться в соответствии с распоряжением Правительства Российской Федерации от 28.12.2012 № 2606-р.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4.2. Показателями (индикаторами), характеризующими эффективность мероприятий по совершенствованию оплаты труда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являются: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4.2.1. Динамика примерных (индикативных) значений соотношения средней заработной платы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повышение оплаты труда которых предусмотрено Указом Президента Российской </w:t>
      </w: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 от 07.05.2012 № 597 «О мероприятиях по реализации государственной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политики», и средней заработной платы в Ростовской области: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1789"/>
        <w:gridCol w:w="1491"/>
        <w:gridCol w:w="1490"/>
        <w:gridCol w:w="1770"/>
        <w:gridCol w:w="2272"/>
      </w:tblGrid>
      <w:tr w:rsidR="008A6CBD" w:rsidRPr="00B01908"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8A6CBD" w:rsidRPr="00B01908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0190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83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160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B01908">
        <w:trPr>
          <w:trHeight w:val="70"/>
        </w:trPr>
        <w:tc>
          <w:tcPr>
            <w:tcW w:w="1701" w:type="dxa"/>
          </w:tcPr>
          <w:p w:rsidR="008A6CBD" w:rsidRPr="006A4245" w:rsidRDefault="00FA256B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701" w:type="dxa"/>
          </w:tcPr>
          <w:p w:rsidR="008A6CBD" w:rsidRPr="006A4245" w:rsidRDefault="00B01908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418" w:type="dxa"/>
          </w:tcPr>
          <w:p w:rsidR="008A6CBD" w:rsidRPr="00B01908" w:rsidRDefault="006A4245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417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683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A6CBD" w:rsidRPr="00B01908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4.2.2. Среднемесячная заработная плата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1789"/>
        <w:gridCol w:w="1491"/>
        <w:gridCol w:w="1490"/>
        <w:gridCol w:w="1641"/>
        <w:gridCol w:w="2401"/>
      </w:tblGrid>
      <w:tr w:rsidR="008A6CBD" w:rsidRPr="007E167C"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3" w:colLast="5"/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8A6CBD" w:rsidRPr="00B01908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0190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83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7E167C">
        <w:tc>
          <w:tcPr>
            <w:tcW w:w="1701" w:type="dxa"/>
          </w:tcPr>
          <w:p w:rsidR="008A6CBD" w:rsidRPr="006A4245" w:rsidRDefault="00FA256B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12836,88</w:t>
            </w:r>
          </w:p>
        </w:tc>
        <w:tc>
          <w:tcPr>
            <w:tcW w:w="1701" w:type="dxa"/>
          </w:tcPr>
          <w:p w:rsidR="008A6CBD" w:rsidRPr="006A4245" w:rsidRDefault="00B01908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16298,91</w:t>
            </w:r>
          </w:p>
        </w:tc>
        <w:tc>
          <w:tcPr>
            <w:tcW w:w="1418" w:type="dxa"/>
          </w:tcPr>
          <w:p w:rsidR="008A6CBD" w:rsidRPr="00B01908" w:rsidRDefault="008C3FB0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17517,44</w:t>
            </w:r>
          </w:p>
        </w:tc>
        <w:tc>
          <w:tcPr>
            <w:tcW w:w="1417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23194,0</w:t>
            </w:r>
          </w:p>
        </w:tc>
        <w:tc>
          <w:tcPr>
            <w:tcW w:w="1560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31019,0</w:t>
            </w:r>
          </w:p>
        </w:tc>
        <w:tc>
          <w:tcPr>
            <w:tcW w:w="2283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34028,0</w:t>
            </w:r>
          </w:p>
        </w:tc>
      </w:tr>
      <w:bookmarkEnd w:id="0"/>
    </w:tbl>
    <w:p w:rsidR="00206553" w:rsidRPr="004C2406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8022C" w:rsidRPr="00FF2FAA" w:rsidRDefault="00BC445E" w:rsidP="00E8022C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8022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5. Основные мероприятия,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 xml:space="preserve">направленные на повышение эффективности и качества предоставляемых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>услуг в сфере культуры, связанные с переходом на эффективный контракт</w:t>
      </w:r>
    </w:p>
    <w:p w:rsidR="00E8022C" w:rsidRPr="00E8022C" w:rsidRDefault="00E8022C" w:rsidP="00E8022C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94"/>
        <w:gridCol w:w="2517"/>
        <w:gridCol w:w="2369"/>
        <w:gridCol w:w="1778"/>
      </w:tblGrid>
      <w:tr w:rsidR="00E8022C" w:rsidRPr="00E8022C">
        <w:trPr>
          <w:tblCellSpacing w:w="5" w:type="nil"/>
        </w:trPr>
        <w:tc>
          <w:tcPr>
            <w:tcW w:w="371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3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05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Ответственный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1655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Сроки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</w:tbl>
    <w:p w:rsidR="00E8022C" w:rsidRPr="00E8022C" w:rsidRDefault="00E8022C" w:rsidP="00E8022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7"/>
        <w:gridCol w:w="2520"/>
        <w:gridCol w:w="2375"/>
        <w:gridCol w:w="1796"/>
      </w:tblGrid>
      <w:tr w:rsidR="00E8022C" w:rsidRPr="00E8022C">
        <w:trPr>
          <w:tblHeader/>
          <w:tblCellSpacing w:w="5" w:type="nil"/>
        </w:trPr>
        <w:tc>
          <w:tcPr>
            <w:tcW w:w="5524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E8022C" w:rsidRPr="00E8022C">
        <w:trPr>
          <w:tblCellSpacing w:w="5" w:type="nil"/>
        </w:trPr>
        <w:tc>
          <w:tcPr>
            <w:tcW w:w="14740" w:type="dxa"/>
            <w:gridSpan w:val="4"/>
          </w:tcPr>
          <w:p w:rsidR="00E8022C" w:rsidRPr="00E8022C" w:rsidRDefault="00E8022C" w:rsidP="00E802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Мероприятия по совершенствованию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оплаты труда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работников му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</w:t>
            </w:r>
            <w:proofErr w:type="gramEnd"/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BC445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показателей эффективности деятельности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BC445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BC445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туры, их руководителей и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ботников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BC445E"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2013 год, 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E8022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ями культуры планов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приятий по повышению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 (по согласованию с министерством культуры Ростовской области). Оказа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методической и консуль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тативной помощи органам местного самоуправления по разработке показателей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работников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учреждений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AF28A1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E0A1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систем норми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рования труда в 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учреждениях культуры с учетом типовых (межотрас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левых) норм труда, методиче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ских рекомендаций, утвержденных приказом Минтруда России от 30.09.2013 № 504 «Об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ждении методических реко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мендаций по разработке си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стем нормирования труда в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учреждениях»</w:t>
            </w:r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17075D"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224A0" w:rsidRPr="00E8022C">
        <w:trPr>
          <w:tblCellSpacing w:w="5" w:type="nil"/>
        </w:trPr>
        <w:tc>
          <w:tcPr>
            <w:tcW w:w="5524" w:type="dxa"/>
          </w:tcPr>
          <w:p w:rsidR="00C224A0" w:rsidRPr="00E8022C" w:rsidRDefault="00221FFE" w:rsidP="001E0A1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Внедрение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учреждений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исполнительнительских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искусств на основе методических рекомендаций Минкультуры России с учётом необходимости качественного оказания муниципальных услуг (выполнения работ)</w:t>
            </w:r>
          </w:p>
        </w:tc>
        <w:tc>
          <w:tcPr>
            <w:tcW w:w="3481" w:type="dxa"/>
          </w:tcPr>
          <w:p w:rsidR="00C224A0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C224A0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C224A0" w:rsidRPr="00E8022C" w:rsidRDefault="009D623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2014-2018 годы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7075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анализа уровня и динамики заработ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 работников 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культуры, повышение заработной платы которых предусмот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рено Указом Президента Рос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сийской Федерации от 07.05.2012 № 597, с учетом ситуации на рынке труда, в том числе в части дефицита (избытка), с целью недопуще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ния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отставания от установленных целевых пока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зателей динамики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шения заработной платы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ботников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  <w:proofErr w:type="gramEnd"/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потребность в 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полнительных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сурсах на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 заработ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7075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lastRenderedPageBreak/>
              <w:t>Внедрение нормати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вно-</w:t>
            </w:r>
            <w:proofErr w:type="spellStart"/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подушевого</w:t>
            </w:r>
            <w:proofErr w:type="spellEnd"/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финансирования в 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муници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ом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и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softHyphen/>
              <w:t>туры</w:t>
            </w:r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1E0A1C" w:rsidP="001E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1.7.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мероприя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по поиску внутренних резервов учреждений куль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для повышения заработ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платы: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корректировка штатной чис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ленности учреждений путем вывода непрофильных функ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ций на аутсорсинг;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исключение дублирующих структур в соответствии с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тодическими рекомендаци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ями;</w:t>
            </w:r>
          </w:p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примерных поло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жений по оплате труда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культуры, связанных с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шением оплаты труда</w:t>
            </w:r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2015 – 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2018 годы</w:t>
            </w:r>
          </w:p>
        </w:tc>
      </w:tr>
      <w:tr w:rsidR="00E8022C" w:rsidRPr="00E8022C">
        <w:trPr>
          <w:tblCellSpacing w:w="5" w:type="nil"/>
        </w:trPr>
        <w:tc>
          <w:tcPr>
            <w:tcW w:w="14740" w:type="dxa"/>
            <w:gridSpan w:val="4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 Создание прозрачного механизма оплаты труда руководителей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методики оценки дея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тельности руководителя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ного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учреждения культуры, осуществляющего деятель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ность на территории Ростов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ской области, для расчета премии и стимулирующей надбавки к должностному окладу,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предусматривающей в качестве одного из крите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риев оценки деятельности руководи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теля для осущест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вления сти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мулирующих выплат соотно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 средней заработной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данного учреждения со средней зара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ботной платой в Ростовской области, и проведение мони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торинга за соблюдением дан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требования в</w:t>
            </w:r>
            <w:proofErr w:type="gramEnd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нии</w:t>
            </w:r>
            <w:proofErr w:type="gramEnd"/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Организация мероприя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по представлению руко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водителями учреждений све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 о доходах, об имуществе и обязательствах имущественного характера руководителя, его супруга (супруги) и несовершенно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летних детей, а также гражданами, претендую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щими на занятие соответ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ющих должностей, и разме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щение их в </w:t>
            </w:r>
            <w:r w:rsidRPr="00E8022C">
              <w:rPr>
                <w:rFonts w:ascii="Times New Roman" w:eastAsia="Times New Roman" w:hAnsi="Times New Roman"/>
                <w:spacing w:val="-6"/>
                <w:kern w:val="2"/>
                <w:sz w:val="28"/>
                <w:szCs w:val="28"/>
                <w:lang w:eastAsia="ru-RU"/>
              </w:rPr>
              <w:t>информационно-телекоммуни</w:t>
            </w:r>
            <w:r w:rsidRPr="00E8022C">
              <w:rPr>
                <w:rFonts w:ascii="Times New Roman" w:eastAsia="Times New Roman" w:hAnsi="Times New Roman"/>
                <w:spacing w:val="-6"/>
                <w:kern w:val="2"/>
                <w:sz w:val="28"/>
                <w:szCs w:val="28"/>
                <w:lang w:eastAsia="ru-RU"/>
              </w:rPr>
              <w:softHyphen/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кационной сети «Интернет»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сведения о дохо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дах,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размещение в ин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формационно-те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лекоммуникаци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онной сети «Интернет» 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100-процентных све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дений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FE07A3" w:rsidRPr="00E8022C">
        <w:trPr>
          <w:tblCellSpacing w:w="5" w:type="nil"/>
        </w:trPr>
        <w:tc>
          <w:tcPr>
            <w:tcW w:w="5524" w:type="dxa"/>
          </w:tcPr>
          <w:p w:rsidR="00FE07A3" w:rsidRPr="00E8022C" w:rsidRDefault="00FE07A3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проверок</w:t>
            </w:r>
            <w:r w:rsidR="002C5BE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достоверности и полноты сведений о доходах, об имуществе и обязательствах имущественного характера руководителя муниципального учреждения культуры, осуществляющего деятельность на территории Куйбышевского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3481" w:type="dxa"/>
          </w:tcPr>
          <w:p w:rsidR="00FE07A3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Акты проверок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FE07A3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FE07A3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5E554A">
            <w:pPr>
              <w:tabs>
                <w:tab w:val="left" w:pos="0"/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2.4. Мероприятия по приведе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нию трудовых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воров руководителей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в соответствие с типовой формой трудового договора, утвержденной постановлением Правитель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ства Российской Федерации от 12.04.2013 № 329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«О типо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вой форме трудового 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говора с руководителем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учреждения»</w:t>
            </w:r>
          </w:p>
        </w:tc>
        <w:tc>
          <w:tcPr>
            <w:tcW w:w="3481" w:type="dxa"/>
          </w:tcPr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трудовые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воры (дополни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тельные соглаше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ния) (100 процентов)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 2013 году 100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центов, </w:t>
            </w:r>
          </w:p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далее – вновь принятых руководите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лей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кадрового потенциала работников учреждений культуры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17075D">
            <w:pPr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показателей эффективности деятельности работников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муниципальн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  <w:proofErr w:type="gramEnd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и заключение трудовых договоров</w:t>
            </w:r>
          </w:p>
        </w:tc>
        <w:tc>
          <w:tcPr>
            <w:tcW w:w="3481" w:type="dxa"/>
          </w:tcPr>
          <w:p w:rsidR="002C5BEB" w:rsidRPr="00E8022C" w:rsidRDefault="002C5BEB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трудовые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воры с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ками 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2013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2015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квал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ифика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ции, переподготовка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 с целью обеспе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чения соответствия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 современным квалифика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ционным требованиям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фессионального уровня персонала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pageBreakBefore/>
              <w:numPr>
                <w:ilvl w:val="1"/>
                <w:numId w:val="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33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Проведение аттестации работников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муниципальных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 культуры с последую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щим их переводом на «эф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фективный контракт» в соот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ветствии с рекомендациями, утвержденными приказом Минтруда России от 26.04.2013 № 167н «Об утверждении рекомендаций по оформлению трудовых 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ношений с работниками 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 при введении эффективного кон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тракта»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каче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ства предостав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ляемых услуг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2014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2015 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33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профессио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нальных стандартов в сфере культуры, актуализация тре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бований и компетенций, не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обходимых для оказания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услуг (выполнения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бот), (должностных инст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рук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ций, регламентов), орга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ция соответствующей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фессиональной пере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подго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товки и повышение квалифи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кации работников 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учреждений, наряду с совершен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ствованием системы оплаты труда и разработкой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системы оценки эффективно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сти деятельности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</w:t>
            </w:r>
            <w:proofErr w:type="gramEnd"/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вовые акты Мини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стерства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Российской Федерации, мини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стерства культуры Ростов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ской области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Куйбышевского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сельск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поселени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2015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2018 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17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3.5. Разработка основных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ложений о порядке формиро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вания аттестационных комис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сий, проведения аттес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тации работников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туры, осуществляющих дея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тельность для органов мест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самоуправления</w:t>
            </w:r>
          </w:p>
        </w:tc>
        <w:tc>
          <w:tcPr>
            <w:tcW w:w="3481" w:type="dxa"/>
          </w:tcPr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7E5809" w:rsidRDefault="002C5BEB" w:rsidP="007E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7E580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полугодие</w:t>
            </w:r>
          </w:p>
          <w:p w:rsidR="002C5BEB" w:rsidRPr="00E8022C" w:rsidRDefault="002C5BEB" w:rsidP="007E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3.6. Обеспечение дифферен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циации оплаты труда основ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и прочего персонала, оптимизация расходов на административно-управленческий и вспомога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тельный персонал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культуры, осу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ществляющих деятельность, с учетом предельной доли расходов на оплату их труда в фонде оплаты труда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ждения – не более 40 процен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тов</w:t>
            </w:r>
          </w:p>
        </w:tc>
        <w:tc>
          <w:tcPr>
            <w:tcW w:w="3481" w:type="dxa"/>
          </w:tcPr>
          <w:p w:rsidR="002C5BEB" w:rsidRPr="00E8022C" w:rsidRDefault="00D97640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поддержание установленной доли расходов на оплату труда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3.7. Обеспечение соотноше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 средней заработной платы основного и вспомога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тельного персонала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до 1:0,7-0,5 с учетом типа учреждения</w:t>
            </w:r>
          </w:p>
        </w:tc>
        <w:tc>
          <w:tcPr>
            <w:tcW w:w="3481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информация в 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Отдел культуры</w:t>
            </w:r>
            <w:r w:rsidR="00D97640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Администрации Куйбышевского района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поддержание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отношения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ежегодно, начиная с 2015 года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D97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Неза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висимая оценка качества работы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4.1. Обеспечение координа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ции работы по реализации в 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Куйбышевском сельском поселении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независимой </w:t>
            </w:r>
            <w:proofErr w:type="gramStart"/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стемы оценки качества ра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боты муни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  <w:proofErr w:type="gramEnd"/>
          </w:p>
        </w:tc>
        <w:tc>
          <w:tcPr>
            <w:tcW w:w="3481" w:type="dxa"/>
            <w:shd w:val="clear" w:color="auto" w:fill="auto"/>
          </w:tcPr>
          <w:p w:rsidR="002C5BEB" w:rsidRPr="00E8022C" w:rsidRDefault="00D97640" w:rsidP="00B007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4.2. Формирование обще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ственного совета по проведе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нию независимой </w:t>
            </w:r>
            <w:proofErr w:type="gramStart"/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оценки ка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чества работы 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ия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  <w:proofErr w:type="gramEnd"/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составле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нию рейтингов с участием общественных организаций, профессиональных сооб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ществ и независимых экспер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тов</w:t>
            </w:r>
          </w:p>
        </w:tc>
        <w:tc>
          <w:tcPr>
            <w:tcW w:w="3481" w:type="dxa"/>
            <w:shd w:val="clear" w:color="auto" w:fill="auto"/>
          </w:tcPr>
          <w:p w:rsidR="00D97640" w:rsidRDefault="00D97640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  <w:p w:rsidR="002C5BEB" w:rsidRPr="00E8022C" w:rsidRDefault="002C5BEB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здании общест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венного совета, утверждение его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состава и положе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2014 год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4.3. Обеспечение организаци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онно-техниче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ского сопровождения дея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тельности муниципаль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  <w:shd w:val="clear" w:color="auto" w:fill="auto"/>
          </w:tcPr>
          <w:p w:rsidR="00D97640" w:rsidRDefault="00D97640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здании общест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венного совета, утверждение его состава и положе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4.4. 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информация о проведении неза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висимой оценки</w:t>
            </w:r>
          </w:p>
        </w:tc>
        <w:tc>
          <w:tcPr>
            <w:tcW w:w="3276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социально </w:t>
            </w:r>
            <w:proofErr w:type="spellStart"/>
            <w:proofErr w:type="gramStart"/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ориенти-рованные</w:t>
            </w:r>
            <w:proofErr w:type="spellEnd"/>
            <w:proofErr w:type="gramEnd"/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некоммерческие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4.5. Обеспечение открытости и доступности информации о деятельности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активиза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ция участия социально ори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ентированных некоммерче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ских организаций в проведе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нии независимой оценки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создание офици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сайт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туры, размещение информации на сайт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="002C5BEB"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, за</w:t>
            </w:r>
            <w:r w:rsidR="002C5BEB"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интересованные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4.6. Проведение мониторинга работы му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формирование не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зависимой оценки качества работы му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составление рей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тингов их деятельности в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ответствии с принятыми нор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мативными и методическими документами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публикация рей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тингов деятельно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сти, разработка и утверждение пла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нов работы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4.7. Проведение информаци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онной кампании в средствах массовой информации, в том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числе с использованием ин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формационно-телекоммуни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кационной сети «Интернет», о функционировании незави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симой оценки качества  муниципаль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повышение ин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формированности потребителей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услуг и обще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ственности о про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ведении незави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симой оценки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Мониторинг достижения целевых показателей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средней заработной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ников отрасли культуры, определенных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Указом Президента Российской Фе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дерации от 07.05.2012 № 597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t>«О мероприятиях по реализации государственной социальной политики»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5.1. Обеспечение проведения мониторинга реализации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роприятий по повышению оплаты труда, предусмотрен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ных в «дорожной карте»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информация в 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Администрацию </w:t>
            </w:r>
            <w:r w:rsidR="00DC3A50"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</w:t>
            </w:r>
            <w:r w:rsidR="00DC3A50">
              <w:rPr>
                <w:rFonts w:ascii="Times New Roman" w:hAnsi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 раза в год </w:t>
            </w:r>
          </w:p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5.2. 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разъясни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тельной работы в трудовых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коллективах с участием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профсоюзных организаций о мероприятиях, реализуемых в рамках региональных «до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рожных карт», в том числе мерах по повышению оплаты труда, с привлечением широ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кой общественности и проф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союзов, в том числе проведе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конференций, семина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ров, встреч, собраний трудо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вых коллективов; анализ об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ращений работников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ждений, ответы на вопросы, в том числе в средствах мас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совой информации и на сай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тах;</w:t>
            </w:r>
            <w:proofErr w:type="gramEnd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обсуждение хода реали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зации региональной «дорож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карты» на заседаниях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гиональной трехсторонней комиссии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семи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наров, совеща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ний; публикации в средствах мас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совой информа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и в информа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ционно-телеком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муникационной сети «Интернет»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профсоюзные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5.3. Обеспечение представле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 форм федерального ста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тистического наблюдения за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показателями заработной платы категорий работников, повышение оплаты труда 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торых предусмотрено Указом Президента Российской Фе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дерации от 07.05.2012 № 597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формы статисти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ческого наблюде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ежеквар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тально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4A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5.4. Мониторинг реализации органами местного само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управления Ростовской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об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ласти </w:t>
            </w:r>
            <w:hyperlink r:id="rId10" w:history="1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поэтапного совершен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ствования системы оплаты труда</w:t>
            </w:r>
            <w:proofErr w:type="gramEnd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в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учреждениях на 2012 – 2018 годы,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жденной распоряжением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вительства Российской Федерации от 26.11.2012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№ 2190-р «Об утверждении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граммы поэтапного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вершенствования системы оплаты труда в государствен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ных (муниципальных)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ждениях на 2012 – 2018 годы»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</w:t>
            </w:r>
            <w:proofErr w:type="gramEnd"/>
          </w:p>
          <w:p w:rsidR="002C5BEB" w:rsidRPr="00E8022C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Администрацию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ежегодно,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 января и</w:t>
            </w:r>
          </w:p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 июля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Сопровождение «дорожной карты»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6.1. 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 планов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приятий по повышению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учреждений в части оказания услуг на основе целевых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казателей деятельности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ждений, совершенствования оплаты труда, включая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приятия по повышению оплаты труда, по согласова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нию с министерством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Ростовской области</w:t>
            </w:r>
          </w:p>
        </w:tc>
        <w:tc>
          <w:tcPr>
            <w:tcW w:w="3481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локальные акты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</w:tcPr>
          <w:p w:rsidR="002C5BEB" w:rsidRPr="00E8022C" w:rsidRDefault="002C5BEB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квартал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DC3A50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6.2. Обеспечение деятельно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сти постоянно действующей рабочей группы </w:t>
            </w:r>
            <w:r w:rsid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Куйбышевского сельского поселения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 оценке реализации мероприятий по повышению оплаты труда 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работников муници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паль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</w:t>
            </w:r>
            <w:r w:rsidR="00DC3A50"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туры, осуществляющих дея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тель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ность на территории Ростов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ской области, и оценке ре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зультатов реализации «до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рожной карты»</w:t>
            </w:r>
          </w:p>
        </w:tc>
        <w:tc>
          <w:tcPr>
            <w:tcW w:w="3481" w:type="dxa"/>
          </w:tcPr>
          <w:p w:rsidR="002C5BEB" w:rsidRPr="00DC3A50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протоколы засе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даний рабочей группы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DC3A50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DC3A50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6.3. Уточнение потребности в дополнительных ресурсах на повышение заработной платы работников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 с учетом воз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можного привлечения не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нее трети средств за счет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организации неэффективн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81" w:type="dxa"/>
          </w:tcPr>
          <w:p w:rsidR="002C5BEB" w:rsidRPr="00E8022C" w:rsidRDefault="00DC3A50" w:rsidP="00DC3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ин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формация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рекомен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дации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6B5A52" w:rsidRPr="00E8022C">
        <w:trPr>
          <w:tblCellSpacing w:w="5" w:type="nil"/>
        </w:trPr>
        <w:tc>
          <w:tcPr>
            <w:tcW w:w="5524" w:type="dxa"/>
          </w:tcPr>
          <w:p w:rsidR="006B5A52" w:rsidRPr="00E8022C" w:rsidRDefault="006B5A52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6.4.Проведение предварительного анализа уровня и динамики заработной платы работников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карты») «Изменения в отраслях социальной сферы, направленные на повышение эффективности сферы культуры», </w:t>
            </w:r>
            <w:r w:rsidR="0057719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утвержденным</w:t>
            </w:r>
            <w:proofErr w:type="gramEnd"/>
            <w:r w:rsidR="0057719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57719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распоряжением Пра</w:t>
            </w:r>
            <w:r w:rsidR="008A6CB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вительства Российской Федерации от 28.12.2012 № 2606-р, и региональной «дорожной картой» целевых показателей динамики повышения заработной платы работников </w:t>
            </w:r>
            <w:proofErr w:type="spellStart"/>
            <w:r w:rsidR="008A6CB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учреждений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proofErr w:type="spellEnd"/>
            <w:r w:rsidR="008A6CB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</w:tcPr>
          <w:p w:rsidR="006B5A52" w:rsidRPr="00E8022C" w:rsidRDefault="008A6CBD" w:rsidP="004A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Аналитическая информация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6B5A52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6B5A52" w:rsidRPr="00E8022C" w:rsidRDefault="008A6CBD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27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6.5. </w:t>
            </w:r>
            <w:proofErr w:type="gramStart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Расчет потребности и учет при формировании бюд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жета расходов на повышение заработной платы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работников в соответствии с планами-графиками реализа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Указа Президента Рос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сийской Федерации от 07.05.2012 № 597, в части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вышения оплаты труда в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ответствии с Методикой оценки потребности в допол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нительных финансовых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сурсах в соответствии с Ука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зом, с учетом возможного привлечения не менее трети средств за счет реорганиза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неэффективн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proofErr w:type="gramEnd"/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проекты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тивных правовых актов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уста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навливающих расходные обяза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тельства</w:t>
            </w:r>
          </w:p>
          <w:p w:rsidR="002C5BEB" w:rsidRPr="00E8022C" w:rsidRDefault="00277993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t>6.6. Обеспечение методиче</w:t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ского руководства по внесе</w:t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нию органами местного самоуправления изменений в муниципальные «дорожные карты» в сфере культуры</w:t>
            </w:r>
          </w:p>
        </w:tc>
        <w:tc>
          <w:tcPr>
            <w:tcW w:w="3481" w:type="dxa"/>
          </w:tcPr>
          <w:p w:rsidR="002C5BEB" w:rsidRPr="00E8022C" w:rsidRDefault="00277993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проекты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тивных правовых актов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277993" w:rsidRDefault="00277993" w:rsidP="002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277993" w:rsidP="002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 xml:space="preserve">II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2428A2" w:rsidRDefault="002C5BEB" w:rsidP="002428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6.7. Корректировка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«Развитие культуры и туризма», утвержденной постановлением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Pr="0024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7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4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.10.2013 № </w:t>
            </w:r>
            <w:r w:rsidR="00277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</w:t>
            </w:r>
          </w:p>
          <w:p w:rsidR="002C5BEB" w:rsidRPr="00E8022C" w:rsidRDefault="002C5BEB" w:rsidP="002428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 «Об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ждении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граммы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«Развитие культуры и туризма»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в части соответствия включенных в нее мероприя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мероприятиям «дорож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карты»</w:t>
            </w:r>
          </w:p>
        </w:tc>
        <w:tc>
          <w:tcPr>
            <w:tcW w:w="3481" w:type="dxa"/>
          </w:tcPr>
          <w:p w:rsidR="002C5BEB" w:rsidRPr="00E8022C" w:rsidRDefault="002C5BEB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276" w:type="dxa"/>
          </w:tcPr>
          <w:p w:rsidR="002C5BEB" w:rsidRPr="00E8022C" w:rsidRDefault="00277993" w:rsidP="00E8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.,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ежегодно».</w:t>
            </w:r>
          </w:p>
        </w:tc>
      </w:tr>
    </w:tbl>
    <w:p w:rsidR="00206553" w:rsidRPr="004C2406" w:rsidRDefault="00206553" w:rsidP="002428A2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1E0A1C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sectPr w:rsidR="00277993" w:rsidSect="00BC445E">
          <w:footerReference w:type="even" r:id="rId11"/>
          <w:footerReference w:type="default" r:id="rId12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77993" w:rsidRPr="005457A3" w:rsidRDefault="00277993" w:rsidP="00277993">
      <w:pPr>
        <w:tabs>
          <w:tab w:val="left" w:pos="6586"/>
          <w:tab w:val="left" w:pos="7706"/>
          <w:tab w:val="left" w:pos="10481"/>
          <w:tab w:val="left" w:pos="11334"/>
        </w:tabs>
        <w:ind w:left="9356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«Приложение </w:t>
      </w: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Pr="00B4643C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t>»</w:t>
      </w:r>
    </w:p>
    <w:p w:rsidR="001E0A1C" w:rsidRPr="00BD1A0F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1E0A1C" w:rsidRPr="00BD1A0F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1E0A1C" w:rsidRPr="00FF2FAA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ПОКАЗАТЕЛИ </w:t>
      </w:r>
    </w:p>
    <w:p w:rsidR="001E0A1C" w:rsidRPr="00FF2FAA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нормативов муниципальной «дорожной карты» </w:t>
      </w:r>
    </w:p>
    <w:p w:rsidR="00FA256B" w:rsidRPr="00BD1A0F" w:rsidRDefault="00FA256B" w:rsidP="00FA256B">
      <w:pPr>
        <w:tabs>
          <w:tab w:val="left" w:pos="5353"/>
        </w:tabs>
        <w:spacing w:after="0" w:line="240" w:lineRule="auto"/>
        <w:ind w:left="-176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u w:val="single"/>
          <w:lang w:eastAsia="ru-RU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984"/>
        <w:gridCol w:w="1129"/>
        <w:gridCol w:w="1148"/>
        <w:gridCol w:w="1134"/>
        <w:gridCol w:w="1134"/>
        <w:gridCol w:w="1134"/>
        <w:gridCol w:w="992"/>
        <w:gridCol w:w="1133"/>
        <w:gridCol w:w="1134"/>
      </w:tblGrid>
      <w:tr w:rsidR="00FA256B" w:rsidRPr="00BD1A0F">
        <w:tc>
          <w:tcPr>
            <w:tcW w:w="56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96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20"/>
                <w:kern w:val="2"/>
                <w:sz w:val="28"/>
                <w:szCs w:val="28"/>
                <w:lang w:eastAsia="ru-RU"/>
              </w:rPr>
              <w:t xml:space="preserve">2012 год, 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29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2013 год,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факт</w:t>
            </w:r>
          </w:p>
        </w:tc>
        <w:tc>
          <w:tcPr>
            <w:tcW w:w="114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8"/>
                <w:szCs w:val="28"/>
                <w:lang w:eastAsia="ru-RU"/>
              </w:rPr>
              <w:t>2014 год –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2016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8"/>
                <w:szCs w:val="28"/>
                <w:lang w:eastAsia="ru-RU"/>
              </w:rPr>
              <w:t>2013 год –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2018 год</w:t>
            </w:r>
          </w:p>
        </w:tc>
      </w:tr>
    </w:tbl>
    <w:p w:rsidR="00FA256B" w:rsidRPr="00BD1A0F" w:rsidRDefault="00FA256B" w:rsidP="00FA256B">
      <w:pPr>
        <w:spacing w:after="0" w:line="240" w:lineRule="auto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985"/>
        <w:gridCol w:w="1129"/>
        <w:gridCol w:w="1147"/>
        <w:gridCol w:w="1134"/>
        <w:gridCol w:w="1134"/>
        <w:gridCol w:w="1134"/>
        <w:gridCol w:w="992"/>
        <w:gridCol w:w="1133"/>
        <w:gridCol w:w="1134"/>
      </w:tblGrid>
      <w:tr w:rsidR="00FA256B" w:rsidRPr="00BD1A0F">
        <w:trPr>
          <w:tblHeader/>
        </w:trPr>
        <w:tc>
          <w:tcPr>
            <w:tcW w:w="56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Норматив числа получателей услуг на 1 работника учреждения культуры 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(по среднесписочной численности работников)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Число получателей услуг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7777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3035FF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7534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7504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7474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Среднесписочная численность работников учреждения культуры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DE41F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Численность населения Куйбышевского сельского поселения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7777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DE41F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7534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7504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7474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Соотношение средней заработной платы работников учреждений культуры и средней заработной платы в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Ростовской области: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Куйбышевскому сельскому поселению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Средняя заработная плата по Ростовской области (рублей)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19444,1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21616,6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23735,03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24707,5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28147,65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31018,7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34027,5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Среднемесячная заработная плата работников учреждения культуры (рублей)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9772,53</w:t>
            </w:r>
          </w:p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12836,88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16298,91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8C3FB0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17517,44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23194,0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31019,0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34028,0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132,4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Доля от средств от приносящей доход деятельности в фонде заработной платы по работникам учреждения культуры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Размер начислений на фонд оплаты труда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>2595,7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3610,2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4023,6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4214,9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7D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5472,0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7172,7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7709,0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13710,5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32202,4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Прирост фонда оплаты труда с начис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лениями по отношению к 2013 году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1945,7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1932,9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2550,4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6123,5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b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средств бюджета Куйбышевского сельского поселения, включая дотацию из областного бюджета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172,2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1751,1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1739,6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563,1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2295,3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5612,5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369,7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480,3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950,7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реструктуризации сети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108,7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159,5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600,0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сокращения и оптимизации расходов на содержание учреждения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-473,0</w:t>
            </w:r>
          </w:p>
        </w:tc>
        <w:tc>
          <w:tcPr>
            <w:tcW w:w="1134" w:type="dxa"/>
            <w:shd w:val="clear" w:color="auto" w:fill="auto"/>
          </w:tcPr>
          <w:p w:rsidR="00FA256B" w:rsidRPr="00FE5199" w:rsidRDefault="00FE5199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FE5199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-76,8</w:t>
            </w:r>
          </w:p>
        </w:tc>
        <w:tc>
          <w:tcPr>
            <w:tcW w:w="1134" w:type="dxa"/>
            <w:shd w:val="clear" w:color="auto" w:fill="auto"/>
          </w:tcPr>
          <w:p w:rsidR="00FA256B" w:rsidRPr="00FE5199" w:rsidRDefault="00FE5199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FE5199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196,7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-31,2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350,7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средств от приносящей доход деятельности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194,6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193,3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511,0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иных источников (решений), включая корректировку бюджета Куйбышевского сельского поселения на соответствующий год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Итого, объем средств, предусмотренный на повышение оплаты труда (тыс. рублей)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(стр. 18 + 23 + 24)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161,3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1945,7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1932,9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2550,4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6123,5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(стр. 19/стр. 25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 xml:space="preserve"> x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100%)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21,1</w:t>
            </w:r>
          </w:p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17,9</w:t>
            </w:r>
          </w:p>
        </w:tc>
      </w:tr>
    </w:tbl>
    <w:p w:rsidR="00FA256B" w:rsidRPr="007D2121" w:rsidRDefault="00FA256B" w:rsidP="00FA256B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A256B" w:rsidRPr="007D2121" w:rsidRDefault="00FA256B" w:rsidP="00FA256B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Pr="007D2121" w:rsidRDefault="00277993" w:rsidP="001E0A1C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F28A1" w:rsidRPr="007D2121" w:rsidRDefault="00AF28A1" w:rsidP="00AF28A1">
      <w:pPr>
        <w:pStyle w:val="a8"/>
        <w:rPr>
          <w:bCs/>
          <w:szCs w:val="28"/>
        </w:rPr>
      </w:pPr>
      <w:r w:rsidRPr="007D2121">
        <w:rPr>
          <w:bCs/>
          <w:szCs w:val="28"/>
        </w:rPr>
        <w:t xml:space="preserve">Глава Администрации </w:t>
      </w:r>
    </w:p>
    <w:p w:rsidR="00AF28A1" w:rsidRPr="007D2121" w:rsidRDefault="00AF28A1" w:rsidP="00AF28A1">
      <w:pPr>
        <w:pStyle w:val="a8"/>
        <w:rPr>
          <w:bCs/>
          <w:szCs w:val="28"/>
        </w:rPr>
      </w:pPr>
      <w:r w:rsidRPr="007D2121">
        <w:rPr>
          <w:bCs/>
          <w:szCs w:val="28"/>
        </w:rPr>
        <w:t xml:space="preserve">Куйбышевского сельского поселения                        </w:t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  <w:t xml:space="preserve">                         И.И.Хворостов                                                                      </w:t>
      </w:r>
    </w:p>
    <w:p w:rsidR="001E0A1C" w:rsidRPr="007D2121" w:rsidRDefault="001E0A1C" w:rsidP="001E0A1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D10403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BC5DC0" w:rsidSect="002779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53" w:rsidRDefault="00906D53">
      <w:pPr>
        <w:spacing w:after="0" w:line="240" w:lineRule="auto"/>
      </w:pPr>
      <w:r>
        <w:separator/>
      </w:r>
    </w:p>
  </w:endnote>
  <w:endnote w:type="continuationSeparator" w:id="0">
    <w:p w:rsidR="00906D53" w:rsidRDefault="009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Default="008C3FB0" w:rsidP="00040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FB0" w:rsidRDefault="008C3F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Default="008C3FB0" w:rsidP="00040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245">
      <w:rPr>
        <w:rStyle w:val="a5"/>
        <w:noProof/>
      </w:rPr>
      <w:t>8</w:t>
    </w:r>
    <w:r>
      <w:rPr>
        <w:rStyle w:val="a5"/>
      </w:rPr>
      <w:fldChar w:fldCharType="end"/>
    </w:r>
  </w:p>
  <w:p w:rsidR="008C3FB0" w:rsidRPr="00C73C56" w:rsidRDefault="008C3FB0" w:rsidP="00040EB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53" w:rsidRDefault="00906D53">
      <w:pPr>
        <w:spacing w:after="0" w:line="240" w:lineRule="auto"/>
      </w:pPr>
      <w:r>
        <w:separator/>
      </w:r>
    </w:p>
  </w:footnote>
  <w:footnote w:type="continuationSeparator" w:id="0">
    <w:p w:rsidR="00906D53" w:rsidRDefault="0090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hint="default"/>
      </w:rPr>
    </w:lvl>
  </w:abstractNum>
  <w:abstractNum w:abstractNumId="1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9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F77"/>
    <w:multiLevelType w:val="multilevel"/>
    <w:tmpl w:val="A6B4C3D0"/>
    <w:lvl w:ilvl="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B56C01"/>
    <w:multiLevelType w:val="multilevel"/>
    <w:tmpl w:val="6B60A83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3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7AB"/>
    <w:rsid w:val="00004574"/>
    <w:rsid w:val="00025F3E"/>
    <w:rsid w:val="00040EB3"/>
    <w:rsid w:val="000C2ED4"/>
    <w:rsid w:val="000D2FED"/>
    <w:rsid w:val="0017075D"/>
    <w:rsid w:val="001E0A1C"/>
    <w:rsid w:val="001F37AB"/>
    <w:rsid w:val="00206553"/>
    <w:rsid w:val="00221FFE"/>
    <w:rsid w:val="00242112"/>
    <w:rsid w:val="002428A2"/>
    <w:rsid w:val="00277993"/>
    <w:rsid w:val="002C5BEB"/>
    <w:rsid w:val="003035FF"/>
    <w:rsid w:val="003202F1"/>
    <w:rsid w:val="00427D65"/>
    <w:rsid w:val="00485CBA"/>
    <w:rsid w:val="004A48FF"/>
    <w:rsid w:val="004B01E7"/>
    <w:rsid w:val="004C2406"/>
    <w:rsid w:val="005657DB"/>
    <w:rsid w:val="0057719B"/>
    <w:rsid w:val="005D1C2C"/>
    <w:rsid w:val="005E554A"/>
    <w:rsid w:val="0063162A"/>
    <w:rsid w:val="00634DF1"/>
    <w:rsid w:val="00681433"/>
    <w:rsid w:val="006A4245"/>
    <w:rsid w:val="006B5A52"/>
    <w:rsid w:val="007A3604"/>
    <w:rsid w:val="007C509C"/>
    <w:rsid w:val="007D2121"/>
    <w:rsid w:val="007E167C"/>
    <w:rsid w:val="007E5809"/>
    <w:rsid w:val="0082548D"/>
    <w:rsid w:val="00832214"/>
    <w:rsid w:val="00897685"/>
    <w:rsid w:val="008A6CBD"/>
    <w:rsid w:val="008C3FB0"/>
    <w:rsid w:val="008C45A3"/>
    <w:rsid w:val="008D7836"/>
    <w:rsid w:val="00906D53"/>
    <w:rsid w:val="00976DDE"/>
    <w:rsid w:val="009949F6"/>
    <w:rsid w:val="009C3353"/>
    <w:rsid w:val="009D092D"/>
    <w:rsid w:val="009D41C8"/>
    <w:rsid w:val="009D623C"/>
    <w:rsid w:val="00A32CC0"/>
    <w:rsid w:val="00A72416"/>
    <w:rsid w:val="00AD4DD4"/>
    <w:rsid w:val="00AF28A1"/>
    <w:rsid w:val="00AF4A8C"/>
    <w:rsid w:val="00AF5B56"/>
    <w:rsid w:val="00B00729"/>
    <w:rsid w:val="00B01908"/>
    <w:rsid w:val="00BB3387"/>
    <w:rsid w:val="00BC445E"/>
    <w:rsid w:val="00BC5DC0"/>
    <w:rsid w:val="00BD1A0F"/>
    <w:rsid w:val="00C224A0"/>
    <w:rsid w:val="00C57049"/>
    <w:rsid w:val="00C65F1A"/>
    <w:rsid w:val="00C66F5E"/>
    <w:rsid w:val="00C7076A"/>
    <w:rsid w:val="00CF22C7"/>
    <w:rsid w:val="00D10403"/>
    <w:rsid w:val="00D21CA6"/>
    <w:rsid w:val="00D23D9C"/>
    <w:rsid w:val="00D77C27"/>
    <w:rsid w:val="00D97640"/>
    <w:rsid w:val="00DB2C64"/>
    <w:rsid w:val="00DC3A50"/>
    <w:rsid w:val="00DD4885"/>
    <w:rsid w:val="00DD64FF"/>
    <w:rsid w:val="00DE41FC"/>
    <w:rsid w:val="00E26C0D"/>
    <w:rsid w:val="00E8022C"/>
    <w:rsid w:val="00E95937"/>
    <w:rsid w:val="00EF1CDB"/>
    <w:rsid w:val="00F5478F"/>
    <w:rsid w:val="00FA256B"/>
    <w:rsid w:val="00FC0BB0"/>
    <w:rsid w:val="00FC7918"/>
    <w:rsid w:val="00FD2F74"/>
    <w:rsid w:val="00FE07A3"/>
    <w:rsid w:val="00FE5199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02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022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6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6553"/>
    <w:rPr>
      <w:sz w:val="22"/>
      <w:szCs w:val="22"/>
      <w:lang w:eastAsia="en-US"/>
    </w:rPr>
  </w:style>
  <w:style w:type="character" w:styleId="a5">
    <w:name w:val="page number"/>
    <w:rsid w:val="00206553"/>
  </w:style>
  <w:style w:type="paragraph" w:styleId="a6">
    <w:name w:val="Balloon Text"/>
    <w:basedOn w:val="a"/>
    <w:link w:val="a7"/>
    <w:uiPriority w:val="99"/>
    <w:unhideWhenUsed/>
    <w:rsid w:val="007E1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E167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E8022C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E8022C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E8022C"/>
  </w:style>
  <w:style w:type="paragraph" w:styleId="a8">
    <w:name w:val="Body Text"/>
    <w:basedOn w:val="a"/>
    <w:link w:val="a9"/>
    <w:uiPriority w:val="99"/>
    <w:rsid w:val="00E8022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uiPriority w:val="99"/>
    <w:rsid w:val="00E8022C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E802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E8022C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E802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E802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E8022C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E8022C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rsid w:val="00E8022C"/>
    <w:rPr>
      <w:rFonts w:ascii="Century Schoolbook" w:hAnsi="Century Schoolbook" w:cs="Century Schoolbook"/>
      <w:sz w:val="28"/>
      <w:szCs w:val="28"/>
    </w:rPr>
  </w:style>
  <w:style w:type="paragraph" w:customStyle="1" w:styleId="ConsPlusNonformat">
    <w:name w:val="ConsPlusNonformat"/>
    <w:uiPriority w:val="99"/>
    <w:rsid w:val="00E8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802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8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E8022C"/>
    <w:pPr>
      <w:ind w:left="720"/>
      <w:contextualSpacing/>
    </w:pPr>
  </w:style>
  <w:style w:type="paragraph" w:customStyle="1" w:styleId="ConsPlusNormal">
    <w:name w:val="ConsPlusNormal"/>
    <w:rsid w:val="00E802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8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E802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BC44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C445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F19848EF4C661AB52B4CC0F1E7B129AF4D65900F3F3DD8ACAADCA8D9CADBA5FD686BC88E31405Di6F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0D32ECD682B7BE19888FB8263C926518E8966FB104E5818A81315940PE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1336-0183-4983-94BA-00A8C17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consultantplus://offline/ref=1CF19848EF4C661AB52B4CC0F1E7B129AF4D65900F3F3DD8ACAADCA8D9CADBA5FD686BC88E31405Di6F0F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consultantplus://offline/ref=430D32ECD682B7BE19888FB8263C926518E8966FB104E5818A81315940PEn5M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kab7</cp:lastModifiedBy>
  <cp:revision>9</cp:revision>
  <cp:lastPrinted>2016-01-15T08:06:00Z</cp:lastPrinted>
  <dcterms:created xsi:type="dcterms:W3CDTF">2016-01-15T08:11:00Z</dcterms:created>
  <dcterms:modified xsi:type="dcterms:W3CDTF">2016-01-15T08:57:00Z</dcterms:modified>
</cp:coreProperties>
</file>