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3.xml"/>
  <Override ContentType="application/vnd.openxmlformats-officedocument.wordprocessingml.footer+xml" PartName="/word/footer6.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9000000">
      <w:pPr>
        <w:pStyle w:val="Style_3"/>
        <w:spacing w:line="276" w:lineRule="auto"/>
        <w:ind/>
        <w:jc w:val="center"/>
        <w:rPr>
          <w:b w:val="1"/>
          <w:sz w:val="28"/>
        </w:rPr>
      </w:pPr>
      <w:r>
        <w:rPr>
          <w:b w:val="1"/>
          <w:sz w:val="28"/>
        </w:rPr>
        <w:t>РОССИЙСКАЯ ФЕДЕРАЦИЯ</w:t>
      </w:r>
    </w:p>
    <w:p w14:paraId="0A000000">
      <w:pPr>
        <w:pStyle w:val="Style_3"/>
        <w:spacing w:line="276" w:lineRule="auto"/>
        <w:ind/>
        <w:jc w:val="center"/>
        <w:rPr>
          <w:b w:val="1"/>
          <w:sz w:val="28"/>
        </w:rPr>
      </w:pPr>
      <w:r>
        <w:rPr>
          <w:b w:val="1"/>
          <w:sz w:val="28"/>
        </w:rPr>
        <w:t>РОСТОВСКАЯ ОБЛАСТЬ</w:t>
      </w:r>
    </w:p>
    <w:p w14:paraId="0B000000">
      <w:pPr>
        <w:pStyle w:val="Style_3"/>
        <w:spacing w:line="276" w:lineRule="auto"/>
        <w:ind/>
        <w:jc w:val="center"/>
        <w:rPr>
          <w:b w:val="1"/>
          <w:sz w:val="28"/>
        </w:rPr>
      </w:pPr>
      <w:r>
        <w:rPr>
          <w:b w:val="1"/>
          <w:sz w:val="28"/>
        </w:rPr>
        <w:t>КУЙБЫШЕВСКИЙ РАЙОН</w:t>
      </w:r>
    </w:p>
    <w:p w14:paraId="0C000000">
      <w:pPr>
        <w:pStyle w:val="Style_3"/>
        <w:spacing w:line="276" w:lineRule="auto"/>
        <w:ind/>
        <w:jc w:val="center"/>
        <w:rPr>
          <w:b w:val="1"/>
          <w:sz w:val="28"/>
        </w:rPr>
      </w:pPr>
      <w:r>
        <w:rPr>
          <w:b w:val="1"/>
          <w:sz w:val="28"/>
        </w:rPr>
        <w:t>МУНИЦИПАЛЬНОЕ ОБРАЗОВАНИЕ</w:t>
      </w:r>
    </w:p>
    <w:p w14:paraId="0D000000">
      <w:pPr>
        <w:pStyle w:val="Style_3"/>
        <w:spacing w:line="276" w:lineRule="auto"/>
        <w:ind/>
        <w:jc w:val="center"/>
        <w:rPr>
          <w:b w:val="1"/>
          <w:sz w:val="28"/>
        </w:rPr>
      </w:pPr>
      <w:r>
        <w:rPr>
          <w:b w:val="1"/>
          <w:sz w:val="28"/>
        </w:rPr>
        <w:t>«КУЙБЫШЕВСКОЕ СЕЛЬСКОЕ ПОСЕЛЕНИЕ»</w:t>
      </w:r>
    </w:p>
    <w:p w14:paraId="0E000000">
      <w:pPr>
        <w:pStyle w:val="Style_3"/>
        <w:spacing w:line="276" w:lineRule="auto"/>
        <w:ind/>
        <w:jc w:val="center"/>
        <w:rPr>
          <w:b w:val="1"/>
          <w:sz w:val="28"/>
        </w:rPr>
      </w:pPr>
    </w:p>
    <w:p w14:paraId="0F000000">
      <w:pPr>
        <w:pStyle w:val="Style_3"/>
        <w:spacing w:line="276" w:lineRule="auto"/>
        <w:ind/>
        <w:jc w:val="center"/>
        <w:rPr>
          <w:b w:val="1"/>
          <w:sz w:val="28"/>
        </w:rPr>
      </w:pPr>
      <w:r>
        <w:rPr>
          <w:b w:val="1"/>
          <w:sz w:val="28"/>
        </w:rPr>
        <w:t>АДМИНИСТРАЦИЯ КУЙБЫШЕВСКОГО СЕЛЬСКОГО</w:t>
      </w:r>
      <w:r>
        <w:rPr>
          <w:b w:val="1"/>
          <w:sz w:val="28"/>
        </w:rPr>
        <w:t xml:space="preserve"> </w:t>
      </w:r>
      <w:r>
        <w:rPr>
          <w:b w:val="1"/>
          <w:sz w:val="28"/>
        </w:rPr>
        <w:t>ПОСЕЛЕНИЯ</w:t>
      </w:r>
    </w:p>
    <w:p w14:paraId="10000000">
      <w:pPr>
        <w:pStyle w:val="Style_3"/>
        <w:spacing w:line="276" w:lineRule="auto"/>
        <w:ind/>
        <w:jc w:val="center"/>
        <w:rPr>
          <w:b w:val="1"/>
          <w:sz w:val="28"/>
        </w:rPr>
      </w:pPr>
    </w:p>
    <w:p w14:paraId="11000000">
      <w:pPr>
        <w:pStyle w:val="Style_3"/>
        <w:spacing w:line="276" w:lineRule="auto"/>
        <w:ind/>
        <w:jc w:val="center"/>
        <w:rPr>
          <w:b w:val="1"/>
          <w:sz w:val="28"/>
        </w:rPr>
      </w:pPr>
      <w:r>
        <w:rPr>
          <w:b w:val="1"/>
          <w:sz w:val="28"/>
        </w:rPr>
        <w:t>ПОСТАНОВЛЕНИЕ</w:t>
      </w:r>
    </w:p>
    <w:p w14:paraId="12000000">
      <w:pPr>
        <w:pStyle w:val="Style_3"/>
        <w:rPr>
          <w:sz w:val="28"/>
        </w:rPr>
      </w:pPr>
    </w:p>
    <w:p w14:paraId="13000000">
      <w:pPr>
        <w:pStyle w:val="Style_3"/>
        <w:ind/>
        <w:jc w:val="both"/>
        <w:rPr>
          <w:b w:val="1"/>
          <w:sz w:val="28"/>
        </w:rPr>
      </w:pPr>
      <w:r>
        <w:rPr>
          <w:b w:val="1"/>
          <w:sz w:val="28"/>
        </w:rPr>
        <w:t>23.01</w:t>
      </w:r>
      <w:r>
        <w:rPr>
          <w:b w:val="1"/>
          <w:sz w:val="28"/>
        </w:rPr>
        <w:t>.2024</w:t>
      </w:r>
      <w:r>
        <w:rPr>
          <w:b w:val="1"/>
          <w:sz w:val="28"/>
        </w:rPr>
        <w:t xml:space="preserve">                                               </w:t>
      </w:r>
      <w:r>
        <w:rPr>
          <w:b w:val="1"/>
          <w:sz w:val="28"/>
        </w:rPr>
        <w:t xml:space="preserve">№ 9        </w:t>
      </w:r>
      <w:r>
        <w:rPr>
          <w:b w:val="1"/>
          <w:sz w:val="28"/>
        </w:rPr>
        <w:t xml:space="preserve">                               </w:t>
      </w:r>
      <w:r>
        <w:rPr>
          <w:b w:val="1"/>
          <w:sz w:val="28"/>
        </w:rPr>
        <w:t xml:space="preserve"> с. Куйбышево</w:t>
      </w:r>
    </w:p>
    <w:p w14:paraId="14000000">
      <w:pPr>
        <w:pStyle w:val="Style_3"/>
        <w:ind/>
        <w:jc w:val="both"/>
        <w:rPr>
          <w:b w:val="1"/>
          <w:sz w:val="28"/>
        </w:rPr>
      </w:pPr>
    </w:p>
    <w:p w14:paraId="15000000">
      <w:pPr>
        <w:pStyle w:val="Style_3"/>
        <w:ind/>
        <w:jc w:val="center"/>
        <w:rPr>
          <w:b w:val="1"/>
          <w:sz w:val="28"/>
        </w:rPr>
      </w:pPr>
      <w:r>
        <w:rPr>
          <w:b w:val="1"/>
          <w:sz w:val="28"/>
        </w:rPr>
        <w:t>О внесении изменений в постановление</w:t>
      </w:r>
      <w:r>
        <w:rPr>
          <w:b w:val="1"/>
          <w:sz w:val="28"/>
        </w:rPr>
        <w:t xml:space="preserve"> Администрации Куйбышевского сельского поселения от 17.08.2023 № 121</w:t>
      </w:r>
    </w:p>
    <w:p w14:paraId="16000000">
      <w:pPr>
        <w:pStyle w:val="Style_3"/>
        <w:rPr>
          <w:b w:val="1"/>
          <w:sz w:val="28"/>
        </w:rPr>
      </w:pPr>
    </w:p>
    <w:p w14:paraId="17000000">
      <w:pPr>
        <w:pStyle w:val="Style_3"/>
        <w:ind/>
        <w:jc w:val="both"/>
        <w:rPr>
          <w:spacing w:val="60"/>
          <w:sz w:val="28"/>
        </w:rPr>
      </w:pPr>
      <w:r>
        <w:rPr>
          <w:sz w:val="28"/>
        </w:rPr>
        <w:t xml:space="preserve">В соответствии </w:t>
      </w:r>
      <w:r>
        <w:rPr>
          <w:sz w:val="28"/>
          <w:highlight w:val="white"/>
        </w:rPr>
        <w:t>с Федеральным законом от 27 июля 2010 года № 190-ФЗ «О теплоснабжении», постановлением Правительства Российской Федерации от 22.02.2012 № 154 «О требованиях к схемам тепло</w:t>
      </w:r>
      <w:r>
        <w:rPr>
          <w:sz w:val="28"/>
          <w:highlight w:val="white"/>
        </w:rPr>
        <w:t>снабжения, порядку их разработки и утверждения», Уставом Куйбышевского сельского поселения</w:t>
      </w:r>
      <w:r>
        <w:rPr>
          <w:sz w:val="28"/>
        </w:rPr>
        <w:t>,</w:t>
      </w:r>
      <w:r>
        <w:rPr>
          <w:sz w:val="28"/>
        </w:rPr>
        <w:t xml:space="preserve"> </w:t>
      </w:r>
      <w:r>
        <w:rPr>
          <w:b w:val="1"/>
          <w:i w:val="1"/>
          <w:spacing w:val="60"/>
          <w:sz w:val="28"/>
        </w:rPr>
        <w:t>постановляю</w:t>
      </w:r>
      <w:r>
        <w:rPr>
          <w:spacing w:val="60"/>
          <w:sz w:val="28"/>
        </w:rPr>
        <w:t>:</w:t>
      </w:r>
    </w:p>
    <w:p w14:paraId="18000000">
      <w:pPr>
        <w:pStyle w:val="Style_3"/>
        <w:ind/>
        <w:jc w:val="both"/>
        <w:rPr>
          <w:sz w:val="28"/>
        </w:rPr>
      </w:pPr>
    </w:p>
    <w:p w14:paraId="19000000">
      <w:pPr>
        <w:pStyle w:val="Style_3"/>
        <w:ind w:firstLine="709" w:left="0"/>
        <w:jc w:val="both"/>
        <w:rPr>
          <w:sz w:val="28"/>
        </w:rPr>
      </w:pPr>
      <w:r>
        <w:rPr>
          <w:sz w:val="28"/>
        </w:rPr>
        <w:t xml:space="preserve">1. </w:t>
      </w:r>
      <w:r>
        <w:rPr>
          <w:sz w:val="28"/>
        </w:rPr>
        <w:t xml:space="preserve">Внести в постановление Администрации Куйбышевского сельского поселения от 17.08.2023 № 121 «Об утверждении схемы теплоснабжения Куйбышевского сельского </w:t>
      </w:r>
      <w:r>
        <w:rPr>
          <w:sz w:val="28"/>
        </w:rPr>
        <w:t>поселения» изменения согласно приложению.</w:t>
      </w:r>
    </w:p>
    <w:p w14:paraId="1A000000">
      <w:pPr>
        <w:pStyle w:val="Style_3"/>
        <w:ind w:firstLine="709" w:left="0"/>
        <w:jc w:val="both"/>
        <w:rPr>
          <w:sz w:val="28"/>
        </w:rPr>
      </w:pPr>
      <w:r>
        <w:rPr>
          <w:sz w:val="28"/>
        </w:rPr>
        <w:t xml:space="preserve">2. </w:t>
      </w:r>
      <w:r>
        <w:rPr>
          <w:sz w:val="28"/>
        </w:rPr>
        <w:t>Настоящее постановление вступает в силу со дня его подписания.</w:t>
      </w:r>
    </w:p>
    <w:p w14:paraId="1B000000">
      <w:pPr>
        <w:pStyle w:val="Style_3"/>
        <w:ind w:firstLine="709" w:left="0"/>
        <w:jc w:val="both"/>
        <w:rPr>
          <w:sz w:val="28"/>
        </w:rPr>
      </w:pPr>
      <w:r>
        <w:rPr>
          <w:sz w:val="28"/>
        </w:rPr>
        <w:t xml:space="preserve">3. </w:t>
      </w:r>
      <w:r>
        <w:rPr>
          <w:sz w:val="28"/>
        </w:rPr>
        <w:t>Контроль над выполнением настоящего постановления оставляю за собой.</w:t>
      </w:r>
    </w:p>
    <w:p w14:paraId="1C000000">
      <w:pPr>
        <w:pStyle w:val="Style_3"/>
        <w:ind w:firstLine="709" w:left="0"/>
        <w:jc w:val="both"/>
        <w:rPr>
          <w:sz w:val="28"/>
        </w:rPr>
      </w:pPr>
    </w:p>
    <w:p w14:paraId="1D000000">
      <w:pPr>
        <w:pStyle w:val="Style_3"/>
        <w:rPr>
          <w:sz w:val="28"/>
        </w:rPr>
      </w:pPr>
    </w:p>
    <w:p w14:paraId="1E000000">
      <w:pPr>
        <w:pStyle w:val="Style_3"/>
        <w:rPr>
          <w:sz w:val="28"/>
        </w:rPr>
      </w:pPr>
    </w:p>
    <w:p w14:paraId="1F000000">
      <w:pPr>
        <w:pStyle w:val="Style_3"/>
        <w:rPr>
          <w:sz w:val="28"/>
        </w:rPr>
      </w:pPr>
      <w:r>
        <w:rPr>
          <w:sz w:val="28"/>
        </w:rPr>
        <w:t>Исполняющий обязанности</w:t>
      </w:r>
    </w:p>
    <w:p w14:paraId="20000000">
      <w:pPr>
        <w:pStyle w:val="Style_3"/>
        <w:rPr>
          <w:sz w:val="28"/>
        </w:rPr>
      </w:pPr>
      <w:r>
        <w:rPr>
          <w:sz w:val="28"/>
        </w:rPr>
        <w:t>главы Администрации</w:t>
      </w:r>
    </w:p>
    <w:p w14:paraId="21000000">
      <w:pPr>
        <w:pStyle w:val="Style_3"/>
        <w:rPr>
          <w:sz w:val="28"/>
        </w:rPr>
      </w:pPr>
      <w:r>
        <w:rPr>
          <w:sz w:val="28"/>
        </w:rPr>
        <w:t xml:space="preserve">Куйбышевского </w:t>
      </w:r>
      <w:r>
        <w:rPr>
          <w:sz w:val="28"/>
        </w:rPr>
        <w:t xml:space="preserve">сельского </w:t>
      </w:r>
    </w:p>
    <w:p w14:paraId="22000000">
      <w:pPr>
        <w:pStyle w:val="Style_3"/>
        <w:rPr>
          <w:sz w:val="28"/>
        </w:rPr>
      </w:pPr>
      <w:r>
        <w:rPr>
          <w:sz w:val="28"/>
        </w:rPr>
        <w:t xml:space="preserve">поселения                </w:t>
      </w:r>
      <w:r>
        <w:rPr>
          <w:sz w:val="28"/>
        </w:rPr>
        <w:t xml:space="preserve">                                                                            </w:t>
      </w:r>
      <w:r>
        <w:rPr>
          <w:sz w:val="28"/>
        </w:rPr>
        <w:t xml:space="preserve">С.Н. </w:t>
      </w:r>
      <w:r>
        <w:rPr>
          <w:sz w:val="28"/>
        </w:rPr>
        <w:t>Терещенко</w:t>
      </w:r>
    </w:p>
    <w:p w14:paraId="23000000">
      <w:pPr>
        <w:pStyle w:val="Style_3"/>
        <w:rPr>
          <w:sz w:val="28"/>
        </w:rPr>
      </w:pPr>
    </w:p>
    <w:p w14:paraId="24000000">
      <w:pPr>
        <w:pStyle w:val="Style_3"/>
        <w:rPr>
          <w:b w:val="1"/>
          <w:sz w:val="28"/>
        </w:rPr>
      </w:pPr>
    </w:p>
    <w:p w14:paraId="25000000">
      <w:pPr>
        <w:pStyle w:val="Style_3"/>
        <w:rPr>
          <w:sz w:val="28"/>
        </w:rPr>
      </w:pPr>
    </w:p>
    <w:p w14:paraId="26000000">
      <w:pPr>
        <w:pStyle w:val="Style_3"/>
        <w:rPr>
          <w:sz w:val="28"/>
        </w:rPr>
      </w:pPr>
    </w:p>
    <w:p w14:paraId="27000000">
      <w:pPr>
        <w:pStyle w:val="Style_3"/>
        <w:rPr>
          <w:sz w:val="22"/>
        </w:rPr>
      </w:pPr>
      <w:r>
        <w:rPr>
          <w:sz w:val="22"/>
        </w:rPr>
        <w:t>Постановление вносит:</w:t>
      </w:r>
    </w:p>
    <w:p w14:paraId="28000000">
      <w:pPr>
        <w:pStyle w:val="Style_3"/>
        <w:rPr>
          <w:sz w:val="22"/>
        </w:rPr>
      </w:pPr>
      <w:r>
        <w:rPr>
          <w:sz w:val="22"/>
        </w:rPr>
        <w:t>Главный специалист по вопросам ЖКХ,</w:t>
      </w:r>
    </w:p>
    <w:p w14:paraId="29000000">
      <w:pPr>
        <w:pStyle w:val="Style_3"/>
        <w:rPr>
          <w:sz w:val="28"/>
        </w:rPr>
      </w:pPr>
      <w:r>
        <w:rPr>
          <w:sz w:val="22"/>
        </w:rPr>
        <w:t>благоустройства, пожарной безопасности, ГО и ЧС</w:t>
      </w:r>
      <w:r>
        <w:rPr>
          <w:sz w:val="28"/>
        </w:rPr>
        <w:br w:type="page"/>
      </w:r>
    </w:p>
    <w:p w14:paraId="2A000000">
      <w:pPr>
        <w:spacing w:after="0" w:line="20" w:lineRule="atLeast"/>
        <w:ind w:firstLine="0" w:left="6236"/>
        <w:contextualSpacing w:val="1"/>
        <w:jc w:val="center"/>
        <w:rPr>
          <w:sz w:val="28"/>
        </w:rPr>
      </w:pPr>
      <w:r>
        <w:rPr>
          <w:sz w:val="28"/>
        </w:rPr>
        <w:t xml:space="preserve">Приложение </w:t>
      </w:r>
    </w:p>
    <w:p w14:paraId="2B000000">
      <w:pPr>
        <w:spacing w:after="0" w:line="20" w:lineRule="atLeast"/>
        <w:ind w:firstLine="0" w:left="6236"/>
        <w:contextualSpacing w:val="1"/>
        <w:jc w:val="center"/>
        <w:rPr>
          <w:sz w:val="28"/>
        </w:rPr>
      </w:pPr>
      <w:r>
        <w:rPr>
          <w:sz w:val="28"/>
        </w:rPr>
        <w:t xml:space="preserve">к постановлению администрации Куйбышевского сельского поселения </w:t>
      </w:r>
    </w:p>
    <w:p w14:paraId="2C000000">
      <w:pPr>
        <w:spacing w:after="0" w:line="20" w:lineRule="atLeast"/>
        <w:ind w:firstLine="0" w:left="6236"/>
        <w:contextualSpacing w:val="1"/>
        <w:jc w:val="center"/>
        <w:rPr>
          <w:sz w:val="28"/>
        </w:rPr>
      </w:pPr>
      <w:r>
        <w:rPr>
          <w:sz w:val="28"/>
        </w:rPr>
        <w:t>от 23.01.2024 № 9</w:t>
      </w:r>
      <w:r>
        <w:rPr>
          <w:sz w:val="28"/>
        </w:rPr>
        <w:t xml:space="preserve"> </w:t>
      </w:r>
    </w:p>
    <w:p w14:paraId="2D000000">
      <w:pPr>
        <w:spacing w:after="0" w:line="20" w:lineRule="atLeast"/>
        <w:ind w:firstLine="0" w:left="6236"/>
        <w:contextualSpacing w:val="1"/>
        <w:jc w:val="center"/>
        <w:rPr>
          <w:sz w:val="28"/>
        </w:rPr>
      </w:pPr>
    </w:p>
    <w:p w14:paraId="2E000000">
      <w:pPr>
        <w:spacing w:after="0" w:line="20" w:lineRule="atLeast"/>
        <w:ind w:firstLine="0" w:left="6236"/>
        <w:contextualSpacing w:val="1"/>
        <w:jc w:val="center"/>
        <w:rPr>
          <w:sz w:val="28"/>
        </w:rPr>
      </w:pPr>
      <w:r>
        <w:rPr>
          <w:sz w:val="28"/>
        </w:rPr>
        <w:t xml:space="preserve">Приложение </w:t>
      </w:r>
    </w:p>
    <w:p w14:paraId="2F000000">
      <w:pPr>
        <w:spacing w:after="0" w:line="20" w:lineRule="atLeast"/>
        <w:ind w:firstLine="0" w:left="6236"/>
        <w:contextualSpacing w:val="1"/>
        <w:jc w:val="center"/>
        <w:rPr>
          <w:sz w:val="28"/>
        </w:rPr>
      </w:pPr>
      <w:r>
        <w:rPr>
          <w:sz w:val="28"/>
        </w:rPr>
        <w:t xml:space="preserve">к постановлению администрации Куйбышевского сельского поселения </w:t>
      </w:r>
    </w:p>
    <w:p w14:paraId="30000000">
      <w:pPr>
        <w:spacing w:line="20" w:lineRule="atLeast"/>
        <w:ind w:firstLine="0" w:left="6236"/>
        <w:jc w:val="center"/>
        <w:rPr>
          <w:sz w:val="28"/>
        </w:rPr>
      </w:pPr>
      <w:r>
        <w:rPr>
          <w:sz w:val="28"/>
        </w:rPr>
        <w:t>от 17.08.2023 №121</w:t>
      </w:r>
    </w:p>
    <w:p w14:paraId="31000000">
      <w:pPr>
        <w:spacing w:line="20" w:lineRule="atLeast"/>
        <w:ind/>
        <w:rPr>
          <w:b w:val="1"/>
          <w:sz w:val="28"/>
        </w:rPr>
      </w:pPr>
    </w:p>
    <w:p w14:paraId="32000000">
      <w:pPr>
        <w:spacing w:line="20" w:lineRule="atLeast"/>
        <w:ind/>
        <w:jc w:val="center"/>
        <w:rPr>
          <w:sz w:val="28"/>
        </w:rPr>
      </w:pPr>
      <w:r>
        <w:rPr>
          <w:b w:val="1"/>
          <w:sz w:val="28"/>
        </w:rPr>
        <w:t xml:space="preserve">Схема теплоснабжения Куйбышевского сельского поселения Куйбышевского района Ростовской области </w:t>
      </w:r>
    </w:p>
    <w:p w14:paraId="33000000">
      <w:pPr>
        <w:spacing w:line="20" w:lineRule="atLeast"/>
        <w:ind/>
        <w:rPr>
          <w:b w:val="1"/>
          <w:sz w:val="28"/>
        </w:rPr>
      </w:pPr>
    </w:p>
    <w:p w14:paraId="34000000">
      <w:pPr>
        <w:spacing w:line="20" w:lineRule="atLeast"/>
        <w:ind/>
        <w:jc w:val="right"/>
        <w:rPr>
          <w:sz w:val="28"/>
        </w:rPr>
      </w:pPr>
    </w:p>
    <w:p w14:paraId="35000000">
      <w:pPr>
        <w:spacing w:after="0" w:line="20" w:lineRule="atLeast"/>
        <w:ind/>
        <w:rPr>
          <w:sz w:val="28"/>
        </w:rPr>
      </w:pPr>
    </w:p>
    <w:p w14:paraId="36000000">
      <w:pPr>
        <w:spacing w:after="0" w:line="20" w:lineRule="atLeast"/>
        <w:ind/>
        <w:rPr>
          <w:sz w:val="28"/>
        </w:rPr>
      </w:pPr>
    </w:p>
    <w:p w14:paraId="37000000">
      <w:pPr>
        <w:spacing w:after="0" w:line="20" w:lineRule="atLeast"/>
        <w:ind/>
        <w:rPr>
          <w:sz w:val="28"/>
        </w:rPr>
      </w:pPr>
    </w:p>
    <w:p w14:paraId="38000000">
      <w:pPr>
        <w:spacing w:after="0" w:line="20" w:lineRule="atLeast"/>
        <w:ind/>
        <w:rPr>
          <w:sz w:val="28"/>
        </w:rPr>
      </w:pPr>
    </w:p>
    <w:p w14:paraId="39000000">
      <w:pPr>
        <w:spacing w:after="0" w:line="20" w:lineRule="atLeast"/>
        <w:ind/>
        <w:rPr>
          <w:sz w:val="28"/>
        </w:rPr>
      </w:pPr>
    </w:p>
    <w:p w14:paraId="3A000000">
      <w:pPr>
        <w:spacing w:after="0" w:line="20" w:lineRule="atLeast"/>
        <w:ind/>
        <w:rPr>
          <w:sz w:val="28"/>
        </w:rPr>
      </w:pPr>
    </w:p>
    <w:p w14:paraId="3B000000">
      <w:pPr>
        <w:spacing w:after="0" w:line="20" w:lineRule="atLeast"/>
        <w:ind/>
        <w:rPr>
          <w:sz w:val="28"/>
        </w:rPr>
      </w:pPr>
    </w:p>
    <w:p w14:paraId="3C000000">
      <w:pPr>
        <w:spacing w:after="0" w:line="20" w:lineRule="atLeast"/>
        <w:ind w:firstLine="0" w:left="4535"/>
        <w:jc w:val="right"/>
        <w:rPr>
          <w:sz w:val="28"/>
        </w:rPr>
      </w:pPr>
      <w:r>
        <w:rPr>
          <w:sz w:val="28"/>
        </w:rPr>
        <w:t>Генеральный директор</w:t>
      </w:r>
    </w:p>
    <w:p w14:paraId="3D000000">
      <w:pPr>
        <w:spacing w:after="0" w:line="20" w:lineRule="atLeast"/>
        <w:ind w:firstLine="0" w:left="4535"/>
        <w:jc w:val="right"/>
        <w:rPr>
          <w:sz w:val="28"/>
        </w:rPr>
      </w:pPr>
      <w:r>
        <w:rPr>
          <w:sz w:val="28"/>
        </w:rPr>
        <w:t>ООО «ЭКЦ «Диагностика и</w:t>
      </w:r>
      <w:r>
        <w:rPr>
          <w:sz w:val="28"/>
        </w:rPr>
        <w:t xml:space="preserve"> Контроль»</w:t>
      </w:r>
    </w:p>
    <w:p w14:paraId="3E000000">
      <w:pPr>
        <w:spacing w:after="0" w:line="20" w:lineRule="atLeast"/>
        <w:ind w:firstLine="0" w:left="4535"/>
        <w:jc w:val="right"/>
        <w:rPr>
          <w:sz w:val="28"/>
        </w:rPr>
      </w:pPr>
      <w:r>
        <w:rPr>
          <w:sz w:val="28"/>
        </w:rPr>
        <w:t>______________ А.С. Юрченко</w:t>
      </w:r>
    </w:p>
    <w:p w14:paraId="3F000000">
      <w:pPr>
        <w:spacing w:after="0" w:line="20" w:lineRule="atLeast"/>
        <w:ind w:firstLine="0" w:left="4535"/>
        <w:rPr>
          <w:sz w:val="28"/>
        </w:rPr>
      </w:pPr>
    </w:p>
    <w:p w14:paraId="40000000">
      <w:pPr>
        <w:spacing w:after="0" w:line="20" w:lineRule="atLeast"/>
        <w:ind w:firstLine="0" w:left="4535"/>
        <w:rPr>
          <w:sz w:val="28"/>
        </w:rPr>
      </w:pPr>
      <w:r>
        <w:rPr>
          <w:sz w:val="28"/>
        </w:rPr>
        <w:t>М.П.</w:t>
      </w:r>
    </w:p>
    <w:p w14:paraId="41000000">
      <w:pPr>
        <w:spacing w:after="0" w:line="20" w:lineRule="atLeast"/>
        <w:ind/>
        <w:rPr>
          <w:sz w:val="28"/>
        </w:rPr>
      </w:pPr>
    </w:p>
    <w:p w14:paraId="42000000">
      <w:pPr>
        <w:spacing w:after="0" w:line="20" w:lineRule="atLeast"/>
        <w:ind/>
        <w:rPr>
          <w:sz w:val="28"/>
        </w:rPr>
      </w:pPr>
    </w:p>
    <w:p w14:paraId="43000000">
      <w:pPr>
        <w:spacing w:after="0" w:line="20" w:lineRule="atLeast"/>
        <w:ind/>
        <w:rPr>
          <w:sz w:val="28"/>
        </w:rPr>
      </w:pPr>
    </w:p>
    <w:p w14:paraId="44000000">
      <w:pPr>
        <w:spacing w:after="0" w:line="20" w:lineRule="atLeast"/>
        <w:ind/>
        <w:rPr>
          <w:sz w:val="28"/>
        </w:rPr>
      </w:pPr>
    </w:p>
    <w:p w14:paraId="45000000">
      <w:pPr>
        <w:spacing w:line="20" w:lineRule="atLeast"/>
        <w:ind/>
        <w:jc w:val="center"/>
        <w:rPr>
          <w:sz w:val="28"/>
        </w:rPr>
      </w:pPr>
    </w:p>
    <w:p w14:paraId="46000000">
      <w:pPr>
        <w:spacing w:line="20" w:lineRule="atLeast"/>
        <w:ind/>
        <w:jc w:val="center"/>
        <w:rPr>
          <w:sz w:val="28"/>
        </w:rPr>
      </w:pPr>
    </w:p>
    <w:p w14:paraId="47000000">
      <w:pPr>
        <w:spacing w:line="20" w:lineRule="atLeast"/>
        <w:ind/>
        <w:jc w:val="center"/>
        <w:rPr>
          <w:sz w:val="28"/>
        </w:rPr>
      </w:pPr>
    </w:p>
    <w:p w14:paraId="48000000">
      <w:pPr>
        <w:spacing w:line="20" w:lineRule="atLeast"/>
        <w:ind/>
        <w:jc w:val="center"/>
        <w:rPr>
          <w:sz w:val="28"/>
        </w:rPr>
      </w:pPr>
      <w:r>
        <w:rPr>
          <w:sz w:val="28"/>
        </w:rPr>
        <w:t>Куйбышевское сельское поселение, 2023</w:t>
      </w:r>
    </w:p>
    <w:p w14:paraId="49000000">
      <w:pPr>
        <w:spacing w:line="20" w:lineRule="atLeast"/>
        <w:ind/>
        <w:jc w:val="center"/>
        <w:rPr>
          <w:b w:val="1"/>
          <w:sz w:val="28"/>
        </w:rPr>
      </w:pPr>
    </w:p>
    <w:p w14:paraId="4A000000">
      <w:pPr>
        <w:spacing w:line="20" w:lineRule="atLeast"/>
        <w:ind/>
        <w:jc w:val="center"/>
        <w:rPr>
          <w:b w:val="1"/>
          <w:sz w:val="28"/>
        </w:rPr>
      </w:pPr>
      <w:r>
        <w:rPr>
          <w:b w:val="1"/>
          <w:sz w:val="28"/>
        </w:rPr>
        <w:t>СОДЕРЖАНИЕ</w:t>
      </w:r>
    </w:p>
    <w:p w14:paraId="4B000000">
      <w:pPr>
        <w:spacing w:after="0" w:line="20" w:lineRule="atLeast"/>
        <w:ind/>
        <w:jc w:val="both"/>
        <w:rPr>
          <w:sz w:val="28"/>
        </w:rPr>
      </w:pPr>
      <w:r>
        <w:rPr>
          <w:sz w:val="28"/>
        </w:rPr>
        <w:t>ЧАСТЬ I. УТВЕРЖДАЕМАЯ ЧАСТЬ СХЕМЫ ТЕПЛОСНАБЖЕНИЯ КУЙБЫШЕВСКОГО СЕЛЬСКОГО ПОСЕЛЕНИЯ КУЙБЫШЕВСКОГО РАЙОНА РОСТОВСКОЙ ОБЛАСТИ ДО 2033 ГОДА ..................</w:t>
      </w:r>
      <w:r>
        <w:rPr>
          <w:sz w:val="28"/>
        </w:rPr>
        <w:t>................стр.11</w:t>
      </w:r>
    </w:p>
    <w:p w14:paraId="4C000000">
      <w:pPr>
        <w:spacing w:after="0" w:line="20" w:lineRule="atLeast"/>
        <w:ind/>
        <w:jc w:val="both"/>
        <w:rPr>
          <w:sz w:val="28"/>
        </w:rPr>
      </w:pPr>
      <w:r>
        <w:rPr>
          <w:sz w:val="28"/>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КУЙБЫШЕВСКОГО СЕЛЬСКОГО ПОСЕЛЕНИЯ КУЙБЫШЕВСКОГО РАЙОНА РОСТОВСКОЙ </w:t>
      </w:r>
      <w:r>
        <w:rPr>
          <w:sz w:val="28"/>
        </w:rPr>
        <w:t>ОБЛАСТИ………………………………………………………………….…...стр.12</w:t>
      </w:r>
    </w:p>
    <w:p w14:paraId="4D000000">
      <w:pPr>
        <w:spacing w:after="0" w:line="20" w:lineRule="atLeast"/>
        <w:ind/>
        <w:jc w:val="both"/>
        <w:rPr>
          <w:sz w:val="28"/>
        </w:rPr>
      </w:pPr>
      <w:r>
        <w:rPr>
          <w:sz w:val="28"/>
        </w:rPr>
        <w:t>1.1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w:t>
      </w:r>
      <w:r>
        <w:rPr>
          <w:sz w:val="28"/>
        </w:rPr>
        <w:t>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этапы)……………………………………………………………………….…..стр.12</w:t>
      </w:r>
    </w:p>
    <w:p w14:paraId="4E000000">
      <w:pPr>
        <w:spacing w:after="0" w:line="20" w:lineRule="atLeast"/>
        <w:ind/>
        <w:jc w:val="both"/>
        <w:rPr>
          <w:sz w:val="28"/>
        </w:rPr>
      </w:pPr>
      <w:r>
        <w:rPr>
          <w:sz w:val="28"/>
        </w:rPr>
        <w:t>1.</w:t>
      </w:r>
      <w:r>
        <w:rPr>
          <w:sz w:val="28"/>
        </w:rPr>
        <w:t>2 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..стр.12</w:t>
      </w:r>
    </w:p>
    <w:p w14:paraId="4F000000">
      <w:pPr>
        <w:spacing w:after="0" w:line="20" w:lineRule="atLeast"/>
        <w:ind/>
        <w:jc w:val="both"/>
        <w:rPr>
          <w:sz w:val="28"/>
        </w:rPr>
      </w:pPr>
      <w:r>
        <w:rPr>
          <w:sz w:val="28"/>
        </w:rPr>
        <w:t>1.3 Существующие и перспективные объёмы потр</w:t>
      </w:r>
      <w:r>
        <w:rPr>
          <w:sz w:val="28"/>
        </w:rPr>
        <w:t>ебления тепловой энергии (мощности) и теплоносителя объектами, расположенными в производственных зонах, на каждом этапе ………………………………….………………….…стр.13</w:t>
      </w:r>
    </w:p>
    <w:p w14:paraId="50000000">
      <w:pPr>
        <w:spacing w:after="0" w:line="20" w:lineRule="atLeast"/>
        <w:ind/>
        <w:jc w:val="both"/>
        <w:rPr>
          <w:sz w:val="28"/>
        </w:rPr>
      </w:pPr>
      <w:r>
        <w:rPr>
          <w:sz w:val="28"/>
        </w:rPr>
        <w:t xml:space="preserve">1.4 Существующие и перспективные величины средневзвешенной плотности тепловой нагрузки в каждом расчётном </w:t>
      </w:r>
      <w:r>
        <w:rPr>
          <w:sz w:val="28"/>
        </w:rPr>
        <w:t>элементе территориального деления, зоне действия каждого источника тепловой энергии, каждой системе теплоснабжения и по Куйбышевскому сельскому поселению Куйбышевского района Ростовской области …………...………………………………………стр.14</w:t>
      </w:r>
    </w:p>
    <w:p w14:paraId="51000000">
      <w:pPr>
        <w:spacing w:after="0" w:line="20" w:lineRule="atLeast"/>
        <w:ind/>
        <w:jc w:val="both"/>
        <w:rPr>
          <w:sz w:val="28"/>
        </w:rPr>
      </w:pPr>
      <w:r>
        <w:rPr>
          <w:sz w:val="28"/>
        </w:rPr>
        <w:t>РАЗДЕЛ 2. СУЩЕСТВУЮЩИЕ И ПЕРСПЕКТ</w:t>
      </w:r>
      <w:r>
        <w:rPr>
          <w:sz w:val="28"/>
        </w:rPr>
        <w:t>ИВНЫЕ БАЛАНСЫ ТЕПЛОВОЙ МОЩНОСТИ ИСТОЧНИКОВ ТЕПЛОВОЙ ЭНЕРГИИ И ТЕПЛОВОЙ НАГРУЗКИ ПОТРЕБИТЕЛЕЙ КУЙБЫШЕВСКОГО СЕЛЬСКОГО ПОСЕЛЕНИЯ КУЙБЫШЕВСКОГО РАЙОНА РОСТОВСКОЙ ОБЛАСТИ ……………………………………………………………………...стр.14</w:t>
      </w:r>
    </w:p>
    <w:p w14:paraId="52000000">
      <w:pPr>
        <w:spacing w:after="0" w:line="20" w:lineRule="atLeast"/>
        <w:ind/>
        <w:jc w:val="both"/>
        <w:rPr>
          <w:sz w:val="28"/>
        </w:rPr>
      </w:pPr>
      <w:r>
        <w:rPr>
          <w:sz w:val="28"/>
        </w:rPr>
        <w:t>2.1 Описание существующих и перспективных зон действи</w:t>
      </w:r>
      <w:r>
        <w:rPr>
          <w:sz w:val="28"/>
        </w:rPr>
        <w:t>я систем теплоснабжения и источников тепловой энергии ………………..…………стр.14</w:t>
      </w:r>
    </w:p>
    <w:p w14:paraId="53000000">
      <w:pPr>
        <w:spacing w:after="0" w:line="20" w:lineRule="atLeast"/>
        <w:ind/>
        <w:jc w:val="both"/>
        <w:rPr>
          <w:sz w:val="28"/>
        </w:rPr>
      </w:pPr>
      <w:r>
        <w:rPr>
          <w:sz w:val="28"/>
        </w:rPr>
        <w:t>2.2 Описание существующих и перспективных зон действия индивидуальных источников тепловой энергии ………………………………………………...стр.16</w:t>
      </w:r>
    </w:p>
    <w:p w14:paraId="54000000">
      <w:pPr>
        <w:spacing w:after="0" w:line="20" w:lineRule="atLeast"/>
        <w:ind/>
        <w:jc w:val="both"/>
        <w:rPr>
          <w:sz w:val="28"/>
        </w:rPr>
      </w:pPr>
      <w:r>
        <w:rPr>
          <w:sz w:val="28"/>
        </w:rPr>
        <w:t>2.3 Существующие и перспективные балансы тепловой мощност</w:t>
      </w:r>
      <w:r>
        <w:rPr>
          <w:sz w:val="28"/>
        </w:rPr>
        <w:t>и и тепловой нагрузки потребителей в зонах действия источников тепловой энергии, в том числе работающих на единую тепловую сеть, на каждом этапе ………...…стр.16</w:t>
      </w:r>
    </w:p>
    <w:p w14:paraId="55000000">
      <w:pPr>
        <w:spacing w:after="0" w:line="20" w:lineRule="atLeast"/>
        <w:ind/>
        <w:jc w:val="both"/>
        <w:rPr>
          <w:sz w:val="28"/>
        </w:rPr>
      </w:pPr>
      <w:r>
        <w:rPr>
          <w:sz w:val="28"/>
        </w:rPr>
        <w:t>2.4 Перспективные балансы тепловой мощности источников тепловой энергии и тепловой нагрузки потре</w:t>
      </w:r>
      <w:r>
        <w:rPr>
          <w:sz w:val="28"/>
        </w:rPr>
        <w:t xml:space="preserve">бителей в случае, если зона действия источника </w:t>
      </w:r>
      <w:r>
        <w:rPr>
          <w:sz w:val="28"/>
        </w:rPr>
        <w:t>тепловой энергии расположена в границах Куйбышевского сельского поселения Куйбышевского района Ростовской области, с указанием величины тепловой нагрузки для потребителей Куйбышевского сельского поселения Куйб</w:t>
      </w:r>
      <w:r>
        <w:rPr>
          <w:sz w:val="28"/>
        </w:rPr>
        <w:t>ышевского района Ростовской области ………………………...……...стр.18</w:t>
      </w:r>
    </w:p>
    <w:p w14:paraId="56000000">
      <w:pPr>
        <w:spacing w:after="0" w:line="20" w:lineRule="atLeast"/>
        <w:ind/>
        <w:jc w:val="both"/>
        <w:rPr>
          <w:sz w:val="28"/>
        </w:rPr>
      </w:pPr>
      <w:r>
        <w:rPr>
          <w:sz w:val="28"/>
        </w:rPr>
        <w:t>2.5 Радиус эффективного теплоснабжения, определяемый в соответствии с методическими указаниями по разработке схем теплоснабжения…………стр.20</w:t>
      </w:r>
    </w:p>
    <w:p w14:paraId="57000000">
      <w:pPr>
        <w:spacing w:after="0" w:line="20" w:lineRule="atLeast"/>
        <w:ind/>
        <w:jc w:val="both"/>
        <w:rPr>
          <w:sz w:val="28"/>
        </w:rPr>
      </w:pPr>
      <w:r>
        <w:rPr>
          <w:sz w:val="28"/>
        </w:rPr>
        <w:t>РАЗДЕЛ 3. СУЩЕСТВУЮЩИЕ И ПЕРСПЕКТИВНЫЕ БАЛАНСЫ ТЕПЛОНОСИТ</w:t>
      </w:r>
      <w:r>
        <w:rPr>
          <w:sz w:val="28"/>
        </w:rPr>
        <w:t xml:space="preserve">ЕЛЯ КУЙБЫШЕВСКОГО СЕЛЬСКОГО ПОСЕЛЕНИЯ КУЙБЫШЕВСКОГО РАЙОНА РОСТОВСКОЙ ОБЛАСТИ …….…...……стр.20 </w:t>
      </w:r>
    </w:p>
    <w:p w14:paraId="58000000">
      <w:pPr>
        <w:spacing w:after="0" w:line="20" w:lineRule="atLeast"/>
        <w:ind/>
        <w:jc w:val="both"/>
        <w:rPr>
          <w:sz w:val="28"/>
        </w:rPr>
      </w:pPr>
      <w:r>
        <w:rPr>
          <w:sz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w:t>
      </w:r>
      <w:r>
        <w:rPr>
          <w:sz w:val="28"/>
        </w:rPr>
        <w:t>ми потребителей ……………………….…стр.21</w:t>
      </w:r>
    </w:p>
    <w:p w14:paraId="59000000">
      <w:pPr>
        <w:spacing w:after="0" w:line="20" w:lineRule="atLeast"/>
        <w:ind/>
        <w:jc w:val="both"/>
        <w:rPr>
          <w:sz w:val="28"/>
        </w:rPr>
      </w:pPr>
      <w:r>
        <w:rPr>
          <w:sz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r>
        <w:rPr>
          <w:sz w:val="28"/>
        </w:rPr>
        <w:t>………………..…стр.21</w:t>
      </w:r>
    </w:p>
    <w:p w14:paraId="5A000000">
      <w:pPr>
        <w:spacing w:after="0" w:line="20" w:lineRule="atLeast"/>
        <w:ind/>
        <w:jc w:val="both"/>
        <w:rPr>
          <w:sz w:val="28"/>
        </w:rPr>
      </w:pPr>
      <w:r>
        <w:rPr>
          <w:sz w:val="28"/>
        </w:rPr>
        <w:t xml:space="preserve">РАЗДЕЛ 4. ОСНОВНЫЕ ПОЛОЖЕНИЯ МАСТЕР – ПЛАНА СИСТЕМ ТЕПЛОСНАБЖЕНИЯ КУЙБЫШЕВСКОГО СЕЛЬСКОГО ПОСЕЛЕНИЯ КУЙБЫШЕВСКОГО РАЙОНА РОСТОВСКОЙ ОБЛАСТИ…..…………...стр.21 </w:t>
      </w:r>
    </w:p>
    <w:p w14:paraId="5B000000">
      <w:pPr>
        <w:spacing w:after="0" w:line="20" w:lineRule="atLeast"/>
        <w:ind/>
        <w:jc w:val="both"/>
        <w:rPr>
          <w:sz w:val="28"/>
        </w:rPr>
      </w:pPr>
      <w:r>
        <w:rPr>
          <w:sz w:val="28"/>
        </w:rPr>
        <w:t>4.1 Описание сценариев развития теплоснабжения Куйбышевского сельского поселения Ку</w:t>
      </w:r>
      <w:r>
        <w:rPr>
          <w:sz w:val="28"/>
        </w:rPr>
        <w:t>йбышевского района Ростовской области ….…..………….…стр.21</w:t>
      </w:r>
    </w:p>
    <w:p w14:paraId="5C000000">
      <w:pPr>
        <w:spacing w:after="0" w:line="20" w:lineRule="atLeast"/>
        <w:ind/>
        <w:jc w:val="both"/>
        <w:rPr>
          <w:sz w:val="28"/>
        </w:rPr>
      </w:pPr>
      <w:r>
        <w:rPr>
          <w:sz w:val="28"/>
        </w:rPr>
        <w:t>4.2 Обоснование выбора приоритетного сценария развития теплоснабжения Куйбышевского сельского поселения Куйбышевского района Ростовской области…………….……………………………………………………………стр.21</w:t>
      </w:r>
    </w:p>
    <w:p w14:paraId="5D000000">
      <w:pPr>
        <w:spacing w:after="0" w:line="20" w:lineRule="atLeast"/>
        <w:ind/>
        <w:jc w:val="both"/>
        <w:rPr>
          <w:sz w:val="28"/>
        </w:rPr>
      </w:pPr>
      <w:r>
        <w:rPr>
          <w:sz w:val="28"/>
        </w:rPr>
        <w:t>РАЗДЕЛ 5. ПРЕДЛОЖЕНИЯ</w:t>
      </w:r>
      <w:r>
        <w:rPr>
          <w:sz w:val="28"/>
        </w:rPr>
        <w:t xml:space="preserve"> ПО СТРОИТЕЛЬСТВУ, РЕКОНСТРУКЦИИ, ТЕХНИЧЕСКОМУ ПЕРЕВООРУЖЕНИЮ И (ИЛИ) МОДЕРНИЗАЦИИ ИСТОЧНИКОВ ТЕПЛОВОЙ ЭНЕРГИИ КУЙБЫШЕВСКОГО СЕЛЬСКОГО ПОСЕЛЕНИЯ КУЙБЫШЕВСКОГО РАЙОНА РОСТОВСКОЙ ОБЛАСТИ………………………………………………………………………стр.22</w:t>
      </w:r>
    </w:p>
    <w:p w14:paraId="5E000000">
      <w:pPr>
        <w:spacing w:after="0" w:line="20" w:lineRule="atLeast"/>
        <w:ind/>
        <w:jc w:val="both"/>
        <w:rPr>
          <w:sz w:val="28"/>
        </w:rPr>
      </w:pPr>
      <w:r>
        <w:rPr>
          <w:sz w:val="28"/>
        </w:rPr>
        <w:t>5.1 Предложения по строительству источ</w:t>
      </w:r>
      <w:r>
        <w:rPr>
          <w:sz w:val="28"/>
        </w:rPr>
        <w:t>ников тепловой энергии, обеспечивающих перспективную тепловую нагрузку на осваиваемых территориях Куйбышевского сельского поселения Куйбышевского района Ростовской области, для которых отсутствует возможность и (или) целесообразность передачи тепловой энер</w:t>
      </w:r>
      <w:r>
        <w:rPr>
          <w:sz w:val="28"/>
        </w:rPr>
        <w:t>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w:t>
      </w:r>
      <w:r>
        <w:rPr>
          <w:sz w:val="28"/>
        </w:rPr>
        <w:t>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Куйбышевского сельского поселения К</w:t>
      </w:r>
      <w:r>
        <w:rPr>
          <w:sz w:val="28"/>
        </w:rPr>
        <w:t xml:space="preserve">уйбышевского района Ростовской области, если реализация товаров в сфере теплоснабжения с использованием такого источника тепловой </w:t>
      </w:r>
      <w:r>
        <w:rPr>
          <w:sz w:val="28"/>
        </w:rPr>
        <w:t>энергии будет осуществляться по ценам, определяемым по соглашению сторон договора поставки тепловой энергии (мощности) и (или)</w:t>
      </w:r>
      <w:r>
        <w:rPr>
          <w:sz w:val="28"/>
        </w:rPr>
        <w:t xml:space="preserve"> теплоносителя) и радиуса эффективного теплоснабжения ……………………………...……...стр.22</w:t>
      </w:r>
    </w:p>
    <w:p w14:paraId="5F000000">
      <w:pPr>
        <w:spacing w:after="0" w:line="20" w:lineRule="atLeast"/>
        <w:ind/>
        <w:jc w:val="both"/>
        <w:rPr>
          <w:sz w:val="28"/>
        </w:rPr>
      </w:pPr>
      <w:r>
        <w:rPr>
          <w:sz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w:t>
      </w:r>
      <w:r>
        <w:rPr>
          <w:sz w:val="28"/>
        </w:rPr>
        <w:t>ргии ……………...стр.22</w:t>
      </w:r>
    </w:p>
    <w:p w14:paraId="60000000">
      <w:pPr>
        <w:spacing w:after="0" w:line="20" w:lineRule="atLeast"/>
        <w:ind/>
        <w:jc w:val="both"/>
        <w:rPr>
          <w:sz w:val="28"/>
        </w:rPr>
      </w:pPr>
      <w:r>
        <w:rPr>
          <w:sz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……………………………………………………….стр.23</w:t>
      </w:r>
    </w:p>
    <w:p w14:paraId="61000000">
      <w:pPr>
        <w:spacing w:after="0" w:line="20" w:lineRule="atLeast"/>
        <w:ind/>
        <w:jc w:val="both"/>
        <w:rPr>
          <w:sz w:val="28"/>
        </w:rPr>
      </w:pPr>
      <w:r>
        <w:rPr>
          <w:sz w:val="28"/>
        </w:rPr>
        <w:t xml:space="preserve">5.4 Графики совместной работы источников тепловой </w:t>
      </w:r>
      <w:r>
        <w:rPr>
          <w:sz w:val="28"/>
        </w:rPr>
        <w:t>энергии, функционирующих в режиме комбинированной выработки электрической и тепловой энергии и котельных ……………………………………………….стр.25</w:t>
      </w:r>
    </w:p>
    <w:p w14:paraId="62000000">
      <w:pPr>
        <w:spacing w:after="0" w:line="20" w:lineRule="atLeast"/>
        <w:ind/>
        <w:jc w:val="both"/>
        <w:rPr>
          <w:sz w:val="28"/>
        </w:rPr>
      </w:pPr>
      <w:r>
        <w:rPr>
          <w:sz w:val="28"/>
        </w:rPr>
        <w:t>5.5 Меры по выводу из эксплуатации, консервации и демонтажу избыточных источников тепловой энергии, а также источников теплов</w:t>
      </w:r>
      <w:r>
        <w:rPr>
          <w:sz w:val="28"/>
        </w:rPr>
        <w:t>ой энергии, выработавших нормативный срок службы, в случае если продление срока службы технически невозможно или экономически нецелесообразно ……стр.25</w:t>
      </w:r>
    </w:p>
    <w:p w14:paraId="63000000">
      <w:pPr>
        <w:spacing w:after="0" w:line="20" w:lineRule="atLeast"/>
        <w:ind/>
        <w:jc w:val="both"/>
        <w:rPr>
          <w:sz w:val="28"/>
        </w:rPr>
      </w:pPr>
      <w:r>
        <w:rPr>
          <w:sz w:val="28"/>
        </w:rPr>
        <w:t>5.6 Меры по переоборудованию котельных в источники тепловой энергии, функционирующие в режиме комбинирова</w:t>
      </w:r>
      <w:r>
        <w:rPr>
          <w:sz w:val="28"/>
        </w:rPr>
        <w:t>нной выработки электрической и тепловой энергии …………………………………………………..………….стр.25</w:t>
      </w:r>
    </w:p>
    <w:p w14:paraId="64000000">
      <w:pPr>
        <w:spacing w:after="0" w:line="20" w:lineRule="atLeast"/>
        <w:ind/>
        <w:jc w:val="both"/>
        <w:rPr>
          <w:sz w:val="28"/>
        </w:rPr>
      </w:pPr>
      <w:r>
        <w:rPr>
          <w:sz w:val="28"/>
        </w:rPr>
        <w:t>5.7 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w:t>
      </w:r>
      <w:r>
        <w:rPr>
          <w:sz w:val="28"/>
        </w:rPr>
        <w:t>ческой и тепловой энергии, в пиковый режим работы, либо по выводу их из эксплуатации ……………………………………………………………..……стр.25</w:t>
      </w:r>
    </w:p>
    <w:p w14:paraId="65000000">
      <w:pPr>
        <w:spacing w:after="0" w:line="20" w:lineRule="atLeast"/>
        <w:ind/>
        <w:jc w:val="both"/>
        <w:rPr>
          <w:sz w:val="28"/>
        </w:rPr>
      </w:pPr>
      <w:r>
        <w:rPr>
          <w:sz w:val="28"/>
        </w:rPr>
        <w:t>5.8. Температурный график отпуска тепловой энергии для каждого источника тепловой энергии или группы источников тепловой энергии в систем</w:t>
      </w:r>
      <w:r>
        <w:rPr>
          <w:sz w:val="28"/>
        </w:rPr>
        <w:t>е теплоснабжения, работающей на общую тепловую сеть, и оценку затрат при необходимости его изменения ………………………………………..………стр.26</w:t>
      </w:r>
    </w:p>
    <w:p w14:paraId="66000000">
      <w:pPr>
        <w:spacing w:after="0" w:line="20" w:lineRule="atLeast"/>
        <w:ind/>
        <w:jc w:val="both"/>
        <w:rPr>
          <w:sz w:val="28"/>
        </w:rPr>
      </w:pPr>
      <w:r>
        <w:rPr>
          <w:sz w:val="28"/>
        </w:rPr>
        <w:t>5.9 Предложения по перспективной установленной тепловой мощности каждого источника тепловой энергии с предложениями по сроку вво</w:t>
      </w:r>
      <w:r>
        <w:rPr>
          <w:sz w:val="28"/>
        </w:rPr>
        <w:t xml:space="preserve">да в эксплуатацию новых мощностей ……………………………………………..стр.26 </w:t>
      </w:r>
    </w:p>
    <w:p w14:paraId="67000000">
      <w:pPr>
        <w:spacing w:after="0" w:line="20" w:lineRule="atLeast"/>
        <w:ind/>
        <w:jc w:val="both"/>
        <w:rPr>
          <w:sz w:val="28"/>
        </w:rPr>
      </w:pPr>
      <w:r>
        <w:rPr>
          <w:sz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………………………………………..………стр.</w:t>
      </w:r>
      <w:r>
        <w:rPr>
          <w:sz w:val="28"/>
        </w:rPr>
        <w:t>27</w:t>
      </w:r>
    </w:p>
    <w:p w14:paraId="68000000">
      <w:pPr>
        <w:spacing w:after="0" w:line="20" w:lineRule="atLeast"/>
        <w:ind/>
        <w:jc w:val="both"/>
        <w:rPr>
          <w:sz w:val="28"/>
        </w:rPr>
      </w:pPr>
      <w:r>
        <w:rPr>
          <w:sz w:val="28"/>
        </w:rPr>
        <w:t>РАЗДЕЛ 6. ПРЕДЛОЖЕНИЯ ПО СТРОИТЕЛЬСТВУ, РЕКОНСТРУКЦИИ И (ИЛИ) МОДЕРНИЗАЦИИ ТЕПЛОВЫХ СЕТЕЙ КУЙБЫШЕВСКОГО СЕЛЬСКОГО ПОСЕЛЕНИЯ КУЙБЫШЕВСКОГО РАЙОНА РОСТОВСКОЙ ОБЛАСТИ ………………………………………………………………......….стр.27</w:t>
      </w:r>
    </w:p>
    <w:p w14:paraId="69000000">
      <w:pPr>
        <w:spacing w:after="0" w:line="20" w:lineRule="atLeast"/>
        <w:ind/>
        <w:jc w:val="both"/>
        <w:rPr>
          <w:sz w:val="28"/>
        </w:rPr>
      </w:pPr>
      <w:r>
        <w:rPr>
          <w:sz w:val="28"/>
        </w:rPr>
        <w:t xml:space="preserve">6.1 Предложения по строительству, реконструкции и </w:t>
      </w:r>
      <w:r>
        <w:rPr>
          <w:sz w:val="28"/>
        </w:rPr>
        <w:t>(или)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w:t>
      </w:r>
      <w:r>
        <w:rPr>
          <w:sz w:val="28"/>
        </w:rPr>
        <w:t>е существующих резервов) …………………………стр.27</w:t>
      </w:r>
    </w:p>
    <w:p w14:paraId="6A000000">
      <w:pPr>
        <w:spacing w:after="0" w:line="20" w:lineRule="atLeast"/>
        <w:ind/>
        <w:jc w:val="both"/>
        <w:rPr>
          <w:sz w:val="28"/>
        </w:rPr>
      </w:pPr>
      <w:r>
        <w:rPr>
          <w:sz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Куйбышевского сельского поселения Куйбышевского ра</w:t>
      </w:r>
      <w:r>
        <w:rPr>
          <w:sz w:val="28"/>
        </w:rPr>
        <w:t>йона Ростовской области под жилищную, комплексную или производственную застройку ………………………………………………...стр.27</w:t>
      </w:r>
    </w:p>
    <w:p w14:paraId="6B000000">
      <w:pPr>
        <w:spacing w:after="0" w:line="20" w:lineRule="atLeast"/>
        <w:ind/>
        <w:jc w:val="both"/>
        <w:rPr>
          <w:sz w:val="28"/>
        </w:rPr>
      </w:pPr>
      <w:r>
        <w:rPr>
          <w:sz w:val="28"/>
        </w:rPr>
        <w:t>6.3 Предложения по строительству, реконструкции и (или) модернизации тепловых сетей в целях обеспечения условий, при наличии которых существует воз</w:t>
      </w:r>
      <w:r>
        <w:rPr>
          <w:sz w:val="28"/>
        </w:rPr>
        <w:t>можность поставок тепловой энергии потребителям от различных источников тепловой энергии при сохранении надёжности теплоснабжения ……………………………………………………………..…стр.28</w:t>
      </w:r>
    </w:p>
    <w:p w14:paraId="6C000000">
      <w:pPr>
        <w:spacing w:after="0" w:line="20" w:lineRule="atLeast"/>
        <w:ind/>
        <w:jc w:val="both"/>
        <w:rPr>
          <w:sz w:val="28"/>
        </w:rPr>
      </w:pPr>
      <w:r>
        <w:rPr>
          <w:sz w:val="28"/>
        </w:rPr>
        <w:t>6.4 Предложения по строительству, реконструкции и (или) модернизации тепловых сетей для повыш</w:t>
      </w:r>
      <w:r>
        <w:rPr>
          <w:sz w:val="28"/>
        </w:rPr>
        <w:t>ения эффективности функционирования системы теплоснабжения, в том числе за счёт перевода котельных в пиковый режим работы или ликвидации котельных по основаниям, указанным в подпункте «д» пункта 11 Постановления Правительства РФ от 22.02.2012 № 154 (ред. о</w:t>
      </w:r>
      <w:r>
        <w:rPr>
          <w:sz w:val="28"/>
        </w:rPr>
        <w:t>т 10.01.2023 года) «О требованиях к схемам теплоснабжения, порядку их разработки и утверждения» …………………………………………….…….стр.28</w:t>
      </w:r>
    </w:p>
    <w:p w14:paraId="6D000000">
      <w:pPr>
        <w:spacing w:after="0" w:line="20" w:lineRule="atLeast"/>
        <w:ind/>
        <w:jc w:val="both"/>
        <w:rPr>
          <w:sz w:val="28"/>
        </w:rPr>
      </w:pPr>
      <w:r>
        <w:rPr>
          <w:sz w:val="28"/>
        </w:rPr>
        <w:t>6.5 Предложения по строительству, реконструкции и (или) модернизации тепловых сетей для обеспечения нормативной надёжности теплоснаб</w:t>
      </w:r>
      <w:r>
        <w:rPr>
          <w:sz w:val="28"/>
        </w:rPr>
        <w:t>жения потребителей…………………………………………………………………...стр.29</w:t>
      </w:r>
    </w:p>
    <w:p w14:paraId="6E000000">
      <w:pPr>
        <w:spacing w:after="0" w:line="20" w:lineRule="atLeast"/>
        <w:ind/>
        <w:jc w:val="both"/>
        <w:rPr>
          <w:sz w:val="28"/>
        </w:rPr>
      </w:pPr>
      <w:r>
        <w:rPr>
          <w:sz w:val="28"/>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КУЙБЫШЕВСКОГО СЕЛЬСКОГО ПОСЕЛЕНИЯ КУЙ</w:t>
      </w:r>
      <w:r>
        <w:rPr>
          <w:sz w:val="28"/>
        </w:rPr>
        <w:t>БЫШЕВСКОГО РАЙОНА РОСТОВСКОЙ ОБЛАСТИ………….........стр.29</w:t>
      </w:r>
    </w:p>
    <w:p w14:paraId="6F000000">
      <w:pPr>
        <w:spacing w:after="0" w:line="20" w:lineRule="atLeast"/>
        <w:ind/>
        <w:jc w:val="both"/>
        <w:rPr>
          <w:sz w:val="28"/>
        </w:rPr>
      </w:pPr>
      <w:r>
        <w:rPr>
          <w:sz w:val="28"/>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w:t>
      </w:r>
      <w:r>
        <w:rPr>
          <w:sz w:val="28"/>
        </w:rPr>
        <w:t xml:space="preserve"> необходимо строительство индивидуальных и (или) центральных тепловых пунктов при наличии у потребителей внутридомовых систем горячего водоснабжения …….................................................................................……..стр.29</w:t>
      </w:r>
    </w:p>
    <w:p w14:paraId="70000000">
      <w:pPr>
        <w:spacing w:after="0" w:line="20" w:lineRule="atLeast"/>
        <w:ind/>
        <w:jc w:val="both"/>
        <w:rPr>
          <w:sz w:val="28"/>
        </w:rPr>
      </w:pPr>
      <w:r>
        <w:rPr>
          <w:sz w:val="28"/>
        </w:rPr>
        <w:t xml:space="preserve">7.2 </w:t>
      </w:r>
      <w:r>
        <w:rPr>
          <w:sz w:val="28"/>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w:t>
      </w:r>
      <w:r>
        <w:rPr>
          <w:sz w:val="28"/>
        </w:rPr>
        <w:t>ли) центральных тепловых пунктов по причине отсутствия у потребителей внутридомовых систем горячего водоснабжения……………………............стр.29</w:t>
      </w:r>
    </w:p>
    <w:p w14:paraId="71000000">
      <w:pPr>
        <w:spacing w:after="0" w:line="20" w:lineRule="atLeast"/>
        <w:ind/>
        <w:jc w:val="both"/>
        <w:rPr>
          <w:sz w:val="28"/>
        </w:rPr>
      </w:pPr>
      <w:r>
        <w:rPr>
          <w:sz w:val="28"/>
        </w:rPr>
        <w:t xml:space="preserve">РАЗДЕЛ 8. ПЕРСПЕКТИВНЫЕ ТОПЛИВНЫЕ БАЛАНСЫ КУЙБЫШЕВСКОГО СЕЛЬСКОГО ПОСЕЛЕНИЯ КУЙБЫШЕВСКОГО РАЙОНА РОСТОВСКОЙ ОБЛАСТИ </w:t>
      </w:r>
      <w:r>
        <w:rPr>
          <w:sz w:val="28"/>
        </w:rPr>
        <w:t>.…........................................................стр.29</w:t>
      </w:r>
    </w:p>
    <w:p w14:paraId="72000000">
      <w:pPr>
        <w:spacing w:after="0" w:line="20" w:lineRule="atLeast"/>
        <w:ind/>
        <w:jc w:val="both"/>
        <w:rPr>
          <w:sz w:val="28"/>
        </w:rPr>
      </w:pPr>
      <w:r>
        <w:rPr>
          <w:sz w:val="28"/>
        </w:rPr>
        <w:t>8.1 Перспективные топливные балансы для каждого источника тепловой энергии по видам основного, резервного и аварийного топлива на каждом этапе ……………………………………………...............................</w:t>
      </w:r>
      <w:r>
        <w:rPr>
          <w:sz w:val="28"/>
        </w:rPr>
        <w:t>.…………         .стр.30</w:t>
      </w:r>
    </w:p>
    <w:p w14:paraId="73000000">
      <w:pPr>
        <w:spacing w:after="0" w:line="20" w:lineRule="atLeast"/>
        <w:ind/>
        <w:jc w:val="both"/>
        <w:rPr>
          <w:sz w:val="28"/>
        </w:rPr>
      </w:pPr>
      <w:r>
        <w:rPr>
          <w:sz w:val="28"/>
        </w:rPr>
        <w:t>8.2 Потребляемые источником тепловой энергии виды топлива, включая местные виды топлива, а также используемые возобновляемые источники энергии ……………………………………………………………………..…..стр.30</w:t>
      </w:r>
    </w:p>
    <w:p w14:paraId="74000000">
      <w:pPr>
        <w:spacing w:after="0" w:line="20" w:lineRule="atLeast"/>
        <w:ind/>
        <w:jc w:val="both"/>
        <w:rPr>
          <w:sz w:val="28"/>
        </w:rPr>
      </w:pPr>
      <w:r>
        <w:rPr>
          <w:sz w:val="28"/>
        </w:rPr>
        <w:t>8.3 Виды топлива, их долю и значение низшей теплоты с</w:t>
      </w:r>
      <w:r>
        <w:rPr>
          <w:sz w:val="28"/>
        </w:rPr>
        <w:t>горания топлива, используемые для производства тепловой энергии по каждой системе теплоснабжения ………………………………………………………………..стр.31</w:t>
      </w:r>
    </w:p>
    <w:p w14:paraId="75000000">
      <w:pPr>
        <w:spacing w:after="0" w:line="20" w:lineRule="atLeast"/>
        <w:ind/>
        <w:jc w:val="both"/>
        <w:rPr>
          <w:sz w:val="28"/>
        </w:rPr>
      </w:pPr>
      <w:r>
        <w:rPr>
          <w:sz w:val="28"/>
        </w:rPr>
        <w:t>8.4 Преобладающий в Куйбышевском сельском поселении Куйбышевского района Ростовской области, вид топлива, определяемый по сово</w:t>
      </w:r>
      <w:r>
        <w:rPr>
          <w:sz w:val="28"/>
        </w:rPr>
        <w:t>купности всех систем теплоснабжения, находящихся в Куйбышевском сельском поселении Куйбышевского района Ростовской области………………………………...стр.31</w:t>
      </w:r>
    </w:p>
    <w:p w14:paraId="76000000">
      <w:pPr>
        <w:spacing w:after="0" w:line="20" w:lineRule="atLeast"/>
        <w:ind/>
        <w:jc w:val="both"/>
        <w:rPr>
          <w:sz w:val="28"/>
        </w:rPr>
      </w:pPr>
      <w:r>
        <w:rPr>
          <w:sz w:val="28"/>
        </w:rPr>
        <w:t xml:space="preserve">8.5 Приоритетное направление развития топливного баланса Куйбышевского сельского поселения Куйбышевского района </w:t>
      </w:r>
      <w:r>
        <w:rPr>
          <w:sz w:val="28"/>
        </w:rPr>
        <w:t>Ростовской области………...стр.31</w:t>
      </w:r>
    </w:p>
    <w:p w14:paraId="77000000">
      <w:pPr>
        <w:spacing w:after="0" w:line="20" w:lineRule="atLeast"/>
        <w:ind/>
        <w:jc w:val="both"/>
        <w:rPr>
          <w:sz w:val="28"/>
        </w:rPr>
      </w:pPr>
      <w:r>
        <w:rPr>
          <w:sz w:val="28"/>
        </w:rPr>
        <w:t>РАЗДЕЛ 9. ИНВЕСТИЦИИ В СТРОИТЕЛЬСТВО, РЕКОНСТРУКЦИЮ, ТЕХНИЧЕСКОЕ ПЕРЕВООРУЖЕНИЕ И (ИЛИ) МОДЕРНИЗАЦИЮ КУЙБЫШЕВСКОГО СЕЛЬСКОГО ПОСЕЛЕНИЯ КУЙБЫШЕВСКОГО РАЙОНА РОСТОВСКОЙ ОБЛАСТИ………………….…………………….стр.31</w:t>
      </w:r>
    </w:p>
    <w:p w14:paraId="78000000">
      <w:pPr>
        <w:spacing w:after="0" w:line="20" w:lineRule="atLeast"/>
        <w:ind/>
        <w:jc w:val="both"/>
        <w:rPr>
          <w:sz w:val="28"/>
        </w:rPr>
      </w:pPr>
      <w:r>
        <w:rPr>
          <w:sz w:val="28"/>
        </w:rPr>
        <w:t>9.1 Предложения по величине</w:t>
      </w:r>
      <w:r>
        <w:rPr>
          <w:sz w:val="28"/>
        </w:rPr>
        <w:t xml:space="preserve"> необходимых инвестиций в строительство, реконструкцию, техническое перевооружение и (или) модернизацию источников тепловой энергии на каждом этапе ……………………………..стр.31</w:t>
      </w:r>
    </w:p>
    <w:p w14:paraId="79000000">
      <w:pPr>
        <w:spacing w:after="0" w:line="20" w:lineRule="atLeast"/>
        <w:ind/>
        <w:jc w:val="both"/>
        <w:rPr>
          <w:sz w:val="28"/>
        </w:rPr>
      </w:pPr>
      <w:r>
        <w:rPr>
          <w:sz w:val="28"/>
        </w:rPr>
        <w:t>9.2 Предложения по величине необходимых инвестиций в строительство, реконструкцию, техни</w:t>
      </w:r>
      <w:r>
        <w:rPr>
          <w:sz w:val="28"/>
        </w:rPr>
        <w:t>ческое перевооружение и (или) модернизацию тепловых сетей, насосных станций и тепловых пунктов на каждом этапе …………...стр.34</w:t>
      </w:r>
    </w:p>
    <w:p w14:paraId="7A000000">
      <w:pPr>
        <w:spacing w:after="0" w:line="20" w:lineRule="atLeast"/>
        <w:ind/>
        <w:jc w:val="both"/>
        <w:rPr>
          <w:sz w:val="28"/>
        </w:rPr>
      </w:pPr>
      <w:r>
        <w:rPr>
          <w:sz w:val="28"/>
        </w:rPr>
        <w:t>9.3 Предложения по величине инвестиций в строительство, реконструкцию, техническое перевооружение и (или) модернизацию в связи с из</w:t>
      </w:r>
      <w:r>
        <w:rPr>
          <w:sz w:val="28"/>
        </w:rPr>
        <w:t>менениями температурного графика и гидравлического режима работы системы теплоснабжения на каждом этапе …………………………………………....стр.35</w:t>
      </w:r>
    </w:p>
    <w:p w14:paraId="7B000000">
      <w:pPr>
        <w:spacing w:after="0" w:line="20" w:lineRule="atLeast"/>
        <w:ind/>
        <w:jc w:val="both"/>
        <w:rPr>
          <w:sz w:val="28"/>
        </w:rPr>
      </w:pPr>
      <w:r>
        <w:rPr>
          <w:sz w:val="28"/>
        </w:rPr>
        <w:t>9.4 Предложения по величине необходимых инвестиций для перевода открытой системы теплоснабжения (горячего водоснабжения), отд</w:t>
      </w:r>
      <w:r>
        <w:rPr>
          <w:sz w:val="28"/>
        </w:rPr>
        <w:t xml:space="preserve">ельных участков такой системы на закрытую систему горячего водоснабжения на каждом этапе...стр.36                                   </w:t>
      </w:r>
    </w:p>
    <w:p w14:paraId="7C000000">
      <w:pPr>
        <w:spacing w:after="0" w:line="20" w:lineRule="atLeast"/>
        <w:ind/>
        <w:jc w:val="both"/>
        <w:rPr>
          <w:sz w:val="28"/>
        </w:rPr>
      </w:pPr>
      <w:r>
        <w:rPr>
          <w:sz w:val="28"/>
        </w:rPr>
        <w:t>9.5 Оценка эффективности инвестиций по отдельным предложениям ……стр.36</w:t>
      </w:r>
    </w:p>
    <w:p w14:paraId="7D000000">
      <w:pPr>
        <w:spacing w:after="0" w:line="20" w:lineRule="atLeast"/>
        <w:ind/>
        <w:jc w:val="both"/>
        <w:rPr>
          <w:sz w:val="28"/>
        </w:rPr>
      </w:pPr>
      <w:r>
        <w:rPr>
          <w:sz w:val="28"/>
        </w:rPr>
        <w:t xml:space="preserve">9.6 Величина фактически осуществлённых инвестиций в </w:t>
      </w:r>
      <w:r>
        <w:rPr>
          <w:sz w:val="28"/>
        </w:rPr>
        <w:t>строительство, реконструкцию, техническое перевооружение и (или) модернизацию объектов теплоснабжения за базовый период и базовый период актуализации ……..стр.36</w:t>
      </w:r>
    </w:p>
    <w:p w14:paraId="7E000000">
      <w:pPr>
        <w:spacing w:after="0" w:line="20" w:lineRule="atLeast"/>
        <w:ind/>
        <w:jc w:val="both"/>
        <w:rPr>
          <w:sz w:val="28"/>
        </w:rPr>
      </w:pPr>
      <w:r>
        <w:rPr>
          <w:sz w:val="28"/>
        </w:rPr>
        <w:t>РАЗДЕЛ 10. РЕШЕНИЕ О ПРИСВОЕНИИ СТАТУСА ЕДИНОЙ ТЕПЛОСНАБЖАЮЩЕЙ ОРГАНИЗАЦИИ (ОРГАНИЗАЦИЯМ) КУЙБЫ</w:t>
      </w:r>
      <w:r>
        <w:rPr>
          <w:sz w:val="28"/>
        </w:rPr>
        <w:t>ШЕВСКОГО СЕЛЬСКОГО ПОСЕЛЕНИЯ КУЙБЫШЕВСКОГО РАЙОНА РОСТОВСКОЙ ОБЛАСТИ……......................................................стр.37</w:t>
      </w:r>
    </w:p>
    <w:p w14:paraId="7F000000">
      <w:pPr>
        <w:spacing w:after="0" w:line="20" w:lineRule="atLeast"/>
        <w:ind/>
        <w:jc w:val="both"/>
        <w:rPr>
          <w:sz w:val="28"/>
        </w:rPr>
      </w:pPr>
      <w:r>
        <w:rPr>
          <w:sz w:val="28"/>
        </w:rPr>
        <w:t>10.1 Решение о присвоении статуса единой теплоснабжающей организации (организациям) ………………………………………………………………...стр.37</w:t>
      </w:r>
    </w:p>
    <w:p w14:paraId="80000000">
      <w:pPr>
        <w:spacing w:after="0" w:line="20" w:lineRule="atLeast"/>
        <w:ind/>
        <w:jc w:val="both"/>
        <w:rPr>
          <w:sz w:val="28"/>
        </w:rPr>
      </w:pPr>
      <w:r>
        <w:rPr>
          <w:sz w:val="28"/>
        </w:rPr>
        <w:t>10.2 Ре</w:t>
      </w:r>
      <w:r>
        <w:rPr>
          <w:sz w:val="28"/>
        </w:rPr>
        <w:t>естр зон деятельности единой теплоснабжающей организации (организаций) …………………………………………………………………..стр.37</w:t>
      </w:r>
    </w:p>
    <w:p w14:paraId="81000000">
      <w:pPr>
        <w:spacing w:after="0" w:line="20" w:lineRule="atLeast"/>
        <w:ind/>
        <w:jc w:val="both"/>
        <w:rPr>
          <w:sz w:val="28"/>
        </w:rPr>
      </w:pPr>
      <w:r>
        <w:rPr>
          <w:sz w:val="28"/>
        </w:rPr>
        <w:t>10.3 Основания, в том числе критерии, в соответствии с которыми теплоснабжающей организации присвоен статус единой теплоснабжающей организации ……………………</w:t>
      </w:r>
      <w:r>
        <w:rPr>
          <w:sz w:val="28"/>
        </w:rPr>
        <w:t>……………………..………………………..стр.37</w:t>
      </w:r>
    </w:p>
    <w:p w14:paraId="82000000">
      <w:pPr>
        <w:spacing w:after="0" w:line="20" w:lineRule="atLeast"/>
        <w:ind/>
        <w:jc w:val="both"/>
        <w:rPr>
          <w:sz w:val="28"/>
        </w:rPr>
      </w:pPr>
      <w:r>
        <w:rPr>
          <w:sz w:val="28"/>
        </w:rPr>
        <w:t>10.4 Информация о поданных теплоснабжающими организациями заявках на присвоение статуса единой теплоснабжающей организации ………………стр.37</w:t>
      </w:r>
    </w:p>
    <w:p w14:paraId="83000000">
      <w:pPr>
        <w:spacing w:after="0" w:line="20" w:lineRule="atLeast"/>
        <w:ind/>
        <w:jc w:val="both"/>
        <w:rPr>
          <w:sz w:val="28"/>
        </w:rPr>
      </w:pPr>
      <w:r>
        <w:rPr>
          <w:sz w:val="28"/>
        </w:rPr>
        <w:t>10.5 Реестр систем теплоснабжения, содержащий перечень теплоснабжающих организаций, действую</w:t>
      </w:r>
      <w:r>
        <w:rPr>
          <w:sz w:val="28"/>
        </w:rPr>
        <w:t>щих в каждой системе теплоснабжения, расположенных в границах Куйбышевского сельского поселения Куйбышевского района Ростовской области……………………….………………………………...….стр.37</w:t>
      </w:r>
    </w:p>
    <w:p w14:paraId="84000000">
      <w:pPr>
        <w:spacing w:after="0" w:line="20" w:lineRule="atLeast"/>
        <w:ind/>
        <w:jc w:val="both"/>
        <w:rPr>
          <w:sz w:val="28"/>
        </w:rPr>
      </w:pPr>
      <w:r>
        <w:rPr>
          <w:sz w:val="28"/>
        </w:rPr>
        <w:t>РАЗДЕЛ 11. РЕШЕНИЯ О РАСПРЕДЕЛЕНИИ ТЕПЛОВОЙ НАГРУЗКИ МЕЖДУ ИСТОЧНИКАМИ ТЕПЛОВОЙ ЭНЕРГИИ</w:t>
      </w:r>
      <w:r>
        <w:rPr>
          <w:sz w:val="28"/>
        </w:rPr>
        <w:t xml:space="preserve"> КУЙБЫШЕВСКОГО СЕЛЬСКОГО ПОСЕЛЕНИЯ КУЙБЫШЕВСКОГО РАЙОНА РОСТОВСКОЙ ОБЛАСТИ……….…………………………………………….………………..стр.39</w:t>
      </w:r>
    </w:p>
    <w:p w14:paraId="85000000">
      <w:pPr>
        <w:spacing w:after="0" w:line="20" w:lineRule="atLeast"/>
        <w:ind/>
        <w:jc w:val="both"/>
        <w:rPr>
          <w:sz w:val="28"/>
        </w:rPr>
      </w:pPr>
      <w:r>
        <w:rPr>
          <w:sz w:val="28"/>
        </w:rPr>
        <w:t>РАЗДЕЛ 12. РЕШЕНИЯ ПО БЕСХОЗЯЙНЫМ ТЕПЛОВЫМ СЕТЯМ КУЙБЫШЕВСКОГО СЕЛЬСКОГО ПОСЕЛЕНИЯ КУЙБЫШЕВСКОГО РАЙОНА РОСТОВСКОЙ ОБЛАСТИ……….…………………………….…стр.39</w:t>
      </w:r>
    </w:p>
    <w:p w14:paraId="86000000">
      <w:pPr>
        <w:spacing w:after="0" w:line="20" w:lineRule="atLeast"/>
        <w:ind/>
        <w:jc w:val="both"/>
        <w:rPr>
          <w:sz w:val="28"/>
        </w:rPr>
      </w:pPr>
      <w:r>
        <w:rPr>
          <w:sz w:val="28"/>
        </w:rPr>
        <w:t>РАЗДЕЛ 13. СИНХРОНИЗАЦИЯ СХЕМЫ ТЕПЛОСНАБЖЕНИЯ СО СХЕМОЙ ГАЗОСНАБЖЕНИЯ И ГАЗИФИКАЦИИ РОСТОВСКОЙ ОБЛАСТИ И КУЙБЫШЕВСКОГО СЕЛЬСКОГО ПОСЕЛЕНИЯ КУЙБЫШЕВСКОГО РАЙОНА РОСТОВСКОЙ ОБЛАСТИ, СХЕМОЙ И ПРОГРАММОЙ РАЗВИТИЯ ЭЛЕКТРОЭНЕРГЕТИКИ, А ТАКЖЕ СО СХЕМОЙ ВОДОСНАБЖ</w:t>
      </w:r>
      <w:r>
        <w:rPr>
          <w:sz w:val="28"/>
        </w:rPr>
        <w:t>ЕНИЯ И ВОДООТВЕДЕНИЯ КУЙБЫШЕВСКОГО СЕЛЬСКОГО ПОСЕЛЕНИЯ КУЙБЫШЕВСКОГО РАЙОНА РОСТОВСКОЙ ОБЛАСТИ………………………………...........................…………………….стр.39</w:t>
      </w:r>
    </w:p>
    <w:p w14:paraId="87000000">
      <w:pPr>
        <w:spacing w:after="0" w:line="20" w:lineRule="atLeast"/>
        <w:ind/>
        <w:jc w:val="both"/>
        <w:rPr>
          <w:sz w:val="28"/>
        </w:rPr>
      </w:pPr>
      <w:r>
        <w:rPr>
          <w:sz w:val="28"/>
        </w:rPr>
        <w:t>13.1 Описание решений (на основе утверждённой региональной программы «Газификация жилищно-коммунального хоз</w:t>
      </w:r>
      <w:r>
        <w:rPr>
          <w:sz w:val="28"/>
        </w:rPr>
        <w:t>яйства, промышленных и иных организаций Ростовской области на 2021-2030 годы») о развитии соответствующей системы газоснабжения в части обеспечения топливом источников тепловой энергии …………....................................………...……стр.40</w:t>
      </w:r>
    </w:p>
    <w:p w14:paraId="88000000">
      <w:pPr>
        <w:spacing w:after="0" w:line="20" w:lineRule="atLeast"/>
        <w:ind/>
        <w:jc w:val="both"/>
        <w:rPr>
          <w:sz w:val="28"/>
        </w:rPr>
      </w:pPr>
      <w:r>
        <w:rPr>
          <w:sz w:val="28"/>
        </w:rPr>
        <w:t>13.2 Описание пр</w:t>
      </w:r>
      <w:r>
        <w:rPr>
          <w:sz w:val="28"/>
        </w:rPr>
        <w:t>облем организации газоснабжения источников тепловой энергии …………………………………………………………………………стр.40</w:t>
      </w:r>
    </w:p>
    <w:p w14:paraId="89000000">
      <w:pPr>
        <w:spacing w:after="0" w:line="20" w:lineRule="atLeast"/>
        <w:ind/>
        <w:jc w:val="both"/>
        <w:rPr>
          <w:sz w:val="28"/>
        </w:rPr>
      </w:pPr>
      <w:r>
        <w:rPr>
          <w:sz w:val="28"/>
        </w:rPr>
        <w:t>13.3 Предложения по корректировке утверждённой региональной программы «Газификация жилищно-коммунального хозяйства, промышленных и иных организаций Ростовской об</w:t>
      </w:r>
      <w:r>
        <w:rPr>
          <w:sz w:val="28"/>
        </w:rPr>
        <w:t>ласти на 2021-2030 годы»)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…………………………………………………………...…...стр.40</w:t>
      </w:r>
    </w:p>
    <w:p w14:paraId="8A000000">
      <w:pPr>
        <w:spacing w:after="0" w:line="20" w:lineRule="atLeast"/>
        <w:ind/>
        <w:jc w:val="both"/>
        <w:rPr>
          <w:sz w:val="28"/>
        </w:rPr>
      </w:pPr>
      <w:r>
        <w:rPr>
          <w:sz w:val="28"/>
        </w:rPr>
        <w:t>13.4 Описание решений (вырабатываемых</w:t>
      </w:r>
      <w:r>
        <w:rPr>
          <w:sz w:val="28"/>
        </w:rPr>
        <w:t xml:space="preserve"> с учётом положений утверждённой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w:t>
      </w:r>
      <w:r>
        <w:rPr>
          <w:sz w:val="28"/>
        </w:rPr>
        <w:t xml:space="preserve">ключая входящее в их состав оборудование, функционирующих в режиме комбинированной выработки электрической и </w:t>
      </w:r>
      <w:r>
        <w:rPr>
          <w:sz w:val="28"/>
        </w:rPr>
        <w:t>тепловой энергии, в части перспективных балансов тепловой мощности в схемах теплоснабжения………………………………………………………..стр.40</w:t>
      </w:r>
    </w:p>
    <w:p w14:paraId="8B000000">
      <w:pPr>
        <w:spacing w:after="0" w:line="20" w:lineRule="atLeast"/>
        <w:ind/>
        <w:jc w:val="both"/>
        <w:rPr>
          <w:sz w:val="28"/>
        </w:rPr>
      </w:pPr>
      <w:r>
        <w:rPr>
          <w:sz w:val="28"/>
        </w:rPr>
        <w:t>13.5 Предложения по строите</w:t>
      </w:r>
      <w:r>
        <w:rPr>
          <w:sz w:val="28"/>
        </w:rPr>
        <w:t>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Ростовской области,</w:t>
      </w:r>
      <w:r>
        <w:rPr>
          <w:sz w:val="28"/>
        </w:rPr>
        <w:t xml:space="preserve">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……...стр.41</w:t>
      </w:r>
    </w:p>
    <w:p w14:paraId="8C000000">
      <w:pPr>
        <w:spacing w:after="0" w:line="20" w:lineRule="atLeast"/>
        <w:ind/>
        <w:jc w:val="both"/>
        <w:rPr>
          <w:sz w:val="28"/>
        </w:rPr>
      </w:pPr>
      <w:r>
        <w:rPr>
          <w:sz w:val="28"/>
        </w:rPr>
        <w:t>13.6 Описание решений (вырабатываемых с учётом положений утверждён</w:t>
      </w:r>
      <w:r>
        <w:rPr>
          <w:sz w:val="28"/>
        </w:rPr>
        <w:t>ной схемы водоснабжения Куйбышевского сельского поселения Куйбышевского района Ростовской области) о развитии соответствующей системы водоснабжения в части, относящейся к системам теплоснабжения ……….стр.41</w:t>
      </w:r>
    </w:p>
    <w:p w14:paraId="8D000000">
      <w:pPr>
        <w:spacing w:after="0" w:line="20" w:lineRule="atLeast"/>
        <w:ind/>
        <w:jc w:val="both"/>
        <w:rPr>
          <w:sz w:val="28"/>
        </w:rPr>
      </w:pPr>
      <w:r>
        <w:rPr>
          <w:sz w:val="28"/>
        </w:rPr>
        <w:t>13.7 Предложения по корректировке утверждённой (ра</w:t>
      </w:r>
      <w:r>
        <w:rPr>
          <w:sz w:val="28"/>
        </w:rPr>
        <w:t>зработке) схемы водоснабжения и водоотведения Куйбышевского сельского поселения Куйбышевского района Ростовской области для обеспечения согласованности такой схемы и указанных в схеме теплоснабжения решений о развитии источников тепловой энергии и систем т</w:t>
      </w:r>
      <w:r>
        <w:rPr>
          <w:sz w:val="28"/>
        </w:rPr>
        <w:t>еплоснабжения …………………..стр.41</w:t>
      </w:r>
    </w:p>
    <w:p w14:paraId="8E000000">
      <w:pPr>
        <w:spacing w:after="0" w:line="20" w:lineRule="atLeast"/>
        <w:ind/>
        <w:jc w:val="both"/>
        <w:rPr>
          <w:sz w:val="28"/>
        </w:rPr>
      </w:pPr>
      <w:r>
        <w:rPr>
          <w:sz w:val="28"/>
        </w:rPr>
        <w:t>РАЗДЕЛ 14. ИНДИКАТОРЫ РАЗВИТИЯ СИСТЕМ ТЕПЛОСНАБЖЕНИЯ КУЙБЫШЕВСКОГО СЕЛЬСКОГО ПОСЕЛЕНИЯ КУЙБЫШЕВСКОГО РАЙОНА РОСТОВСКОЙ ОБЛАСТИ……………………….……………….стр.41</w:t>
      </w:r>
    </w:p>
    <w:p w14:paraId="8F000000">
      <w:pPr>
        <w:spacing w:after="0" w:line="20" w:lineRule="atLeast"/>
        <w:ind/>
        <w:jc w:val="both"/>
        <w:rPr>
          <w:sz w:val="28"/>
        </w:rPr>
      </w:pPr>
      <w:r>
        <w:rPr>
          <w:sz w:val="28"/>
        </w:rPr>
        <w:t>РАЗДЕЛ 15. ЦЕНОВЫЕ (ТАРИФНЫЕ) ПОСЛЕДСТВИЯ ………………...стр.44</w:t>
      </w:r>
    </w:p>
    <w:p w14:paraId="90000000">
      <w:pPr>
        <w:spacing w:after="0" w:line="20" w:lineRule="atLeast"/>
        <w:ind/>
        <w:jc w:val="both"/>
        <w:rPr>
          <w:sz w:val="28"/>
        </w:rPr>
      </w:pPr>
      <w:r>
        <w:rPr>
          <w:sz w:val="28"/>
        </w:rPr>
        <w:t>ЧАСТЬ II. ОБОСНОВЫ</w:t>
      </w:r>
      <w:r>
        <w:rPr>
          <w:sz w:val="28"/>
        </w:rPr>
        <w:t>ВАЮЩИЕ МАТЕРИАЛЫ К АКТУАЛИЗАЦИИ СХЕМЫ ТЕПЛОСНАБЖЕНИЯ КУЙБЫШЕВСКОГО СЕЛЬСКОГО ПОСЕЛЕНИЯ КУЙБЫШЕВСКОГО РАЙОНА РОСТОВСКОЙ ОБЛАСТИ …………………………………………………………………..                    .…стр.45</w:t>
      </w:r>
    </w:p>
    <w:p w14:paraId="91000000">
      <w:pPr>
        <w:spacing w:after="0" w:line="20" w:lineRule="atLeast"/>
        <w:ind/>
        <w:jc w:val="both"/>
        <w:rPr>
          <w:sz w:val="28"/>
        </w:rPr>
      </w:pPr>
      <w:r>
        <w:rPr>
          <w:sz w:val="28"/>
        </w:rPr>
        <w:t>Глава 1 «Существующее положение в сфере производства, передачи и потребле</w:t>
      </w:r>
      <w:r>
        <w:rPr>
          <w:sz w:val="28"/>
        </w:rPr>
        <w:t>ния тепловой энергии для целей теплоснабжения Куйбышевского сельского поселения Куйбышевского района Ростовской области» ............стр.46</w:t>
      </w:r>
    </w:p>
    <w:p w14:paraId="92000000">
      <w:pPr>
        <w:spacing w:after="0" w:line="20" w:lineRule="atLeast"/>
        <w:ind/>
        <w:jc w:val="both"/>
        <w:rPr>
          <w:sz w:val="28"/>
        </w:rPr>
      </w:pPr>
      <w:r>
        <w:rPr>
          <w:sz w:val="28"/>
        </w:rPr>
        <w:t>Часть 1 «Функциональная структура теплоснабжения Куйбышевского сельского поселения Куйбышевского района Ростовской о</w:t>
      </w:r>
      <w:r>
        <w:rPr>
          <w:sz w:val="28"/>
        </w:rPr>
        <w:t>бласти» ...…….стр.46</w:t>
      </w:r>
    </w:p>
    <w:p w14:paraId="93000000">
      <w:pPr>
        <w:spacing w:after="0" w:line="20" w:lineRule="atLeast"/>
        <w:ind/>
        <w:jc w:val="both"/>
        <w:rPr>
          <w:sz w:val="28"/>
        </w:rPr>
      </w:pPr>
      <w:r>
        <w:rPr>
          <w:sz w:val="28"/>
        </w:rPr>
        <w:t>Часть 2 «Источники тепловой энергии Куйбышевского сельского поселения Куйбышевского района Ростовской области» ….…………...........................стр.47</w:t>
      </w:r>
    </w:p>
    <w:p w14:paraId="94000000">
      <w:pPr>
        <w:spacing w:after="0" w:line="20" w:lineRule="atLeast"/>
        <w:ind/>
        <w:jc w:val="both"/>
        <w:rPr>
          <w:sz w:val="28"/>
        </w:rPr>
      </w:pPr>
      <w:r>
        <w:rPr>
          <w:sz w:val="28"/>
        </w:rPr>
        <w:t>Часть 3 «Тепловые сети, сооружения на них Куйбышевского сельского поселения Куйбышев</w:t>
      </w:r>
      <w:r>
        <w:rPr>
          <w:sz w:val="28"/>
        </w:rPr>
        <w:t>ского района Ростовской области» ………….……….стр.52</w:t>
      </w:r>
    </w:p>
    <w:p w14:paraId="95000000">
      <w:pPr>
        <w:spacing w:after="0" w:line="20" w:lineRule="atLeast"/>
        <w:ind/>
        <w:jc w:val="both"/>
        <w:rPr>
          <w:sz w:val="28"/>
        </w:rPr>
      </w:pPr>
      <w:r>
        <w:rPr>
          <w:sz w:val="28"/>
        </w:rPr>
        <w:t>Часть 4 «Зоны действия источников тепловой энергии Куйбышевского сельского поселения Куйбышевского района Ростовской области» ……....стр.57</w:t>
      </w:r>
    </w:p>
    <w:p w14:paraId="96000000">
      <w:pPr>
        <w:spacing w:after="0" w:line="20" w:lineRule="atLeast"/>
        <w:ind/>
        <w:jc w:val="both"/>
        <w:rPr>
          <w:sz w:val="28"/>
        </w:rPr>
      </w:pPr>
      <w:r>
        <w:rPr>
          <w:sz w:val="28"/>
        </w:rPr>
        <w:t>Часть 5 «Тепловые нагрузки потребителей тепловой энергии, групп потр</w:t>
      </w:r>
      <w:r>
        <w:rPr>
          <w:sz w:val="28"/>
        </w:rPr>
        <w:t>ебителей тепловой энергии Куйбышевского сельского поселения Куйбышевского района Ростовской области» ……………………………....стр.57</w:t>
      </w:r>
    </w:p>
    <w:p w14:paraId="97000000">
      <w:pPr>
        <w:spacing w:after="0" w:line="20" w:lineRule="atLeast"/>
        <w:ind/>
        <w:jc w:val="both"/>
        <w:rPr>
          <w:sz w:val="28"/>
        </w:rPr>
      </w:pPr>
      <w:r>
        <w:rPr>
          <w:sz w:val="28"/>
        </w:rPr>
        <w:t>Часть 6 «Балансы тепловой мощности и тепловой нагрузки Куйбышевского сельского поселения Куйбышевского района Ростовской области» …..</w:t>
      </w:r>
      <w:r>
        <w:rPr>
          <w:sz w:val="28"/>
        </w:rPr>
        <w:t>…..стр.60</w:t>
      </w:r>
    </w:p>
    <w:p w14:paraId="98000000">
      <w:pPr>
        <w:spacing w:after="0" w:line="20" w:lineRule="atLeast"/>
        <w:ind/>
        <w:jc w:val="both"/>
        <w:rPr>
          <w:sz w:val="28"/>
        </w:rPr>
      </w:pPr>
      <w:r>
        <w:rPr>
          <w:sz w:val="28"/>
        </w:rPr>
        <w:t>Часть 7 «Балансы теплоносителя Куйбышевского сельского поселения Куйбышевского района Ростовской области» ………....................................стр.62</w:t>
      </w:r>
    </w:p>
    <w:p w14:paraId="99000000">
      <w:pPr>
        <w:spacing w:after="0" w:line="20" w:lineRule="atLeast"/>
        <w:ind/>
        <w:jc w:val="both"/>
        <w:rPr>
          <w:sz w:val="28"/>
        </w:rPr>
      </w:pPr>
      <w:r>
        <w:rPr>
          <w:sz w:val="28"/>
        </w:rPr>
        <w:t>Часть 8 «Топливные балансы источников тепловой энергии и система обеспечения топливом Куйбышев</w:t>
      </w:r>
      <w:r>
        <w:rPr>
          <w:sz w:val="28"/>
        </w:rPr>
        <w:t>ского сельского поселения Куйбышевского района Ростовской области» ……......……………………………………..….стр.63</w:t>
      </w:r>
    </w:p>
    <w:p w14:paraId="9A000000">
      <w:pPr>
        <w:spacing w:after="0" w:line="20" w:lineRule="atLeast"/>
        <w:ind/>
        <w:jc w:val="both"/>
        <w:rPr>
          <w:sz w:val="28"/>
        </w:rPr>
      </w:pPr>
      <w:r>
        <w:rPr>
          <w:sz w:val="28"/>
        </w:rPr>
        <w:t>Часть 9 «Надёжность теплоснабжения Куйбышевского сельского поселения Куйбышевского района Ростовской области» …………...................…….....стр.64</w:t>
      </w:r>
    </w:p>
    <w:p w14:paraId="9B000000">
      <w:pPr>
        <w:spacing w:after="0" w:line="20" w:lineRule="atLeast"/>
        <w:ind/>
        <w:jc w:val="both"/>
        <w:rPr>
          <w:sz w:val="28"/>
        </w:rPr>
      </w:pPr>
      <w:r>
        <w:rPr>
          <w:sz w:val="28"/>
        </w:rPr>
        <w:t xml:space="preserve">Часть 10 </w:t>
      </w:r>
      <w:r>
        <w:rPr>
          <w:sz w:val="28"/>
        </w:rPr>
        <w:t>«Технико – экономические показатели теплоснабжающих и теплосетевых организаций Куйбышевского сельского поселения Куйбышевского района Ростовской области» ……………...........……..…...стр.66</w:t>
      </w:r>
    </w:p>
    <w:p w14:paraId="9C000000">
      <w:pPr>
        <w:spacing w:after="0" w:line="20" w:lineRule="atLeast"/>
        <w:ind/>
        <w:jc w:val="both"/>
        <w:rPr>
          <w:sz w:val="28"/>
        </w:rPr>
      </w:pPr>
      <w:r>
        <w:rPr>
          <w:sz w:val="28"/>
        </w:rPr>
        <w:t xml:space="preserve">Часть 11 «Цены (тарифы) в сфере теплоснабжения Куйбышевского сельского </w:t>
      </w:r>
      <w:r>
        <w:rPr>
          <w:sz w:val="28"/>
        </w:rPr>
        <w:t>поселения Куйбышевского района Ростовской области» ..............................стр.66</w:t>
      </w:r>
    </w:p>
    <w:p w14:paraId="9D000000">
      <w:pPr>
        <w:spacing w:after="0" w:line="20" w:lineRule="atLeast"/>
        <w:ind/>
        <w:jc w:val="both"/>
        <w:rPr>
          <w:sz w:val="28"/>
        </w:rPr>
      </w:pPr>
      <w:r>
        <w:rPr>
          <w:sz w:val="28"/>
        </w:rPr>
        <w:t>Часть 12 «Описание существующих технических и технологических проблем в системах теплоснабжения Куйбышевского сельского поселения Куйбышевского района Ростовской област</w:t>
      </w:r>
      <w:r>
        <w:rPr>
          <w:sz w:val="28"/>
        </w:rPr>
        <w:t>и» …………................................стр.68</w:t>
      </w:r>
    </w:p>
    <w:p w14:paraId="9E000000">
      <w:pPr>
        <w:spacing w:after="0" w:line="20" w:lineRule="atLeast"/>
        <w:ind/>
        <w:jc w:val="both"/>
        <w:rPr>
          <w:sz w:val="28"/>
        </w:rPr>
      </w:pPr>
      <w:r>
        <w:rPr>
          <w:sz w:val="28"/>
        </w:rPr>
        <w:t>Глава 2 «Перспективное потребление тепловой энергии на цели теплоснабжения Куйбышевского сельского поселения Куйбышевского района Ростовской области» …………..…………………………………………........стр.68</w:t>
      </w:r>
    </w:p>
    <w:p w14:paraId="9F000000">
      <w:pPr>
        <w:spacing w:after="0" w:line="20" w:lineRule="atLeast"/>
        <w:ind/>
        <w:jc w:val="both"/>
        <w:rPr>
          <w:sz w:val="28"/>
        </w:rPr>
      </w:pPr>
      <w:r>
        <w:rPr>
          <w:sz w:val="28"/>
        </w:rPr>
        <w:t>Глава 3 «Электронная мо</w:t>
      </w:r>
      <w:r>
        <w:rPr>
          <w:sz w:val="28"/>
        </w:rPr>
        <w:t>дель системы теплоснабжения Куйбышевского сельского поселения Куйбышевского района Ростовской области» …..…..стр.70</w:t>
      </w:r>
    </w:p>
    <w:p w14:paraId="A0000000">
      <w:pPr>
        <w:spacing w:after="0" w:line="20" w:lineRule="atLeast"/>
        <w:ind/>
        <w:jc w:val="both"/>
        <w:rPr>
          <w:sz w:val="28"/>
        </w:rPr>
      </w:pPr>
      <w:r>
        <w:rPr>
          <w:sz w:val="28"/>
        </w:rPr>
        <w:t xml:space="preserve">Глава 4 «Перспективные балансы тепловой мощности источников тепловой энергии и тепловой нагрузки Куйбышевского сельского поселения </w:t>
      </w:r>
      <w:r>
        <w:rPr>
          <w:sz w:val="28"/>
        </w:rPr>
        <w:t>Куйбышевского района Ростовской области» ……………............................стр.70</w:t>
      </w:r>
    </w:p>
    <w:p w14:paraId="A1000000">
      <w:pPr>
        <w:spacing w:after="0" w:line="20" w:lineRule="atLeast"/>
        <w:ind/>
        <w:jc w:val="both"/>
        <w:rPr>
          <w:sz w:val="28"/>
        </w:rPr>
      </w:pPr>
      <w:r>
        <w:rPr>
          <w:sz w:val="28"/>
        </w:rPr>
        <w:t>Глава 5 «Мастер-план развития систем теплоснабжения Куйбышевского сельского поселения Куйбышевского района Ростовской области» ……....стр.72</w:t>
      </w:r>
    </w:p>
    <w:p w14:paraId="A2000000">
      <w:pPr>
        <w:spacing w:after="0" w:line="20" w:lineRule="atLeast"/>
        <w:ind/>
        <w:jc w:val="both"/>
        <w:rPr>
          <w:sz w:val="28"/>
        </w:rPr>
      </w:pPr>
      <w:r>
        <w:rPr>
          <w:sz w:val="28"/>
        </w:rPr>
        <w:t xml:space="preserve">Глава 6 «Существующие и </w:t>
      </w:r>
      <w:r>
        <w:rPr>
          <w:sz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Куйбышевского сельского поселения Куйбышевского района Ростовской</w:t>
      </w:r>
      <w:r>
        <w:rPr>
          <w:sz w:val="28"/>
        </w:rPr>
        <w:t xml:space="preserve"> области» …………………......…………………………………....стр.73</w:t>
      </w:r>
    </w:p>
    <w:p w14:paraId="A3000000">
      <w:pPr>
        <w:spacing w:after="0" w:line="20" w:lineRule="atLeast"/>
        <w:ind/>
        <w:jc w:val="both"/>
        <w:rPr>
          <w:sz w:val="28"/>
        </w:rPr>
      </w:pPr>
      <w:r>
        <w:rPr>
          <w:sz w:val="28"/>
        </w:rPr>
        <w:t>6.1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w:t>
      </w:r>
      <w:r>
        <w:rPr>
          <w:sz w:val="28"/>
        </w:rPr>
        <w:t>ле в аварийных режимах, за период, предшествующий актуализации схемы теплоснабжения ……………………………………………………..…стр.73</w:t>
      </w:r>
    </w:p>
    <w:p w14:paraId="A4000000">
      <w:pPr>
        <w:spacing w:after="0" w:line="20" w:lineRule="atLeast"/>
        <w:ind/>
        <w:jc w:val="both"/>
        <w:rPr>
          <w:sz w:val="28"/>
        </w:rPr>
      </w:pPr>
      <w:r>
        <w:rPr>
          <w:sz w:val="28"/>
        </w:rPr>
        <w:t>6.2 Сравнительный анализ расчётных и фактических потерь теплоносителя для всех зон действия источников тепловой энергии за период, предшествую</w:t>
      </w:r>
      <w:r>
        <w:rPr>
          <w:sz w:val="28"/>
        </w:rPr>
        <w:t>щий актуализации схемы теплоснабжения …………………………………...…...стр.73</w:t>
      </w:r>
    </w:p>
    <w:p w14:paraId="A5000000">
      <w:pPr>
        <w:spacing w:after="0" w:line="20" w:lineRule="atLeast"/>
        <w:ind/>
        <w:jc w:val="both"/>
        <w:rPr>
          <w:sz w:val="28"/>
        </w:rPr>
      </w:pPr>
      <w:r>
        <w:rPr>
          <w:sz w:val="28"/>
        </w:rPr>
        <w:t>Глава 7 «Предложения по строительству, реконструкции, техническому перевооружению и (или) модернизации источников тепловой энергии Куйбышевского сельского поселения Куйбышевского района Росто</w:t>
      </w:r>
      <w:r>
        <w:rPr>
          <w:sz w:val="28"/>
        </w:rPr>
        <w:t>вской области» ..............................................................................................................стр.74</w:t>
      </w:r>
    </w:p>
    <w:p w14:paraId="A6000000">
      <w:pPr>
        <w:spacing w:after="0" w:line="20" w:lineRule="atLeast"/>
        <w:ind/>
        <w:jc w:val="both"/>
        <w:rPr>
          <w:sz w:val="28"/>
        </w:rPr>
      </w:pPr>
      <w:r>
        <w:rPr>
          <w:sz w:val="28"/>
        </w:rPr>
        <w:t>Глава 8 «Предложения по строительству, реконструкции и (или) модернизации тепловых сетей Куйбышевского сельского поселения К</w:t>
      </w:r>
      <w:r>
        <w:rPr>
          <w:sz w:val="28"/>
        </w:rPr>
        <w:t>уйбышевского района Ростовской области» …......................................................................................стр.79</w:t>
      </w:r>
    </w:p>
    <w:p w14:paraId="A7000000">
      <w:pPr>
        <w:spacing w:after="0" w:line="20" w:lineRule="atLeast"/>
        <w:ind/>
        <w:jc w:val="both"/>
        <w:rPr>
          <w:sz w:val="28"/>
        </w:rPr>
      </w:pPr>
      <w:r>
        <w:rPr>
          <w:sz w:val="28"/>
        </w:rPr>
        <w:t xml:space="preserve">Глава 9 «Предложения по переводу открытых систем теплоснабжения (горячего водоснабжения), отдельных участков таких систем </w:t>
      </w:r>
      <w:r>
        <w:rPr>
          <w:sz w:val="28"/>
        </w:rPr>
        <w:t>на закрытые системы горячего водоснабжения Куйбышевского сельского поселения Куйбышевского района Ростовской области» ………………………............стр.82</w:t>
      </w:r>
    </w:p>
    <w:p w14:paraId="A8000000">
      <w:pPr>
        <w:spacing w:after="0" w:line="20" w:lineRule="atLeast"/>
        <w:ind/>
        <w:jc w:val="both"/>
        <w:rPr>
          <w:sz w:val="28"/>
        </w:rPr>
      </w:pPr>
      <w:r>
        <w:rPr>
          <w:sz w:val="28"/>
        </w:rPr>
        <w:t>Глава 10 «Перспективные топливные балансы Куйбышевского сельского поселения Куйбышевского района Ростовской об</w:t>
      </w:r>
      <w:r>
        <w:rPr>
          <w:sz w:val="28"/>
        </w:rPr>
        <w:t>ласти»  …………..……...стр.83</w:t>
      </w:r>
    </w:p>
    <w:p w14:paraId="A9000000">
      <w:pPr>
        <w:spacing w:after="0" w:line="20" w:lineRule="atLeast"/>
        <w:ind/>
        <w:jc w:val="both"/>
        <w:rPr>
          <w:sz w:val="28"/>
        </w:rPr>
      </w:pPr>
      <w:r>
        <w:rPr>
          <w:sz w:val="28"/>
        </w:rPr>
        <w:t>Глава 11 «Оценка надёжности теплоснабжения Куйбышевского сельского поселения Куйбышевского района Ростовской области»  …….........…........стр.85</w:t>
      </w:r>
    </w:p>
    <w:p w14:paraId="AA000000">
      <w:pPr>
        <w:spacing w:after="0" w:line="20" w:lineRule="atLeast"/>
        <w:ind/>
        <w:jc w:val="both"/>
        <w:rPr>
          <w:sz w:val="28"/>
        </w:rPr>
      </w:pPr>
      <w:r>
        <w:rPr>
          <w:sz w:val="28"/>
        </w:rPr>
        <w:t>Глава 12 «Обоснование инвестиций в строительство, реконструкцию, техническое перевоо</w:t>
      </w:r>
      <w:r>
        <w:rPr>
          <w:sz w:val="28"/>
        </w:rPr>
        <w:t>ружение и (или) модернизацию Куйбышевского сельского поселения Куйбышевского района Ростовской области» ………..……..…..стр.88</w:t>
      </w:r>
    </w:p>
    <w:p w14:paraId="AB000000">
      <w:pPr>
        <w:spacing w:after="0" w:line="20" w:lineRule="atLeast"/>
        <w:ind/>
        <w:jc w:val="both"/>
        <w:rPr>
          <w:sz w:val="28"/>
        </w:rPr>
      </w:pPr>
      <w:r>
        <w:rPr>
          <w:sz w:val="28"/>
        </w:rPr>
        <w:t>Глава 13 «Индикаторы развития систем теплоснабжения Куйбышевского сельского поселения Куйбышевского района Ростовской области» …..…..</w:t>
      </w:r>
      <w:r>
        <w:rPr>
          <w:sz w:val="28"/>
        </w:rPr>
        <w:t>стр.89</w:t>
      </w:r>
    </w:p>
    <w:p w14:paraId="AC000000">
      <w:pPr>
        <w:spacing w:after="0" w:line="20" w:lineRule="atLeast"/>
        <w:ind/>
        <w:jc w:val="both"/>
        <w:rPr>
          <w:sz w:val="28"/>
        </w:rPr>
      </w:pPr>
      <w:r>
        <w:rPr>
          <w:sz w:val="28"/>
        </w:rPr>
        <w:t>Глава 14 «Ценовые (тарифные) последствия Куйбышевского сельского поселения Куйбышевского района Ростовской области» ……….……..…...стр.90</w:t>
      </w:r>
    </w:p>
    <w:p w14:paraId="AD000000">
      <w:pPr>
        <w:spacing w:after="0" w:line="20" w:lineRule="atLeast"/>
        <w:ind/>
        <w:jc w:val="both"/>
        <w:rPr>
          <w:sz w:val="28"/>
        </w:rPr>
      </w:pPr>
      <w:r>
        <w:rPr>
          <w:sz w:val="28"/>
        </w:rPr>
        <w:t>Глава 15 «Реестр единых теплоснабжающих организаций Куйбышевского сельского поселения Куйбышевского района Ростовс</w:t>
      </w:r>
      <w:r>
        <w:rPr>
          <w:sz w:val="28"/>
        </w:rPr>
        <w:t>кой области» …..…..стр.91</w:t>
      </w:r>
    </w:p>
    <w:p w14:paraId="AE000000">
      <w:pPr>
        <w:spacing w:after="0" w:line="20" w:lineRule="atLeast"/>
        <w:ind/>
        <w:jc w:val="both"/>
        <w:rPr>
          <w:sz w:val="28"/>
        </w:rPr>
      </w:pPr>
      <w:r>
        <w:rPr>
          <w:sz w:val="28"/>
        </w:rPr>
        <w:t>Глава 16 «Реестр мероприятий схемы теплоснабжения Куйбышевского сельского поселения Куйбышевского района Ростовской области» ……....стр.92</w:t>
      </w:r>
    </w:p>
    <w:p w14:paraId="AF000000">
      <w:pPr>
        <w:spacing w:after="0" w:line="20" w:lineRule="atLeast"/>
        <w:ind/>
        <w:jc w:val="both"/>
        <w:rPr>
          <w:sz w:val="28"/>
        </w:rPr>
      </w:pPr>
      <w:r>
        <w:rPr>
          <w:sz w:val="28"/>
        </w:rPr>
        <w:t>16.1 Перечень мероприятий по строительству, реконструкции или техническому перевооружению ис</w:t>
      </w:r>
      <w:r>
        <w:rPr>
          <w:sz w:val="28"/>
        </w:rPr>
        <w:t>точников тепловой энергии ………….стр.92 16.2 Перечень мероприятий по строительству, реконструкции и техническому перевооружению тепловых сетей и сооружений на них ……………...….....стр.92</w:t>
      </w:r>
    </w:p>
    <w:p w14:paraId="B0000000">
      <w:pPr>
        <w:spacing w:after="0" w:line="20" w:lineRule="atLeast"/>
        <w:ind/>
        <w:jc w:val="both"/>
        <w:rPr>
          <w:sz w:val="28"/>
        </w:rPr>
      </w:pPr>
      <w:r>
        <w:rPr>
          <w:sz w:val="28"/>
        </w:rPr>
        <w:t>16.3 Перечень мероприятий, обеспечивающих перевод открытых систем теплосна</w:t>
      </w:r>
      <w:r>
        <w:rPr>
          <w:sz w:val="28"/>
        </w:rPr>
        <w:t>бжения (горячего водоснабжения), отдельных участков таких систем на закрытые системы горячего водоснабжения ………………………..........стр.92</w:t>
      </w:r>
    </w:p>
    <w:p w14:paraId="B1000000">
      <w:pPr>
        <w:spacing w:after="0" w:line="20" w:lineRule="atLeast"/>
        <w:ind/>
        <w:jc w:val="both"/>
        <w:rPr>
          <w:sz w:val="28"/>
        </w:rPr>
      </w:pPr>
      <w:r>
        <w:rPr>
          <w:sz w:val="28"/>
        </w:rPr>
        <w:t>Глава 17 «Замечания и предложения к проекту схемы теплоснабжения Куйбышевского сельского поселения Куйбышевского района Ро</w:t>
      </w:r>
      <w:r>
        <w:rPr>
          <w:sz w:val="28"/>
        </w:rPr>
        <w:t>стовской области» ……......…………………………………………………………..…..стр.92</w:t>
      </w:r>
    </w:p>
    <w:p w14:paraId="B2000000">
      <w:pPr>
        <w:spacing w:after="0" w:line="20" w:lineRule="atLeast"/>
        <w:ind/>
        <w:jc w:val="both"/>
        <w:rPr>
          <w:sz w:val="28"/>
        </w:rPr>
      </w:pPr>
      <w:r>
        <w:rPr>
          <w:sz w:val="28"/>
        </w:rPr>
        <w:t>17.1 Перечень всех замечаний и предложений, поступивших при разработке, утверждении и актуализации схемы теплоснабжения ……………………...стр.92</w:t>
      </w:r>
    </w:p>
    <w:p w14:paraId="B3000000">
      <w:pPr>
        <w:spacing w:after="0" w:line="20" w:lineRule="atLeast"/>
        <w:ind/>
        <w:jc w:val="both"/>
        <w:rPr>
          <w:sz w:val="28"/>
        </w:rPr>
      </w:pPr>
      <w:r>
        <w:rPr>
          <w:sz w:val="28"/>
        </w:rPr>
        <w:t xml:space="preserve">17.2 Ответы разработчиков проекта схемы теплоснабжения на </w:t>
      </w:r>
      <w:r>
        <w:rPr>
          <w:sz w:val="28"/>
        </w:rPr>
        <w:t>замечания и предложения ……………………………………………………….………..…стр.92</w:t>
      </w:r>
    </w:p>
    <w:p w14:paraId="B4000000">
      <w:pPr>
        <w:spacing w:after="0" w:line="20" w:lineRule="atLeast"/>
        <w:ind/>
        <w:jc w:val="both"/>
        <w:rPr>
          <w:sz w:val="28"/>
        </w:rPr>
      </w:pPr>
      <w:r>
        <w:rPr>
          <w:sz w:val="28"/>
        </w:rPr>
        <w:t>17.3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 …………………………………….......стр.</w:t>
      </w:r>
      <w:r>
        <w:rPr>
          <w:sz w:val="28"/>
        </w:rPr>
        <w:t>93</w:t>
      </w:r>
    </w:p>
    <w:p w14:paraId="B5000000">
      <w:pPr>
        <w:spacing w:after="0" w:line="20" w:lineRule="atLeast"/>
        <w:ind/>
        <w:jc w:val="both"/>
        <w:rPr>
          <w:sz w:val="28"/>
        </w:rPr>
      </w:pPr>
      <w:r>
        <w:rPr>
          <w:sz w:val="28"/>
        </w:rPr>
        <w:t>Глава 18 «Сводный том изменений, выполненных в доработанной и (или) актуализированной схеме теплоснабжения Куйбышевского сельского поселения Куйбышевского района Ростовской области» ……….……….....стр.93</w:t>
      </w:r>
    </w:p>
    <w:p w14:paraId="B6000000">
      <w:pPr>
        <w:spacing w:after="0" w:line="20" w:lineRule="atLeast"/>
        <w:ind/>
        <w:jc w:val="both"/>
        <w:rPr>
          <w:sz w:val="28"/>
        </w:rPr>
      </w:pPr>
      <w:r>
        <w:rPr>
          <w:sz w:val="28"/>
        </w:rPr>
        <w:t xml:space="preserve">Графическое приложение. </w:t>
      </w:r>
    </w:p>
    <w:p w14:paraId="B7000000">
      <w:pPr>
        <w:spacing w:after="0" w:line="20" w:lineRule="atLeast"/>
        <w:ind/>
        <w:jc w:val="both"/>
        <w:rPr>
          <w:sz w:val="28"/>
        </w:rPr>
      </w:pPr>
    </w:p>
    <w:p w14:paraId="B8000000">
      <w:pPr>
        <w:spacing w:after="0" w:line="20" w:lineRule="atLeast"/>
        <w:ind/>
        <w:jc w:val="both"/>
        <w:rPr>
          <w:color w:val="0070C0"/>
          <w:sz w:val="28"/>
        </w:rPr>
      </w:pPr>
    </w:p>
    <w:p w14:paraId="B9000000">
      <w:pPr>
        <w:spacing w:after="0" w:line="20" w:lineRule="atLeast"/>
        <w:ind/>
        <w:jc w:val="both"/>
        <w:rPr>
          <w:color w:val="0070C0"/>
          <w:sz w:val="28"/>
        </w:rPr>
      </w:pPr>
    </w:p>
    <w:p w14:paraId="BA000000">
      <w:pPr>
        <w:spacing w:after="0" w:line="20" w:lineRule="atLeast"/>
        <w:ind/>
        <w:jc w:val="both"/>
        <w:rPr>
          <w:color w:val="0070C0"/>
          <w:sz w:val="28"/>
        </w:rPr>
      </w:pPr>
    </w:p>
    <w:p w14:paraId="BB000000">
      <w:pPr>
        <w:spacing w:line="20" w:lineRule="atLeast"/>
        <w:ind/>
        <w:jc w:val="both"/>
        <w:rPr>
          <w:sz w:val="28"/>
        </w:rPr>
      </w:pPr>
    </w:p>
    <w:p w14:paraId="BC000000">
      <w:pPr>
        <w:spacing w:after="0" w:line="20" w:lineRule="atLeast"/>
        <w:ind w:firstLine="709" w:left="0"/>
        <w:jc w:val="both"/>
        <w:rPr>
          <w:sz w:val="28"/>
        </w:rPr>
      </w:pPr>
    </w:p>
    <w:p w14:paraId="BD000000">
      <w:pPr>
        <w:spacing w:after="0" w:line="20" w:lineRule="atLeast"/>
        <w:ind w:firstLine="709" w:left="0"/>
        <w:jc w:val="both"/>
        <w:rPr>
          <w:sz w:val="28"/>
        </w:rPr>
      </w:pPr>
    </w:p>
    <w:p w14:paraId="BE000000">
      <w:pPr>
        <w:spacing w:after="0" w:line="20" w:lineRule="atLeast"/>
        <w:ind w:firstLine="709" w:left="0"/>
        <w:jc w:val="both"/>
        <w:rPr>
          <w:sz w:val="28"/>
        </w:rPr>
      </w:pPr>
    </w:p>
    <w:p w14:paraId="BF000000">
      <w:pPr>
        <w:spacing w:after="0" w:line="20" w:lineRule="atLeast"/>
        <w:ind w:firstLine="709" w:left="0"/>
        <w:jc w:val="both"/>
        <w:rPr>
          <w:sz w:val="28"/>
        </w:rPr>
      </w:pPr>
    </w:p>
    <w:p w14:paraId="C0000000">
      <w:pPr>
        <w:spacing w:after="0" w:line="20" w:lineRule="atLeast"/>
        <w:ind w:firstLine="709" w:left="0"/>
        <w:jc w:val="both"/>
        <w:rPr>
          <w:sz w:val="28"/>
        </w:rPr>
      </w:pPr>
    </w:p>
    <w:p w14:paraId="C1000000">
      <w:pPr>
        <w:spacing w:after="0" w:line="20" w:lineRule="atLeast"/>
        <w:ind w:firstLine="709" w:left="0"/>
        <w:jc w:val="both"/>
        <w:rPr>
          <w:sz w:val="28"/>
        </w:rPr>
      </w:pPr>
    </w:p>
    <w:p w14:paraId="C2000000">
      <w:pPr>
        <w:spacing w:after="0" w:line="20" w:lineRule="atLeast"/>
        <w:ind w:firstLine="709" w:left="0"/>
        <w:jc w:val="both"/>
        <w:rPr>
          <w:sz w:val="28"/>
        </w:rPr>
      </w:pPr>
    </w:p>
    <w:p w14:paraId="C3000000">
      <w:pPr>
        <w:spacing w:after="0" w:line="20" w:lineRule="atLeast"/>
        <w:ind w:firstLine="709" w:left="0"/>
        <w:jc w:val="both"/>
        <w:rPr>
          <w:sz w:val="28"/>
        </w:rPr>
      </w:pPr>
    </w:p>
    <w:p w14:paraId="C4000000">
      <w:pPr>
        <w:spacing w:after="0" w:line="20" w:lineRule="atLeast"/>
        <w:ind w:firstLine="709" w:left="0"/>
        <w:jc w:val="both"/>
        <w:rPr>
          <w:sz w:val="28"/>
        </w:rPr>
      </w:pPr>
    </w:p>
    <w:p w14:paraId="C5000000">
      <w:pPr>
        <w:spacing w:after="0" w:line="20" w:lineRule="atLeast"/>
        <w:ind w:firstLine="709" w:left="0"/>
        <w:jc w:val="both"/>
        <w:rPr>
          <w:sz w:val="28"/>
        </w:rPr>
      </w:pPr>
    </w:p>
    <w:p w14:paraId="C6000000">
      <w:pPr>
        <w:spacing w:after="0" w:line="20" w:lineRule="atLeast"/>
        <w:ind w:firstLine="709" w:left="0"/>
        <w:jc w:val="center"/>
        <w:rPr>
          <w:sz w:val="28"/>
        </w:rPr>
      </w:pPr>
      <w:r>
        <w:rPr>
          <w:b w:val="1"/>
          <w:sz w:val="28"/>
        </w:rPr>
        <w:t xml:space="preserve">ЧАСТЬ I. </w:t>
      </w:r>
      <w:r>
        <w:rPr>
          <w:b w:val="1"/>
          <w:sz w:val="28"/>
        </w:rPr>
        <w:t xml:space="preserve">УТВЕРЖДАЕМАЯ ЧАСТЬ                                                 СХЕМЫ ТЕПЛОСНАБЖЕНИЯ                                                                   КУЙБЫШЕВСКОГО СЕЛЬСКОГО ПОСЕЛЕНИЯ                 КУЙБЫШЕВСКОГО РАЙОНА РОСТОВСКОЙ ОБЛАСТИ             </w:t>
      </w:r>
      <w:r>
        <w:rPr>
          <w:b w:val="1"/>
          <w:sz w:val="28"/>
        </w:rPr>
        <w:t xml:space="preserve">           ДО 2033 ГОДА</w:t>
      </w:r>
    </w:p>
    <w:p w14:paraId="C7000000">
      <w:pPr>
        <w:spacing w:after="0" w:line="20" w:lineRule="atLeast"/>
        <w:ind w:firstLine="709" w:left="0"/>
        <w:jc w:val="both"/>
        <w:rPr>
          <w:sz w:val="28"/>
        </w:rPr>
      </w:pPr>
    </w:p>
    <w:p w14:paraId="C8000000">
      <w:pPr>
        <w:spacing w:after="0" w:line="20" w:lineRule="atLeast"/>
        <w:ind w:firstLine="709" w:left="0"/>
        <w:jc w:val="both"/>
        <w:rPr>
          <w:sz w:val="28"/>
        </w:rPr>
      </w:pPr>
    </w:p>
    <w:p w14:paraId="C9000000">
      <w:pPr>
        <w:spacing w:after="0" w:line="20" w:lineRule="atLeast"/>
        <w:ind w:firstLine="709" w:left="0"/>
        <w:jc w:val="both"/>
        <w:rPr>
          <w:sz w:val="28"/>
        </w:rPr>
      </w:pPr>
    </w:p>
    <w:p w14:paraId="CA000000">
      <w:pPr>
        <w:spacing w:after="0" w:line="20" w:lineRule="atLeast"/>
        <w:ind w:firstLine="709" w:left="0"/>
        <w:jc w:val="both"/>
        <w:rPr>
          <w:sz w:val="28"/>
        </w:rPr>
      </w:pPr>
    </w:p>
    <w:p w14:paraId="CB000000">
      <w:pPr>
        <w:spacing w:after="0" w:line="20" w:lineRule="atLeast"/>
        <w:ind w:firstLine="709" w:left="0"/>
        <w:jc w:val="both"/>
        <w:rPr>
          <w:sz w:val="28"/>
        </w:rPr>
      </w:pPr>
    </w:p>
    <w:p w14:paraId="CC000000">
      <w:pPr>
        <w:spacing w:after="0" w:line="20" w:lineRule="atLeast"/>
        <w:ind w:firstLine="709" w:left="0"/>
        <w:jc w:val="both"/>
        <w:rPr>
          <w:sz w:val="28"/>
        </w:rPr>
      </w:pPr>
    </w:p>
    <w:p w14:paraId="CD000000">
      <w:pPr>
        <w:spacing w:after="0" w:line="20" w:lineRule="atLeast"/>
        <w:ind w:firstLine="709" w:left="0"/>
        <w:jc w:val="both"/>
        <w:rPr>
          <w:sz w:val="28"/>
        </w:rPr>
      </w:pPr>
    </w:p>
    <w:p w14:paraId="CE000000">
      <w:pPr>
        <w:spacing w:after="0" w:line="20" w:lineRule="atLeast"/>
        <w:ind w:firstLine="709" w:left="0"/>
        <w:jc w:val="both"/>
        <w:rPr>
          <w:sz w:val="28"/>
        </w:rPr>
      </w:pPr>
    </w:p>
    <w:p w14:paraId="CF000000">
      <w:pPr>
        <w:spacing w:after="0" w:line="20" w:lineRule="atLeast"/>
        <w:ind w:firstLine="709" w:left="0"/>
        <w:jc w:val="both"/>
        <w:rPr>
          <w:sz w:val="28"/>
        </w:rPr>
      </w:pPr>
    </w:p>
    <w:p w14:paraId="D0000000">
      <w:pPr>
        <w:spacing w:after="0" w:line="20" w:lineRule="atLeast"/>
        <w:ind w:firstLine="709" w:left="0"/>
        <w:jc w:val="both"/>
        <w:rPr>
          <w:sz w:val="28"/>
        </w:rPr>
      </w:pPr>
    </w:p>
    <w:p w14:paraId="D1000000">
      <w:pPr>
        <w:spacing w:after="0" w:line="20" w:lineRule="atLeast"/>
        <w:ind w:firstLine="709" w:left="0"/>
        <w:jc w:val="both"/>
        <w:rPr>
          <w:sz w:val="28"/>
        </w:rPr>
      </w:pPr>
    </w:p>
    <w:p w14:paraId="D2000000">
      <w:pPr>
        <w:spacing w:after="0" w:line="20" w:lineRule="atLeast"/>
        <w:ind w:firstLine="709" w:left="0"/>
        <w:jc w:val="both"/>
        <w:rPr>
          <w:sz w:val="28"/>
        </w:rPr>
      </w:pPr>
    </w:p>
    <w:p w14:paraId="D3000000">
      <w:pPr>
        <w:spacing w:after="0" w:line="20" w:lineRule="atLeast"/>
        <w:ind w:firstLine="709" w:left="0"/>
        <w:jc w:val="both"/>
        <w:rPr>
          <w:sz w:val="28"/>
        </w:rPr>
      </w:pPr>
    </w:p>
    <w:p w14:paraId="D4000000">
      <w:pPr>
        <w:spacing w:after="0" w:line="20" w:lineRule="atLeast"/>
        <w:ind w:firstLine="709" w:left="0"/>
        <w:jc w:val="both"/>
        <w:rPr>
          <w:sz w:val="28"/>
        </w:rPr>
      </w:pPr>
    </w:p>
    <w:p w14:paraId="D5000000">
      <w:pPr>
        <w:spacing w:after="0" w:line="20" w:lineRule="atLeast"/>
        <w:ind w:firstLine="709" w:left="0"/>
        <w:jc w:val="both"/>
        <w:rPr>
          <w:sz w:val="28"/>
        </w:rPr>
      </w:pPr>
    </w:p>
    <w:p w14:paraId="D6000000">
      <w:pPr>
        <w:spacing w:after="0" w:line="20" w:lineRule="atLeast"/>
        <w:ind w:firstLine="709" w:left="0"/>
        <w:jc w:val="both"/>
        <w:rPr>
          <w:sz w:val="28"/>
        </w:rPr>
      </w:pPr>
    </w:p>
    <w:p w14:paraId="D7000000">
      <w:pPr>
        <w:spacing w:after="0" w:line="20" w:lineRule="atLeast"/>
        <w:ind w:firstLine="709" w:left="0"/>
        <w:jc w:val="both"/>
        <w:rPr>
          <w:sz w:val="28"/>
        </w:rPr>
      </w:pPr>
    </w:p>
    <w:p w14:paraId="D8000000">
      <w:pPr>
        <w:spacing w:after="0" w:line="20" w:lineRule="atLeast"/>
        <w:ind w:firstLine="709" w:left="0"/>
        <w:jc w:val="both"/>
        <w:rPr>
          <w:sz w:val="28"/>
        </w:rPr>
      </w:pPr>
    </w:p>
    <w:p w14:paraId="D9000000">
      <w:pPr>
        <w:spacing w:after="0" w:line="20" w:lineRule="atLeast"/>
        <w:ind w:firstLine="709" w:left="0"/>
        <w:jc w:val="both"/>
        <w:rPr>
          <w:sz w:val="28"/>
        </w:rPr>
      </w:pPr>
    </w:p>
    <w:p w14:paraId="DA000000">
      <w:pPr>
        <w:spacing w:after="0" w:line="20" w:lineRule="atLeast"/>
        <w:ind w:firstLine="709" w:left="0"/>
        <w:jc w:val="both"/>
        <w:rPr>
          <w:sz w:val="28"/>
        </w:rPr>
      </w:pPr>
    </w:p>
    <w:p w14:paraId="DB000000">
      <w:pPr>
        <w:spacing w:after="0" w:line="20" w:lineRule="atLeast"/>
        <w:ind w:firstLine="709" w:left="0"/>
        <w:jc w:val="both"/>
        <w:rPr>
          <w:sz w:val="28"/>
        </w:rPr>
      </w:pPr>
    </w:p>
    <w:p w14:paraId="DC000000">
      <w:pPr>
        <w:spacing w:after="0" w:line="20" w:lineRule="atLeast"/>
        <w:ind w:firstLine="709" w:left="0"/>
        <w:jc w:val="both"/>
        <w:rPr>
          <w:sz w:val="28"/>
        </w:rPr>
      </w:pPr>
    </w:p>
    <w:p w14:paraId="DD000000">
      <w:pPr>
        <w:spacing w:after="0" w:line="20" w:lineRule="atLeast"/>
        <w:ind w:firstLine="709" w:left="0"/>
        <w:jc w:val="both"/>
        <w:rPr>
          <w:sz w:val="28"/>
        </w:rPr>
      </w:pPr>
    </w:p>
    <w:p w14:paraId="DE000000">
      <w:pPr>
        <w:spacing w:after="0" w:line="20" w:lineRule="atLeast"/>
        <w:ind w:firstLine="709" w:left="0"/>
        <w:jc w:val="both"/>
        <w:rPr>
          <w:sz w:val="28"/>
        </w:rPr>
      </w:pPr>
    </w:p>
    <w:p w14:paraId="DF000000">
      <w:pPr>
        <w:spacing w:after="0" w:line="20" w:lineRule="atLeast"/>
        <w:ind w:firstLine="709" w:left="0"/>
        <w:jc w:val="both"/>
        <w:rPr>
          <w:sz w:val="28"/>
        </w:rPr>
      </w:pPr>
    </w:p>
    <w:p w14:paraId="E0000000">
      <w:pPr>
        <w:spacing w:after="0" w:line="20" w:lineRule="atLeast"/>
        <w:ind w:firstLine="709" w:left="0"/>
        <w:jc w:val="both"/>
        <w:rPr>
          <w:sz w:val="28"/>
        </w:rPr>
      </w:pPr>
    </w:p>
    <w:p w14:paraId="E1000000">
      <w:pPr>
        <w:spacing w:after="0" w:line="20" w:lineRule="atLeast"/>
        <w:ind w:firstLine="709" w:left="0"/>
        <w:jc w:val="both"/>
        <w:rPr>
          <w:sz w:val="28"/>
        </w:rPr>
      </w:pPr>
    </w:p>
    <w:p w14:paraId="E2000000">
      <w:pPr>
        <w:spacing w:after="0" w:line="20" w:lineRule="atLeast"/>
        <w:ind w:firstLine="709" w:left="0"/>
        <w:jc w:val="both"/>
        <w:rPr>
          <w:sz w:val="28"/>
        </w:rPr>
      </w:pPr>
    </w:p>
    <w:p w14:paraId="E3000000">
      <w:pPr>
        <w:spacing w:line="20" w:lineRule="atLeast"/>
        <w:ind w:firstLine="709" w:left="0"/>
        <w:jc w:val="both"/>
        <w:rPr>
          <w:b w:val="1"/>
          <w:sz w:val="28"/>
        </w:rPr>
      </w:pPr>
      <w:r>
        <w:rPr>
          <w:b w:val="1"/>
          <w:sz w:val="28"/>
        </w:rPr>
        <w:t>РАЗДЕЛ 1 ПОКАЗАТЕЛИ СУЩЕСТВУЮЩЕГО И ПЕРСПЕКТИВНОГО СПРОСА НА ТЕПЛОВУЮ ЭНЕРГИЮ (МОЩНОСТЬ) И ТЕПЛОНОСИТЕЛЬ В УСТАНОВЛЕННЫХ ГРАНИЦАХ ТЕРРИТОРИИ КУЙБЫШЕВСКОГО СЕЛЬСКОГО ПОСЕЛЕНИЯ КУЙБЫШЕВСКОГО РАЙОНА</w:t>
      </w:r>
    </w:p>
    <w:p w14:paraId="E4000000">
      <w:pPr>
        <w:spacing w:line="20" w:lineRule="atLeast"/>
        <w:ind w:firstLine="709" w:left="0"/>
        <w:jc w:val="both"/>
        <w:rPr>
          <w:b w:val="1"/>
          <w:sz w:val="28"/>
        </w:rPr>
      </w:pPr>
      <w:r>
        <w:rPr>
          <w:b w:val="1"/>
          <w:sz w:val="28"/>
        </w:rPr>
        <w:t xml:space="preserve">1.1. </w:t>
      </w:r>
      <w:r>
        <w:rPr>
          <w:b w:val="1"/>
          <w:sz w:val="28"/>
        </w:rPr>
        <w:t>Площадь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w:t>
      </w:r>
      <w:r>
        <w:rPr>
          <w:b w:val="1"/>
          <w:sz w:val="28"/>
        </w:rPr>
        <w:t>тий по этапам – на каждый год первого 5-летнего периода и на последующие 5-летние периоды (далее - этапы)</w:t>
      </w:r>
    </w:p>
    <w:p w14:paraId="E5000000">
      <w:pPr>
        <w:widowControl w:val="0"/>
        <w:spacing w:line="240" w:lineRule="auto"/>
        <w:ind w:firstLine="709" w:left="0" w:right="-1"/>
        <w:jc w:val="both"/>
        <w:rPr>
          <w:sz w:val="28"/>
        </w:rPr>
      </w:pPr>
      <w:r>
        <w:rPr>
          <w:sz w:val="28"/>
        </w:rPr>
        <w:t>В таблице 1 отражены величины существующей отапливаемой площади строительных фондов и приросты отапливаемой площади строительных фондов по расчётным э</w:t>
      </w:r>
      <w:r>
        <w:rPr>
          <w:sz w:val="28"/>
        </w:rPr>
        <w:t>лементам территориального деления.</w:t>
      </w:r>
    </w:p>
    <w:p w14:paraId="E6000000">
      <w:pPr>
        <w:widowControl w:val="0"/>
        <w:spacing w:line="240" w:lineRule="auto"/>
        <w:ind w:right="-1"/>
        <w:jc w:val="both"/>
        <w:rPr>
          <w:sz w:val="20"/>
        </w:rPr>
      </w:pPr>
      <w:r>
        <w:rPr>
          <w:sz w:val="28"/>
        </w:rPr>
        <w:t>Таблица 1 Величины существующей отапливаемой площади строительных фондов и приросты отапливаемой площади строительных фондов по расчётным элементам</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402"/>
        <w:gridCol w:w="982"/>
        <w:gridCol w:w="981"/>
        <w:gridCol w:w="701"/>
        <w:gridCol w:w="701"/>
        <w:gridCol w:w="700"/>
        <w:gridCol w:w="561"/>
        <w:gridCol w:w="701"/>
        <w:gridCol w:w="701"/>
        <w:gridCol w:w="840"/>
        <w:gridCol w:w="561"/>
        <w:gridCol w:w="700"/>
      </w:tblGrid>
      <w:tr>
        <w:trPr>
          <w:trHeight w:hRule="atLeast" w:val="461"/>
        </w:trPr>
        <w:tc>
          <w:tcPr>
            <w:tcW w:type="dxa" w:w="1402"/>
            <w:vMerge w:val="restart"/>
            <w:tcBorders>
              <w:top w:color="000000" w:sz="4" w:val="single"/>
              <w:left w:color="000000" w:sz="4" w:val="single"/>
              <w:bottom w:color="000000" w:sz="4" w:val="single"/>
              <w:right w:color="000000" w:sz="4" w:val="single"/>
            </w:tcBorders>
            <w:textDirection w:val="btLr"/>
            <w:vAlign w:val="center"/>
          </w:tcPr>
          <w:p w14:paraId="E7000000">
            <w:pPr>
              <w:widowControl w:val="0"/>
              <w:spacing w:line="240" w:lineRule="auto"/>
              <w:ind w:firstLine="0" w:left="113" w:right="284"/>
              <w:jc w:val="center"/>
              <w:rPr>
                <w:sz w:val="20"/>
                <w:vertAlign w:val="superscript"/>
              </w:rPr>
            </w:pPr>
            <w:r>
              <w:rPr>
                <w:sz w:val="20"/>
              </w:rPr>
              <w:t>*отапливаемая площадь строительных фондов, тыс. тыс. м</w:t>
            </w:r>
            <w:r>
              <w:rPr>
                <w:sz w:val="20"/>
                <w:vertAlign w:val="superscript"/>
              </w:rPr>
              <w:t>2</w:t>
            </w:r>
          </w:p>
        </w:tc>
        <w:tc>
          <w:tcPr>
            <w:tcW w:type="dxa" w:w="8128"/>
            <w:gridSpan w:val="11"/>
            <w:tcBorders>
              <w:top w:color="000000" w:sz="4" w:val="single"/>
              <w:left w:color="000000" w:sz="4" w:val="single"/>
              <w:bottom w:color="000000" w:sz="4" w:val="single"/>
              <w:right w:color="000000" w:sz="4" w:val="single"/>
            </w:tcBorders>
            <w:vAlign w:val="center"/>
          </w:tcPr>
          <w:p w14:paraId="E8000000">
            <w:pPr>
              <w:widowControl w:val="0"/>
              <w:spacing w:line="240" w:lineRule="auto"/>
              <w:ind w:right="284"/>
              <w:jc w:val="center"/>
              <w:rPr>
                <w:sz w:val="20"/>
              </w:rPr>
            </w:pPr>
            <w:r>
              <w:rPr>
                <w:sz w:val="20"/>
              </w:rPr>
              <w:t xml:space="preserve">Приросты </w:t>
            </w:r>
            <w:r>
              <w:rPr>
                <w:sz w:val="20"/>
              </w:rPr>
              <w:t>отапливаемой площади строительных фондов по расчётным элементам, по годам*</w:t>
            </w:r>
          </w:p>
        </w:tc>
      </w:tr>
      <w:tr>
        <w:trPr>
          <w:trHeight w:hRule="atLeast" w:val="1052"/>
        </w:trPr>
        <w:tc>
          <w:tcPr>
            <w:tcW w:type="dxa" w:w="1402"/>
            <w:gridSpan w:val="1"/>
            <w:vMerge w:val="continue"/>
            <w:tcBorders>
              <w:top w:color="000000" w:sz="4" w:val="single"/>
              <w:left w:color="000000" w:sz="4" w:val="single"/>
              <w:bottom w:color="000000" w:sz="4" w:val="single"/>
              <w:right w:color="000000" w:sz="4" w:val="single"/>
            </w:tcBorders>
            <w:textDirection w:val="btLr"/>
            <w:vAlign w:val="center"/>
          </w:tcPr>
          <w:p/>
        </w:tc>
        <w:tc>
          <w:tcPr>
            <w:tcW w:type="dxa" w:w="982"/>
            <w:tcBorders>
              <w:top w:color="000000" w:sz="4" w:val="single"/>
              <w:left w:color="000000" w:sz="4" w:val="single"/>
              <w:bottom w:color="000000" w:sz="4" w:val="single"/>
              <w:right w:color="000000" w:sz="4" w:val="single"/>
            </w:tcBorders>
            <w:textDirection w:val="btLr"/>
            <w:vAlign w:val="center"/>
          </w:tcPr>
          <w:p w14:paraId="E9000000">
            <w:pPr>
              <w:widowControl w:val="0"/>
              <w:spacing w:line="240" w:lineRule="auto"/>
              <w:ind w:firstLine="0" w:left="113" w:right="284"/>
              <w:jc w:val="center"/>
              <w:rPr>
                <w:sz w:val="20"/>
              </w:rPr>
            </w:pPr>
            <w:r>
              <w:rPr>
                <w:sz w:val="20"/>
              </w:rPr>
              <w:t xml:space="preserve">2022 </w:t>
            </w:r>
          </w:p>
        </w:tc>
        <w:tc>
          <w:tcPr>
            <w:tcW w:type="dxa" w:w="981"/>
            <w:tcBorders>
              <w:top w:color="000000" w:sz="4" w:val="single"/>
              <w:left w:color="000000" w:sz="4" w:val="single"/>
              <w:bottom w:color="000000" w:sz="4" w:val="single"/>
              <w:right w:color="000000" w:sz="4" w:val="single"/>
            </w:tcBorders>
            <w:textDirection w:val="btLr"/>
            <w:vAlign w:val="center"/>
          </w:tcPr>
          <w:p w14:paraId="EA000000">
            <w:pPr>
              <w:widowControl w:val="0"/>
              <w:spacing w:line="240" w:lineRule="auto"/>
              <w:ind w:firstLine="0" w:left="113" w:right="284"/>
              <w:jc w:val="center"/>
              <w:rPr>
                <w:sz w:val="20"/>
              </w:rPr>
            </w:pPr>
            <w:r>
              <w:rPr>
                <w:sz w:val="20"/>
              </w:rPr>
              <w:t>2023 -2024</w:t>
            </w:r>
          </w:p>
        </w:tc>
        <w:tc>
          <w:tcPr>
            <w:tcW w:type="dxa" w:w="701"/>
            <w:tcBorders>
              <w:top w:color="000000" w:sz="4" w:val="single"/>
              <w:left w:color="000000" w:sz="4" w:val="single"/>
              <w:bottom w:color="000000" w:sz="4" w:val="single"/>
              <w:right w:color="000000" w:sz="4" w:val="single"/>
            </w:tcBorders>
            <w:textDirection w:val="btLr"/>
            <w:vAlign w:val="center"/>
          </w:tcPr>
          <w:p w14:paraId="EB000000">
            <w:pPr>
              <w:widowControl w:val="0"/>
              <w:spacing w:line="240" w:lineRule="auto"/>
              <w:ind w:firstLine="0" w:left="113" w:right="284"/>
              <w:jc w:val="center"/>
              <w:rPr>
                <w:sz w:val="20"/>
              </w:rPr>
            </w:pPr>
            <w:r>
              <w:rPr>
                <w:sz w:val="20"/>
              </w:rPr>
              <w:t>2025</w:t>
            </w:r>
          </w:p>
        </w:tc>
        <w:tc>
          <w:tcPr>
            <w:tcW w:type="dxa" w:w="701"/>
            <w:tcBorders>
              <w:top w:color="000000" w:sz="4" w:val="single"/>
              <w:left w:color="000000" w:sz="4" w:val="single"/>
              <w:bottom w:color="000000" w:sz="4" w:val="single"/>
              <w:right w:color="000000" w:sz="4" w:val="single"/>
            </w:tcBorders>
            <w:textDirection w:val="btLr"/>
            <w:vAlign w:val="center"/>
          </w:tcPr>
          <w:p w14:paraId="EC000000">
            <w:pPr>
              <w:widowControl w:val="0"/>
              <w:spacing w:line="240" w:lineRule="auto"/>
              <w:ind w:firstLine="0" w:left="113" w:right="284"/>
              <w:jc w:val="center"/>
              <w:rPr>
                <w:sz w:val="20"/>
              </w:rPr>
            </w:pPr>
            <w:r>
              <w:rPr>
                <w:sz w:val="20"/>
              </w:rPr>
              <w:t>2026</w:t>
            </w:r>
          </w:p>
        </w:tc>
        <w:tc>
          <w:tcPr>
            <w:tcW w:type="dxa" w:w="700"/>
            <w:tcBorders>
              <w:top w:color="000000" w:sz="4" w:val="single"/>
              <w:left w:color="000000" w:sz="4" w:val="single"/>
              <w:bottom w:color="000000" w:sz="4" w:val="single"/>
              <w:right w:color="000000" w:sz="4" w:val="single"/>
            </w:tcBorders>
            <w:textDirection w:val="btLr"/>
            <w:vAlign w:val="center"/>
          </w:tcPr>
          <w:p w14:paraId="ED000000">
            <w:pPr>
              <w:widowControl w:val="0"/>
              <w:spacing w:line="240" w:lineRule="auto"/>
              <w:ind w:firstLine="0" w:left="113" w:right="284"/>
              <w:jc w:val="center"/>
              <w:rPr>
                <w:sz w:val="20"/>
              </w:rPr>
            </w:pPr>
            <w:r>
              <w:rPr>
                <w:sz w:val="20"/>
              </w:rPr>
              <w:t>2027</w:t>
            </w:r>
          </w:p>
        </w:tc>
        <w:tc>
          <w:tcPr>
            <w:tcW w:type="dxa" w:w="561"/>
            <w:tcBorders>
              <w:top w:color="000000" w:sz="4" w:val="single"/>
              <w:left w:color="000000" w:sz="4" w:val="single"/>
              <w:bottom w:color="000000" w:sz="4" w:val="single"/>
              <w:right w:color="000000" w:sz="4" w:val="single"/>
            </w:tcBorders>
            <w:textDirection w:val="btLr"/>
            <w:vAlign w:val="center"/>
          </w:tcPr>
          <w:p w14:paraId="EE000000">
            <w:pPr>
              <w:widowControl w:val="0"/>
              <w:spacing w:line="240" w:lineRule="auto"/>
              <w:ind w:firstLine="0" w:left="113" w:right="284"/>
              <w:jc w:val="center"/>
              <w:rPr>
                <w:sz w:val="20"/>
              </w:rPr>
            </w:pPr>
            <w:r>
              <w:rPr>
                <w:sz w:val="20"/>
              </w:rPr>
              <w:t>2028</w:t>
            </w:r>
          </w:p>
        </w:tc>
        <w:tc>
          <w:tcPr>
            <w:tcW w:type="dxa" w:w="701"/>
            <w:tcBorders>
              <w:top w:color="000000" w:sz="4" w:val="single"/>
              <w:left w:color="000000" w:sz="4" w:val="single"/>
              <w:bottom w:color="000000" w:sz="4" w:val="single"/>
              <w:right w:color="000000" w:sz="4" w:val="single"/>
            </w:tcBorders>
            <w:textDirection w:val="btLr"/>
            <w:vAlign w:val="center"/>
          </w:tcPr>
          <w:p w14:paraId="EF000000">
            <w:pPr>
              <w:widowControl w:val="0"/>
              <w:spacing w:line="240" w:lineRule="auto"/>
              <w:ind w:firstLine="0" w:left="113" w:right="284"/>
              <w:jc w:val="center"/>
              <w:rPr>
                <w:sz w:val="20"/>
              </w:rPr>
            </w:pPr>
            <w:r>
              <w:rPr>
                <w:sz w:val="20"/>
              </w:rPr>
              <w:t>2029</w:t>
            </w:r>
          </w:p>
        </w:tc>
        <w:tc>
          <w:tcPr>
            <w:tcW w:type="dxa" w:w="701"/>
            <w:tcBorders>
              <w:top w:color="000000" w:sz="4" w:val="single"/>
              <w:left w:color="000000" w:sz="4" w:val="single"/>
              <w:bottom w:color="000000" w:sz="4" w:val="single"/>
              <w:right w:color="000000" w:sz="4" w:val="single"/>
            </w:tcBorders>
            <w:textDirection w:val="btLr"/>
            <w:vAlign w:val="center"/>
          </w:tcPr>
          <w:p w14:paraId="F0000000">
            <w:pPr>
              <w:widowControl w:val="0"/>
              <w:spacing w:line="240" w:lineRule="auto"/>
              <w:ind w:firstLine="0" w:left="113" w:right="284"/>
              <w:jc w:val="center"/>
              <w:rPr>
                <w:sz w:val="20"/>
              </w:rPr>
            </w:pPr>
            <w:r>
              <w:rPr>
                <w:sz w:val="20"/>
              </w:rPr>
              <w:t>2030</w:t>
            </w:r>
          </w:p>
        </w:tc>
        <w:tc>
          <w:tcPr>
            <w:tcW w:type="dxa" w:w="840"/>
            <w:tcBorders>
              <w:top w:color="000000" w:sz="4" w:val="single"/>
              <w:left w:color="000000" w:sz="4" w:val="single"/>
              <w:bottom w:color="000000" w:sz="4" w:val="single"/>
              <w:right w:color="000000" w:sz="4" w:val="single"/>
            </w:tcBorders>
            <w:textDirection w:val="btLr"/>
            <w:vAlign w:val="center"/>
          </w:tcPr>
          <w:p w14:paraId="F1000000">
            <w:pPr>
              <w:widowControl w:val="0"/>
              <w:spacing w:line="240" w:lineRule="auto"/>
              <w:ind w:firstLine="0" w:left="113" w:right="284"/>
              <w:jc w:val="center"/>
              <w:rPr>
                <w:sz w:val="20"/>
              </w:rPr>
            </w:pPr>
            <w:r>
              <w:rPr>
                <w:sz w:val="20"/>
              </w:rPr>
              <w:t>2031</w:t>
            </w:r>
          </w:p>
        </w:tc>
        <w:tc>
          <w:tcPr>
            <w:tcW w:type="dxa" w:w="561"/>
            <w:tcBorders>
              <w:top w:color="000000" w:sz="4" w:val="single"/>
              <w:left w:color="000000" w:sz="4" w:val="single"/>
              <w:bottom w:color="000000" w:sz="4" w:val="single"/>
              <w:right w:color="000000" w:sz="4" w:val="single"/>
            </w:tcBorders>
            <w:textDirection w:val="btLr"/>
          </w:tcPr>
          <w:p w14:paraId="F2000000">
            <w:pPr>
              <w:widowControl w:val="0"/>
              <w:spacing w:line="240" w:lineRule="auto"/>
              <w:ind w:firstLine="0" w:left="113" w:right="284"/>
              <w:jc w:val="center"/>
              <w:rPr>
                <w:sz w:val="20"/>
              </w:rPr>
            </w:pPr>
            <w:r>
              <w:rPr>
                <w:sz w:val="20"/>
              </w:rPr>
              <w:t>2032</w:t>
            </w:r>
          </w:p>
        </w:tc>
        <w:tc>
          <w:tcPr>
            <w:tcW w:type="dxa" w:w="700"/>
            <w:tcBorders>
              <w:top w:color="000000" w:sz="4" w:val="single"/>
              <w:left w:color="000000" w:sz="4" w:val="single"/>
              <w:bottom w:color="000000" w:sz="4" w:val="single"/>
              <w:right w:color="000000" w:sz="4" w:val="single"/>
            </w:tcBorders>
            <w:textDirection w:val="btLr"/>
            <w:vAlign w:val="center"/>
          </w:tcPr>
          <w:p w14:paraId="F3000000">
            <w:pPr>
              <w:widowControl w:val="0"/>
              <w:spacing w:line="240" w:lineRule="auto"/>
              <w:ind w:firstLine="0" w:left="113" w:right="284"/>
              <w:jc w:val="center"/>
              <w:rPr>
                <w:sz w:val="20"/>
              </w:rPr>
            </w:pPr>
            <w:r>
              <w:rPr>
                <w:sz w:val="20"/>
              </w:rPr>
              <w:t>2033</w:t>
            </w:r>
          </w:p>
        </w:tc>
      </w:tr>
      <w:tr>
        <w:tc>
          <w:tcPr>
            <w:tcW w:type="dxa" w:w="9530"/>
            <w:gridSpan w:val="12"/>
            <w:tcBorders>
              <w:top w:color="000000" w:sz="4" w:val="single"/>
              <w:left w:color="000000" w:sz="4" w:val="single"/>
              <w:bottom w:color="000000" w:sz="4" w:val="single"/>
              <w:right w:color="000000" w:sz="4" w:val="single"/>
            </w:tcBorders>
            <w:vAlign w:val="center"/>
          </w:tcPr>
          <w:p w14:paraId="F4000000">
            <w:pPr>
              <w:widowControl w:val="0"/>
              <w:spacing w:line="240" w:lineRule="auto"/>
              <w:ind w:right="284"/>
              <w:jc w:val="center"/>
              <w:rPr>
                <w:sz w:val="20"/>
              </w:rPr>
            </w:pPr>
            <w:r>
              <w:rPr>
                <w:sz w:val="20"/>
              </w:rPr>
              <w:t>1. Многоквартирные жилые дома (тыс. м</w:t>
            </w:r>
            <w:r>
              <w:rPr>
                <w:sz w:val="20"/>
                <w:vertAlign w:val="superscript"/>
              </w:rPr>
              <w:t>2</w:t>
            </w:r>
            <w:r>
              <w:rPr>
                <w:sz w:val="20"/>
              </w:rPr>
              <w:t>)</w:t>
            </w:r>
          </w:p>
        </w:tc>
      </w:tr>
      <w:tr>
        <w:trPr>
          <w:trHeight w:hRule="atLeast" w:val="332"/>
        </w:trPr>
        <w:tc>
          <w:tcPr>
            <w:tcW w:type="dxa" w:w="1402"/>
            <w:tcBorders>
              <w:top w:color="000000" w:sz="4" w:val="single"/>
              <w:left w:color="000000" w:sz="4" w:val="single"/>
              <w:bottom w:color="000000" w:sz="4" w:val="single"/>
              <w:right w:color="000000" w:sz="4" w:val="single"/>
            </w:tcBorders>
            <w:textDirection w:val="btLr"/>
            <w:vAlign w:val="center"/>
          </w:tcPr>
          <w:p w14:paraId="F5000000">
            <w:pPr>
              <w:widowControl w:val="0"/>
              <w:spacing w:line="240" w:lineRule="auto"/>
              <w:ind w:firstLine="0" w:left="113" w:right="284"/>
              <w:jc w:val="center"/>
              <w:rPr>
                <w:sz w:val="20"/>
              </w:rPr>
            </w:pPr>
            <w:r>
              <w:rPr>
                <w:sz w:val="20"/>
              </w:rPr>
              <w:t>-</w:t>
            </w:r>
          </w:p>
        </w:tc>
        <w:tc>
          <w:tcPr>
            <w:tcW w:type="dxa" w:w="982"/>
            <w:tcBorders>
              <w:top w:color="000000" w:sz="4" w:val="single"/>
              <w:left w:color="000000" w:sz="4" w:val="single"/>
              <w:bottom w:color="000000" w:sz="4" w:val="single"/>
              <w:right w:color="000000" w:sz="4" w:val="single"/>
            </w:tcBorders>
            <w:textDirection w:val="btLr"/>
            <w:vAlign w:val="center"/>
          </w:tcPr>
          <w:p w14:paraId="F6000000">
            <w:pPr>
              <w:widowControl w:val="0"/>
              <w:spacing w:line="240" w:lineRule="auto"/>
              <w:ind w:firstLine="0" w:left="113" w:right="284"/>
              <w:jc w:val="center"/>
              <w:rPr>
                <w:sz w:val="20"/>
              </w:rP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F7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F8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F900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FA000000">
            <w:pPr>
              <w:widowControl w:val="0"/>
              <w:spacing w:line="240" w:lineRule="auto"/>
              <w:ind w:firstLine="0" w:left="113" w:right="284"/>
              <w:jc w:val="center"/>
              <w:rPr>
                <w:sz w:val="20"/>
              </w:rPr>
            </w:pPr>
            <w:r>
              <w:rPr>
                <w:sz w:val="20"/>
              </w:rPr>
              <w:t>-</w:t>
            </w:r>
          </w:p>
        </w:tc>
        <w:tc>
          <w:tcPr>
            <w:tcW w:type="dxa" w:w="561"/>
            <w:tcBorders>
              <w:top w:color="000000" w:sz="4" w:val="single"/>
              <w:left w:color="000000" w:sz="4" w:val="single"/>
              <w:bottom w:color="000000" w:sz="4" w:val="single"/>
              <w:right w:color="000000" w:sz="4" w:val="single"/>
            </w:tcBorders>
            <w:textDirection w:val="btLr"/>
            <w:vAlign w:val="center"/>
          </w:tcPr>
          <w:p w14:paraId="FB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FC00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FD000000">
            <w:pPr>
              <w:widowControl w:val="0"/>
              <w:spacing w:line="240" w:lineRule="auto"/>
              <w:ind w:firstLine="0" w:left="113" w:right="284"/>
              <w:jc w:val="center"/>
              <w:rPr>
                <w:sz w:val="20"/>
              </w:rP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FE000000">
            <w:pPr>
              <w:widowControl w:val="0"/>
              <w:spacing w:line="240" w:lineRule="auto"/>
              <w:ind w:firstLine="0" w:left="113" w:right="284"/>
              <w:jc w:val="center"/>
              <w:rPr>
                <w:sz w:val="20"/>
              </w:rPr>
            </w:pPr>
            <w:r>
              <w:rPr>
                <w:sz w:val="20"/>
              </w:rPr>
              <w:t>-</w:t>
            </w:r>
          </w:p>
        </w:tc>
        <w:tc>
          <w:tcPr>
            <w:tcW w:type="dxa" w:w="561"/>
            <w:tcBorders>
              <w:top w:color="000000" w:sz="4" w:val="single"/>
              <w:left w:color="000000" w:sz="4" w:val="single"/>
              <w:bottom w:color="000000" w:sz="4" w:val="single"/>
              <w:right w:color="000000" w:sz="4" w:val="single"/>
            </w:tcBorders>
            <w:textDirection w:val="btLr"/>
            <w:vAlign w:val="center"/>
          </w:tcPr>
          <w:p w14:paraId="FF00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00010000">
            <w:pPr>
              <w:widowControl w:val="0"/>
              <w:spacing w:line="240" w:lineRule="auto"/>
              <w:ind w:firstLine="0" w:left="113" w:right="284"/>
              <w:jc w:val="center"/>
              <w:rPr>
                <w:sz w:val="20"/>
              </w:rPr>
            </w:pPr>
            <w:r>
              <w:rPr>
                <w:sz w:val="20"/>
              </w:rPr>
              <w:t>-</w:t>
            </w:r>
          </w:p>
        </w:tc>
      </w:tr>
      <w:tr>
        <w:tc>
          <w:tcPr>
            <w:tcW w:type="dxa" w:w="9530"/>
            <w:gridSpan w:val="12"/>
            <w:tcBorders>
              <w:top w:color="000000" w:sz="4" w:val="single"/>
              <w:left w:color="000000" w:sz="4" w:val="single"/>
              <w:bottom w:color="000000" w:sz="4" w:val="single"/>
              <w:right w:color="000000" w:sz="4" w:val="single"/>
            </w:tcBorders>
            <w:vAlign w:val="center"/>
          </w:tcPr>
          <w:p w14:paraId="01010000">
            <w:pPr>
              <w:widowControl w:val="0"/>
              <w:spacing w:line="240" w:lineRule="auto"/>
              <w:ind w:right="284"/>
              <w:jc w:val="center"/>
              <w:rPr>
                <w:sz w:val="20"/>
              </w:rPr>
            </w:pPr>
            <w:r>
              <w:rPr>
                <w:sz w:val="20"/>
              </w:rPr>
              <w:t>2. Общественные здания (тыс. м</w:t>
            </w:r>
            <w:r>
              <w:rPr>
                <w:sz w:val="20"/>
                <w:vertAlign w:val="superscript"/>
              </w:rPr>
              <w:t>2</w:t>
            </w:r>
            <w:r>
              <w:rPr>
                <w:sz w:val="20"/>
              </w:rPr>
              <w:t>)</w:t>
            </w:r>
          </w:p>
        </w:tc>
      </w:tr>
      <w:tr>
        <w:trPr>
          <w:trHeight w:hRule="atLeast" w:val="978"/>
        </w:trPr>
        <w:tc>
          <w:tcPr>
            <w:tcW w:type="dxa" w:w="1402"/>
            <w:tcBorders>
              <w:top w:color="000000" w:sz="4" w:val="single"/>
              <w:left w:color="000000" w:sz="4" w:val="single"/>
              <w:bottom w:color="000000" w:sz="4" w:val="single"/>
              <w:right w:color="000000" w:sz="4" w:val="single"/>
            </w:tcBorders>
            <w:textDirection w:val="btLr"/>
            <w:vAlign w:val="center"/>
          </w:tcPr>
          <w:p w14:paraId="02010000">
            <w:pPr>
              <w:widowControl w:val="0"/>
              <w:spacing w:line="240" w:lineRule="auto"/>
              <w:ind w:firstLine="0" w:left="113" w:right="284"/>
              <w:jc w:val="center"/>
              <w:rPr>
                <w:sz w:val="20"/>
              </w:rPr>
            </w:pPr>
            <w:r>
              <w:rPr>
                <w:sz w:val="20"/>
              </w:rPr>
              <w:t>22,37516</w:t>
            </w:r>
          </w:p>
        </w:tc>
        <w:tc>
          <w:tcPr>
            <w:tcW w:type="dxa" w:w="982"/>
            <w:tcBorders>
              <w:top w:color="000000" w:sz="4" w:val="single"/>
              <w:left w:color="000000" w:sz="4" w:val="single"/>
              <w:bottom w:color="000000" w:sz="4" w:val="single"/>
              <w:right w:color="000000" w:sz="4" w:val="single"/>
            </w:tcBorders>
            <w:textDirection w:val="btLr"/>
            <w:vAlign w:val="center"/>
          </w:tcPr>
          <w:p w14:paraId="03010000">
            <w:pPr>
              <w:widowControl w:val="0"/>
              <w:spacing w:line="240" w:lineRule="auto"/>
              <w:ind w:firstLine="0" w:left="113" w:right="284"/>
              <w:jc w:val="center"/>
              <w:rPr>
                <w:sz w:val="20"/>
              </w:rPr>
            </w:pPr>
            <w:r>
              <w:rPr>
                <w:sz w:val="20"/>
              </w:rPr>
              <w:t>22,37516</w:t>
            </w:r>
          </w:p>
        </w:tc>
        <w:tc>
          <w:tcPr>
            <w:tcW w:type="dxa" w:w="981"/>
            <w:tcBorders>
              <w:top w:color="000000" w:sz="4" w:val="single"/>
              <w:left w:color="000000" w:sz="4" w:val="single"/>
              <w:bottom w:color="000000" w:sz="4" w:val="single"/>
              <w:right w:color="000000" w:sz="4" w:val="single"/>
            </w:tcBorders>
            <w:textDirection w:val="btLr"/>
            <w:vAlign w:val="center"/>
          </w:tcPr>
          <w:p w14:paraId="04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05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06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07010000">
            <w:pPr>
              <w:widowControl w:val="0"/>
              <w:spacing w:line="240" w:lineRule="auto"/>
              <w:ind w:firstLine="0" w:left="113" w:right="284"/>
              <w:jc w:val="center"/>
              <w:rPr>
                <w:sz w:val="20"/>
              </w:rPr>
            </w:pPr>
            <w:r>
              <w:rPr>
                <w:sz w:val="20"/>
              </w:rPr>
              <w:t>-</w:t>
            </w:r>
          </w:p>
        </w:tc>
        <w:tc>
          <w:tcPr>
            <w:tcW w:type="dxa" w:w="561"/>
            <w:tcBorders>
              <w:top w:color="000000" w:sz="4" w:val="single"/>
              <w:left w:color="000000" w:sz="4" w:val="single"/>
              <w:bottom w:color="000000" w:sz="4" w:val="single"/>
              <w:right w:color="000000" w:sz="4" w:val="single"/>
            </w:tcBorders>
            <w:textDirection w:val="btLr"/>
            <w:vAlign w:val="center"/>
          </w:tcPr>
          <w:p w14:paraId="08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09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0A010000">
            <w:pPr>
              <w:widowControl w:val="0"/>
              <w:spacing w:line="240" w:lineRule="auto"/>
              <w:ind w:firstLine="0" w:left="113" w:right="284"/>
              <w:jc w:val="center"/>
              <w:rPr>
                <w:sz w:val="20"/>
              </w:rP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0B010000">
            <w:pPr>
              <w:widowControl w:val="0"/>
              <w:spacing w:line="240" w:lineRule="auto"/>
              <w:ind w:firstLine="0" w:left="113" w:right="284"/>
              <w:jc w:val="center"/>
              <w:rPr>
                <w:sz w:val="20"/>
              </w:rPr>
            </w:pPr>
            <w:r>
              <w:rPr>
                <w:sz w:val="20"/>
              </w:rPr>
              <w:t>-</w:t>
            </w:r>
          </w:p>
        </w:tc>
        <w:tc>
          <w:tcPr>
            <w:tcW w:type="dxa" w:w="561"/>
            <w:tcBorders>
              <w:top w:color="000000" w:sz="4" w:val="single"/>
              <w:left w:color="000000" w:sz="4" w:val="single"/>
              <w:bottom w:color="000000" w:sz="4" w:val="single"/>
              <w:right w:color="000000" w:sz="4" w:val="single"/>
            </w:tcBorders>
            <w:textDirection w:val="btLr"/>
            <w:vAlign w:val="center"/>
          </w:tcPr>
          <w:p w14:paraId="0C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0D010000">
            <w:pPr>
              <w:widowControl w:val="0"/>
              <w:spacing w:line="240" w:lineRule="auto"/>
              <w:ind w:firstLine="0" w:left="113" w:right="284"/>
              <w:jc w:val="center"/>
              <w:rPr>
                <w:sz w:val="20"/>
              </w:rPr>
            </w:pPr>
            <w:r>
              <w:rPr>
                <w:sz w:val="20"/>
              </w:rPr>
              <w:t>-</w:t>
            </w:r>
          </w:p>
        </w:tc>
      </w:tr>
      <w:tr>
        <w:trPr>
          <w:trHeight w:hRule="atLeast" w:val="343"/>
        </w:trPr>
        <w:tc>
          <w:tcPr>
            <w:tcW w:type="dxa" w:w="9530"/>
            <w:gridSpan w:val="12"/>
            <w:tcBorders>
              <w:top w:color="000000" w:sz="4" w:val="single"/>
              <w:left w:color="000000" w:sz="4" w:val="single"/>
              <w:bottom w:color="000000" w:sz="4" w:val="single"/>
              <w:right w:color="000000" w:sz="4" w:val="single"/>
            </w:tcBorders>
            <w:vAlign w:val="center"/>
          </w:tcPr>
          <w:p w14:paraId="0E010000">
            <w:pPr>
              <w:widowControl w:val="0"/>
              <w:spacing w:line="240" w:lineRule="auto"/>
              <w:ind w:right="284"/>
              <w:jc w:val="center"/>
              <w:rPr>
                <w:sz w:val="20"/>
              </w:rPr>
            </w:pPr>
            <w:r>
              <w:rPr>
                <w:sz w:val="20"/>
              </w:rPr>
              <w:t>3. Прочие здания (тыс. м</w:t>
            </w:r>
            <w:r>
              <w:rPr>
                <w:sz w:val="20"/>
                <w:vertAlign w:val="superscript"/>
              </w:rPr>
              <w:t>2</w:t>
            </w:r>
            <w:r>
              <w:rPr>
                <w:sz w:val="20"/>
              </w:rPr>
              <w:t>)</w:t>
            </w:r>
          </w:p>
        </w:tc>
      </w:tr>
      <w:tr>
        <w:trPr>
          <w:trHeight w:hRule="atLeast" w:val="325"/>
        </w:trPr>
        <w:tc>
          <w:tcPr>
            <w:tcW w:type="dxa" w:w="1402"/>
            <w:tcBorders>
              <w:top w:color="000000" w:sz="4" w:val="single"/>
              <w:left w:color="000000" w:sz="4" w:val="single"/>
              <w:bottom w:color="000000" w:sz="4" w:val="single"/>
              <w:right w:color="000000" w:sz="4" w:val="single"/>
            </w:tcBorders>
            <w:textDirection w:val="btLr"/>
            <w:vAlign w:val="center"/>
          </w:tcPr>
          <w:p w14:paraId="0F010000">
            <w:pPr>
              <w:widowControl w:val="0"/>
              <w:spacing w:line="240" w:lineRule="auto"/>
              <w:ind w:firstLine="0" w:left="113" w:right="284"/>
              <w:jc w:val="center"/>
              <w:rPr>
                <w:sz w:val="20"/>
              </w:rPr>
            </w:pPr>
            <w:r>
              <w:rPr>
                <w:sz w:val="20"/>
              </w:rPr>
              <w:t>-</w:t>
            </w:r>
          </w:p>
        </w:tc>
        <w:tc>
          <w:tcPr>
            <w:tcW w:type="dxa" w:w="982"/>
            <w:tcBorders>
              <w:top w:color="000000" w:sz="4" w:val="single"/>
              <w:left w:color="000000" w:sz="4" w:val="single"/>
              <w:bottom w:color="000000" w:sz="4" w:val="single"/>
              <w:right w:color="000000" w:sz="4" w:val="single"/>
            </w:tcBorders>
            <w:textDirection w:val="btLr"/>
            <w:vAlign w:val="center"/>
          </w:tcPr>
          <w:p w14:paraId="10010000">
            <w:pPr>
              <w:widowControl w:val="0"/>
              <w:spacing w:line="240" w:lineRule="auto"/>
              <w:ind w:firstLine="0" w:left="113" w:right="284"/>
              <w:jc w:val="center"/>
              <w:rPr>
                <w:sz w:val="20"/>
              </w:rP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11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12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13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14010000">
            <w:pPr>
              <w:widowControl w:val="0"/>
              <w:spacing w:line="240" w:lineRule="auto"/>
              <w:ind w:firstLine="0" w:left="113" w:right="284"/>
              <w:jc w:val="center"/>
              <w:rPr>
                <w:sz w:val="20"/>
              </w:rPr>
            </w:pPr>
            <w:r>
              <w:rPr>
                <w:sz w:val="20"/>
              </w:rPr>
              <w:t>-</w:t>
            </w:r>
          </w:p>
        </w:tc>
        <w:tc>
          <w:tcPr>
            <w:tcW w:type="dxa" w:w="561"/>
            <w:tcBorders>
              <w:top w:color="000000" w:sz="4" w:val="single"/>
              <w:left w:color="000000" w:sz="4" w:val="single"/>
              <w:bottom w:color="000000" w:sz="4" w:val="single"/>
              <w:right w:color="000000" w:sz="4" w:val="single"/>
            </w:tcBorders>
            <w:textDirection w:val="btLr"/>
            <w:vAlign w:val="center"/>
          </w:tcPr>
          <w:p w14:paraId="15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16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17010000">
            <w:pPr>
              <w:widowControl w:val="0"/>
              <w:spacing w:line="240" w:lineRule="auto"/>
              <w:ind w:firstLine="0" w:left="113" w:right="284"/>
              <w:jc w:val="center"/>
              <w:rPr>
                <w:sz w:val="20"/>
              </w:rP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18010000">
            <w:pPr>
              <w:widowControl w:val="0"/>
              <w:spacing w:line="240" w:lineRule="auto"/>
              <w:ind w:firstLine="0" w:left="113" w:right="284"/>
              <w:jc w:val="center"/>
              <w:rPr>
                <w:sz w:val="20"/>
              </w:rPr>
            </w:pPr>
            <w:r>
              <w:rPr>
                <w:sz w:val="20"/>
              </w:rPr>
              <w:t>-</w:t>
            </w:r>
          </w:p>
        </w:tc>
        <w:tc>
          <w:tcPr>
            <w:tcW w:type="dxa" w:w="561"/>
            <w:tcBorders>
              <w:top w:color="000000" w:sz="4" w:val="single"/>
              <w:left w:color="000000" w:sz="4" w:val="single"/>
              <w:bottom w:color="000000" w:sz="4" w:val="single"/>
              <w:right w:color="000000" w:sz="4" w:val="single"/>
            </w:tcBorders>
            <w:textDirection w:val="btLr"/>
            <w:vAlign w:val="center"/>
          </w:tcPr>
          <w:p w14:paraId="19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1A010000">
            <w:pPr>
              <w:widowControl w:val="0"/>
              <w:spacing w:line="240" w:lineRule="auto"/>
              <w:ind w:firstLine="0" w:left="113" w:right="284"/>
              <w:jc w:val="center"/>
              <w:rPr>
                <w:sz w:val="20"/>
              </w:rPr>
            </w:pPr>
            <w:r>
              <w:rPr>
                <w:sz w:val="20"/>
              </w:rPr>
              <w:t>-</w:t>
            </w:r>
          </w:p>
        </w:tc>
      </w:tr>
      <w:tr>
        <w:trPr>
          <w:trHeight w:hRule="atLeast" w:val="288"/>
        </w:trPr>
        <w:tc>
          <w:tcPr>
            <w:tcW w:type="dxa" w:w="9530"/>
            <w:gridSpan w:val="12"/>
            <w:tcBorders>
              <w:top w:color="000000" w:sz="4" w:val="single"/>
              <w:left w:color="000000" w:sz="4" w:val="single"/>
              <w:bottom w:color="000000" w:sz="4" w:val="single"/>
              <w:right w:color="000000" w:sz="4" w:val="single"/>
            </w:tcBorders>
            <w:vAlign w:val="center"/>
          </w:tcPr>
          <w:p w14:paraId="1B010000">
            <w:pPr>
              <w:widowControl w:val="0"/>
              <w:spacing w:line="240" w:lineRule="auto"/>
              <w:ind w:right="284"/>
              <w:jc w:val="center"/>
              <w:rPr>
                <w:sz w:val="20"/>
              </w:rPr>
            </w:pPr>
            <w:r>
              <w:rPr>
                <w:sz w:val="20"/>
              </w:rPr>
              <w:t>4. Производственные здания промышленных предприятий</w:t>
            </w:r>
          </w:p>
        </w:tc>
      </w:tr>
      <w:tr>
        <w:trPr>
          <w:trHeight w:hRule="atLeast" w:val="318"/>
        </w:trPr>
        <w:tc>
          <w:tcPr>
            <w:tcW w:type="dxa" w:w="1402"/>
            <w:tcBorders>
              <w:top w:color="000000" w:sz="4" w:val="single"/>
              <w:left w:color="000000" w:sz="4" w:val="single"/>
              <w:bottom w:color="000000" w:sz="4" w:val="single"/>
              <w:right w:color="000000" w:sz="4" w:val="single"/>
            </w:tcBorders>
            <w:textDirection w:val="btLr"/>
            <w:vAlign w:val="center"/>
          </w:tcPr>
          <w:p w14:paraId="1C010000">
            <w:pPr>
              <w:widowControl w:val="0"/>
              <w:spacing w:line="240" w:lineRule="auto"/>
              <w:ind w:firstLine="0" w:left="113" w:right="284"/>
              <w:jc w:val="center"/>
              <w:rPr>
                <w:sz w:val="20"/>
              </w:rPr>
            </w:pPr>
            <w:r>
              <w:rPr>
                <w:sz w:val="20"/>
              </w:rPr>
              <w:t>-</w:t>
            </w:r>
          </w:p>
        </w:tc>
        <w:tc>
          <w:tcPr>
            <w:tcW w:type="dxa" w:w="982"/>
            <w:tcBorders>
              <w:top w:color="000000" w:sz="4" w:val="single"/>
              <w:left w:color="000000" w:sz="4" w:val="single"/>
              <w:bottom w:color="000000" w:sz="4" w:val="single"/>
              <w:right w:color="000000" w:sz="4" w:val="single"/>
            </w:tcBorders>
            <w:textDirection w:val="btLr"/>
            <w:vAlign w:val="center"/>
          </w:tcPr>
          <w:p w14:paraId="1D010000">
            <w:pPr>
              <w:widowControl w:val="0"/>
              <w:spacing w:line="240" w:lineRule="auto"/>
              <w:ind w:firstLine="0" w:left="113" w:right="284"/>
              <w:jc w:val="center"/>
              <w:rPr>
                <w:sz w:val="20"/>
              </w:rP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1E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1F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20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21010000">
            <w:pPr>
              <w:widowControl w:val="0"/>
              <w:spacing w:line="240" w:lineRule="auto"/>
              <w:ind w:firstLine="0" w:left="113" w:right="284"/>
              <w:jc w:val="center"/>
              <w:rPr>
                <w:sz w:val="20"/>
              </w:rPr>
            </w:pPr>
          </w:p>
        </w:tc>
        <w:tc>
          <w:tcPr>
            <w:tcW w:type="dxa" w:w="561"/>
            <w:tcBorders>
              <w:top w:color="000000" w:sz="4" w:val="single"/>
              <w:left w:color="000000" w:sz="4" w:val="single"/>
              <w:bottom w:color="000000" w:sz="4" w:val="single"/>
              <w:right w:color="000000" w:sz="4" w:val="single"/>
            </w:tcBorders>
            <w:textDirection w:val="btLr"/>
            <w:vAlign w:val="center"/>
          </w:tcPr>
          <w:p w14:paraId="22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23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24010000">
            <w:pPr>
              <w:widowControl w:val="0"/>
              <w:spacing w:line="240" w:lineRule="auto"/>
              <w:ind w:firstLine="0" w:left="113" w:right="284"/>
              <w:jc w:val="center"/>
              <w:rPr>
                <w:sz w:val="20"/>
              </w:rP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25010000">
            <w:pPr>
              <w:widowControl w:val="0"/>
              <w:spacing w:line="240" w:lineRule="auto"/>
              <w:ind w:firstLine="0" w:left="113" w:right="284"/>
              <w:jc w:val="center"/>
              <w:rPr>
                <w:sz w:val="20"/>
              </w:rPr>
            </w:pPr>
            <w:r>
              <w:rPr>
                <w:sz w:val="20"/>
              </w:rPr>
              <w:t>-</w:t>
            </w:r>
          </w:p>
        </w:tc>
        <w:tc>
          <w:tcPr>
            <w:tcW w:type="dxa" w:w="561"/>
            <w:tcBorders>
              <w:top w:color="000000" w:sz="4" w:val="single"/>
              <w:left w:color="000000" w:sz="4" w:val="single"/>
              <w:bottom w:color="000000" w:sz="4" w:val="single"/>
              <w:right w:color="000000" w:sz="4" w:val="single"/>
            </w:tcBorders>
            <w:textDirection w:val="btLr"/>
            <w:vAlign w:val="center"/>
          </w:tcPr>
          <w:p w14:paraId="26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27010000">
            <w:pPr>
              <w:widowControl w:val="0"/>
              <w:spacing w:line="240" w:lineRule="auto"/>
              <w:ind w:firstLine="0" w:left="113" w:right="284"/>
              <w:jc w:val="center"/>
              <w:rPr>
                <w:sz w:val="20"/>
              </w:rPr>
            </w:pPr>
            <w:r>
              <w:rPr>
                <w:sz w:val="20"/>
              </w:rPr>
              <w:t>-</w:t>
            </w:r>
          </w:p>
        </w:tc>
      </w:tr>
    </w:tbl>
    <w:p w14:paraId="28010000">
      <w:pPr>
        <w:spacing w:before="200" w:line="20" w:lineRule="atLeast"/>
        <w:ind w:firstLine="709" w:left="0"/>
        <w:jc w:val="both"/>
        <w:rPr>
          <w:b w:val="1"/>
          <w:sz w:val="28"/>
        </w:rPr>
      </w:pPr>
      <w:r>
        <w:rPr>
          <w:b w:val="1"/>
          <w:sz w:val="28"/>
        </w:rPr>
        <w:t>1.2. Существующие и перспективные объёмы потребления тепловой энергии (мощности) и теплоносителя</w:t>
      </w:r>
      <w:r>
        <w:rPr>
          <w:b w:val="1"/>
          <w:sz w:val="28"/>
        </w:rPr>
        <w:t xml:space="preserve"> с разделением по видам теплопотребления в каждом расчётном элементе территориального деления на каждом этапе</w:t>
      </w:r>
    </w:p>
    <w:p w14:paraId="29010000">
      <w:pPr>
        <w:spacing w:before="200" w:line="20" w:lineRule="atLeast"/>
        <w:ind w:firstLine="709" w:left="0"/>
        <w:jc w:val="both"/>
        <w:rPr>
          <w:sz w:val="28"/>
        </w:rPr>
      </w:pPr>
      <w:r>
        <w:rPr>
          <w:sz w:val="28"/>
        </w:rPr>
        <w:t>В таблице 2 отражены существующие и перспективные объёмы</w:t>
      </w:r>
    </w:p>
    <w:p w14:paraId="2A010000">
      <w:pPr>
        <w:spacing w:before="200" w:line="20" w:lineRule="atLeast"/>
        <w:ind/>
        <w:jc w:val="both"/>
        <w:rPr>
          <w:sz w:val="28"/>
        </w:rPr>
      </w:pPr>
      <w:r>
        <w:rPr>
          <w:sz w:val="28"/>
        </w:rPr>
        <w:t>потребления тепловой энергии (мощности) и теплоносителя с разделением по видам теплопотре</w:t>
      </w:r>
      <w:r>
        <w:rPr>
          <w:sz w:val="28"/>
        </w:rPr>
        <w:t>бления в каждом расчётном элементе территориального деления на каждом этапе.</w:t>
      </w:r>
    </w:p>
    <w:p w14:paraId="2B010000">
      <w:pPr>
        <w:spacing w:before="200" w:line="20" w:lineRule="atLeast"/>
        <w:ind/>
        <w:jc w:val="both"/>
        <w:rPr>
          <w:sz w:val="28"/>
        </w:rPr>
      </w:pPr>
      <w:r>
        <w:rPr>
          <w:sz w:val="28"/>
        </w:rPr>
        <w:t xml:space="preserve">Таблица 2 Существующие и перспективные объёмы потребления тепловой энергии (мощности) и теплоносителя с разделением по видам теплопотребления </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1"/>
        <w:gridCol w:w="841"/>
        <w:gridCol w:w="700"/>
        <w:gridCol w:w="561"/>
        <w:gridCol w:w="701"/>
        <w:gridCol w:w="701"/>
        <w:gridCol w:w="701"/>
        <w:gridCol w:w="840"/>
        <w:gridCol w:w="981"/>
        <w:gridCol w:w="982"/>
        <w:gridCol w:w="840"/>
        <w:gridCol w:w="981"/>
      </w:tblGrid>
      <w:tr>
        <w:trPr>
          <w:trHeight w:hRule="atLeast" w:val="573"/>
        </w:trPr>
        <w:tc>
          <w:tcPr>
            <w:tcW w:type="dxa" w:w="701"/>
            <w:vMerge w:val="restart"/>
            <w:tcBorders>
              <w:top w:color="000000" w:sz="4" w:val="single"/>
              <w:left w:color="000000" w:sz="4" w:val="single"/>
              <w:bottom w:color="000000" w:sz="4" w:val="single"/>
              <w:right w:color="000000" w:sz="4" w:val="single"/>
            </w:tcBorders>
            <w:textDirection w:val="btLr"/>
            <w:vAlign w:val="center"/>
          </w:tcPr>
          <w:p w14:paraId="2C010000">
            <w:pPr>
              <w:spacing w:before="200" w:line="20" w:lineRule="atLeast"/>
              <w:ind w:firstLine="0" w:left="113" w:right="113"/>
              <w:jc w:val="center"/>
              <w:rPr>
                <w:sz w:val="20"/>
              </w:rPr>
            </w:pPr>
            <w:r>
              <w:rPr>
                <w:sz w:val="20"/>
              </w:rPr>
              <w:t>ед. изм.</w:t>
            </w:r>
          </w:p>
        </w:tc>
        <w:tc>
          <w:tcPr>
            <w:tcW w:type="dxa" w:w="8829"/>
            <w:gridSpan w:val="11"/>
            <w:tcBorders>
              <w:top w:color="000000" w:sz="4" w:val="single"/>
              <w:left w:color="000000" w:sz="4" w:val="single"/>
              <w:bottom w:color="000000" w:sz="4" w:val="single"/>
              <w:right w:color="000000" w:sz="4" w:val="single"/>
            </w:tcBorders>
            <w:vAlign w:val="center"/>
          </w:tcPr>
          <w:p w14:paraId="2D010000">
            <w:pPr>
              <w:tabs>
                <w:tab w:leader="none" w:pos="7531" w:val="left"/>
              </w:tabs>
              <w:spacing w:before="200" w:line="20" w:lineRule="atLeast"/>
              <w:ind/>
              <w:jc w:val="center"/>
              <w:rPr>
                <w:sz w:val="20"/>
              </w:rPr>
            </w:pPr>
            <w:r>
              <w:rPr>
                <w:sz w:val="20"/>
              </w:rPr>
              <w:t xml:space="preserve">**Объёмы потребления </w:t>
            </w:r>
            <w:r>
              <w:rPr>
                <w:sz w:val="20"/>
              </w:rPr>
              <w:t>тепловой энергии (Гкал), (мощности) в Гкал/ч и теплоносителя (в т/ч) с разделением по видам теплопотребления, по годам</w:t>
            </w:r>
          </w:p>
        </w:tc>
      </w:tr>
      <w:tr>
        <w:trPr>
          <w:trHeight w:hRule="atLeast" w:val="1162"/>
        </w:trPr>
        <w:tc>
          <w:tcPr>
            <w:tcW w:type="dxa" w:w="701"/>
            <w:gridSpan w:val="1"/>
            <w:vMerge w:val="continue"/>
            <w:tcBorders>
              <w:top w:color="000000" w:sz="4" w:val="single"/>
              <w:left w:color="000000" w:sz="4" w:val="single"/>
              <w:bottom w:color="000000" w:sz="4" w:val="single"/>
              <w:right w:color="000000" w:sz="4" w:val="single"/>
            </w:tcBorders>
            <w:textDirection w:val="btLr"/>
            <w:vAlign w:val="center"/>
          </w:tcPr>
          <w:p/>
        </w:tc>
        <w:tc>
          <w:tcPr>
            <w:tcW w:type="dxa" w:w="841"/>
            <w:tcBorders>
              <w:top w:color="000000" w:sz="4" w:val="single"/>
              <w:left w:color="000000" w:sz="4" w:val="single"/>
              <w:bottom w:color="000000" w:sz="4" w:val="single"/>
              <w:right w:color="000000" w:sz="4" w:val="single"/>
            </w:tcBorders>
            <w:textDirection w:val="btLr"/>
            <w:vAlign w:val="center"/>
          </w:tcPr>
          <w:p w14:paraId="2E010000">
            <w:pPr>
              <w:widowControl w:val="0"/>
              <w:spacing w:line="240" w:lineRule="auto"/>
              <w:ind w:firstLine="0" w:left="113" w:right="284"/>
              <w:jc w:val="center"/>
              <w:rPr>
                <w:sz w:val="20"/>
              </w:rPr>
            </w:pPr>
            <w:r>
              <w:rPr>
                <w:sz w:val="20"/>
              </w:rPr>
              <w:t xml:space="preserve">2022 </w:t>
            </w:r>
          </w:p>
        </w:tc>
        <w:tc>
          <w:tcPr>
            <w:tcW w:type="dxa" w:w="700"/>
            <w:tcBorders>
              <w:top w:color="000000" w:sz="4" w:val="single"/>
              <w:left w:color="000000" w:sz="4" w:val="single"/>
              <w:bottom w:color="000000" w:sz="4" w:val="single"/>
              <w:right w:color="000000" w:sz="4" w:val="single"/>
            </w:tcBorders>
            <w:textDirection w:val="btLr"/>
            <w:vAlign w:val="center"/>
          </w:tcPr>
          <w:p w14:paraId="2F010000">
            <w:pPr>
              <w:widowControl w:val="0"/>
              <w:spacing w:line="240" w:lineRule="auto"/>
              <w:ind w:firstLine="0" w:left="113" w:right="284"/>
              <w:jc w:val="center"/>
              <w:rPr>
                <w:sz w:val="20"/>
              </w:rPr>
            </w:pPr>
            <w:r>
              <w:rPr>
                <w:sz w:val="20"/>
              </w:rPr>
              <w:t>2023 -2024</w:t>
            </w:r>
          </w:p>
        </w:tc>
        <w:tc>
          <w:tcPr>
            <w:tcW w:type="dxa" w:w="561"/>
            <w:tcBorders>
              <w:top w:color="000000" w:sz="4" w:val="single"/>
              <w:left w:color="000000" w:sz="4" w:val="single"/>
              <w:bottom w:color="000000" w:sz="4" w:val="single"/>
              <w:right w:color="000000" w:sz="4" w:val="single"/>
            </w:tcBorders>
            <w:textDirection w:val="btLr"/>
            <w:vAlign w:val="center"/>
          </w:tcPr>
          <w:p w14:paraId="30010000">
            <w:pPr>
              <w:widowControl w:val="0"/>
              <w:spacing w:line="240" w:lineRule="auto"/>
              <w:ind w:firstLine="0" w:left="113" w:right="284"/>
              <w:jc w:val="center"/>
              <w:rPr>
                <w:sz w:val="20"/>
              </w:rPr>
            </w:pPr>
            <w:r>
              <w:rPr>
                <w:sz w:val="20"/>
              </w:rPr>
              <w:t>2025</w:t>
            </w:r>
          </w:p>
        </w:tc>
        <w:tc>
          <w:tcPr>
            <w:tcW w:type="dxa" w:w="701"/>
            <w:tcBorders>
              <w:top w:color="000000" w:sz="4" w:val="single"/>
              <w:left w:color="000000" w:sz="4" w:val="single"/>
              <w:bottom w:color="000000" w:sz="4" w:val="single"/>
              <w:right w:color="000000" w:sz="4" w:val="single"/>
            </w:tcBorders>
            <w:textDirection w:val="btLr"/>
            <w:vAlign w:val="center"/>
          </w:tcPr>
          <w:p w14:paraId="31010000">
            <w:pPr>
              <w:widowControl w:val="0"/>
              <w:spacing w:line="240" w:lineRule="auto"/>
              <w:ind w:firstLine="0" w:left="113" w:right="284"/>
              <w:jc w:val="center"/>
              <w:rPr>
                <w:sz w:val="20"/>
              </w:rPr>
            </w:pPr>
            <w:r>
              <w:rPr>
                <w:sz w:val="20"/>
              </w:rPr>
              <w:t>2026</w:t>
            </w:r>
          </w:p>
        </w:tc>
        <w:tc>
          <w:tcPr>
            <w:tcW w:type="dxa" w:w="701"/>
            <w:tcBorders>
              <w:top w:color="000000" w:sz="4" w:val="single"/>
              <w:left w:color="000000" w:sz="4" w:val="single"/>
              <w:bottom w:color="000000" w:sz="4" w:val="single"/>
              <w:right w:color="000000" w:sz="4" w:val="single"/>
            </w:tcBorders>
            <w:textDirection w:val="btLr"/>
            <w:vAlign w:val="center"/>
          </w:tcPr>
          <w:p w14:paraId="32010000">
            <w:pPr>
              <w:widowControl w:val="0"/>
              <w:spacing w:line="240" w:lineRule="auto"/>
              <w:ind w:firstLine="0" w:left="113" w:right="284"/>
              <w:jc w:val="center"/>
              <w:rPr>
                <w:sz w:val="20"/>
              </w:rPr>
            </w:pPr>
            <w:r>
              <w:rPr>
                <w:sz w:val="20"/>
              </w:rPr>
              <w:t>2027</w:t>
            </w:r>
          </w:p>
        </w:tc>
        <w:tc>
          <w:tcPr>
            <w:tcW w:type="dxa" w:w="701"/>
            <w:tcBorders>
              <w:top w:color="000000" w:sz="4" w:val="single"/>
              <w:left w:color="000000" w:sz="4" w:val="single"/>
              <w:bottom w:color="000000" w:sz="4" w:val="single"/>
              <w:right w:color="000000" w:sz="4" w:val="single"/>
            </w:tcBorders>
            <w:textDirection w:val="btLr"/>
            <w:vAlign w:val="center"/>
          </w:tcPr>
          <w:p w14:paraId="33010000">
            <w:pPr>
              <w:widowControl w:val="0"/>
              <w:spacing w:line="240" w:lineRule="auto"/>
              <w:ind w:firstLine="0" w:left="113" w:right="284"/>
              <w:jc w:val="center"/>
              <w:rPr>
                <w:sz w:val="20"/>
              </w:rPr>
            </w:pPr>
            <w:r>
              <w:rPr>
                <w:sz w:val="20"/>
              </w:rPr>
              <w:t>2028</w:t>
            </w:r>
          </w:p>
        </w:tc>
        <w:tc>
          <w:tcPr>
            <w:tcW w:type="dxa" w:w="840"/>
            <w:tcBorders>
              <w:top w:color="000000" w:sz="4" w:val="single"/>
              <w:left w:color="000000" w:sz="4" w:val="single"/>
              <w:bottom w:color="000000" w:sz="4" w:val="single"/>
              <w:right w:color="000000" w:sz="4" w:val="single"/>
            </w:tcBorders>
            <w:textDirection w:val="btLr"/>
            <w:vAlign w:val="center"/>
          </w:tcPr>
          <w:p w14:paraId="34010000">
            <w:pPr>
              <w:widowControl w:val="0"/>
              <w:spacing w:line="240" w:lineRule="auto"/>
              <w:ind w:firstLine="0" w:left="113" w:right="284"/>
              <w:jc w:val="center"/>
              <w:rPr>
                <w:sz w:val="20"/>
              </w:rPr>
            </w:pPr>
            <w:r>
              <w:rPr>
                <w:sz w:val="20"/>
              </w:rPr>
              <w:t>2029</w:t>
            </w:r>
          </w:p>
        </w:tc>
        <w:tc>
          <w:tcPr>
            <w:tcW w:type="dxa" w:w="981"/>
            <w:tcBorders>
              <w:top w:color="000000" w:sz="4" w:val="single"/>
              <w:left w:color="000000" w:sz="4" w:val="single"/>
              <w:bottom w:color="000000" w:sz="4" w:val="single"/>
              <w:right w:color="000000" w:sz="4" w:val="single"/>
            </w:tcBorders>
            <w:textDirection w:val="btLr"/>
            <w:vAlign w:val="center"/>
          </w:tcPr>
          <w:p w14:paraId="35010000">
            <w:pPr>
              <w:widowControl w:val="0"/>
              <w:spacing w:line="240" w:lineRule="auto"/>
              <w:ind w:firstLine="0" w:left="113" w:right="284"/>
              <w:jc w:val="center"/>
              <w:rPr>
                <w:sz w:val="20"/>
              </w:rPr>
            </w:pPr>
            <w:r>
              <w:rPr>
                <w:sz w:val="20"/>
              </w:rPr>
              <w:t>2030</w:t>
            </w:r>
          </w:p>
        </w:tc>
        <w:tc>
          <w:tcPr>
            <w:tcW w:type="dxa" w:w="982"/>
            <w:tcBorders>
              <w:top w:color="000000" w:sz="4" w:val="single"/>
              <w:left w:color="000000" w:sz="4" w:val="single"/>
              <w:bottom w:color="000000" w:sz="4" w:val="single"/>
              <w:right w:color="000000" w:sz="4" w:val="single"/>
            </w:tcBorders>
            <w:textDirection w:val="btLr"/>
            <w:vAlign w:val="center"/>
          </w:tcPr>
          <w:p w14:paraId="36010000">
            <w:pPr>
              <w:widowControl w:val="0"/>
              <w:spacing w:line="240" w:lineRule="auto"/>
              <w:ind w:firstLine="0" w:left="113" w:right="284"/>
              <w:jc w:val="center"/>
              <w:rPr>
                <w:sz w:val="20"/>
              </w:rPr>
            </w:pPr>
            <w:r>
              <w:rPr>
                <w:sz w:val="20"/>
              </w:rPr>
              <w:t>2031</w:t>
            </w:r>
          </w:p>
        </w:tc>
        <w:tc>
          <w:tcPr>
            <w:tcW w:type="dxa" w:w="840"/>
            <w:tcBorders>
              <w:top w:color="000000" w:sz="4" w:val="single"/>
              <w:left w:color="000000" w:sz="4" w:val="single"/>
              <w:bottom w:color="000000" w:sz="4" w:val="single"/>
              <w:right w:color="000000" w:sz="4" w:val="single"/>
            </w:tcBorders>
            <w:textDirection w:val="btLr"/>
          </w:tcPr>
          <w:p w14:paraId="37010000">
            <w:pPr>
              <w:widowControl w:val="0"/>
              <w:spacing w:line="240" w:lineRule="auto"/>
              <w:ind w:firstLine="0" w:left="113" w:right="284"/>
              <w:jc w:val="center"/>
              <w:rPr>
                <w:sz w:val="20"/>
              </w:rPr>
            </w:pPr>
            <w:r>
              <w:rPr>
                <w:sz w:val="20"/>
              </w:rPr>
              <w:t>2032</w:t>
            </w:r>
          </w:p>
        </w:tc>
        <w:tc>
          <w:tcPr>
            <w:tcW w:type="dxa" w:w="981"/>
            <w:tcBorders>
              <w:top w:color="000000" w:sz="4" w:val="single"/>
              <w:left w:color="000000" w:sz="4" w:val="single"/>
              <w:bottom w:color="000000" w:sz="4" w:val="single"/>
              <w:right w:color="000000" w:sz="4" w:val="single"/>
            </w:tcBorders>
            <w:textDirection w:val="btLr"/>
            <w:vAlign w:val="center"/>
          </w:tcPr>
          <w:p w14:paraId="38010000">
            <w:pPr>
              <w:widowControl w:val="0"/>
              <w:spacing w:line="240" w:lineRule="auto"/>
              <w:ind w:firstLine="0" w:left="113" w:right="284"/>
              <w:jc w:val="center"/>
              <w:rPr>
                <w:sz w:val="20"/>
              </w:rPr>
            </w:pPr>
            <w:r>
              <w:rPr>
                <w:sz w:val="20"/>
              </w:rPr>
              <w:t>2033</w:t>
            </w:r>
          </w:p>
        </w:tc>
      </w:tr>
      <w:tr>
        <w:trPr>
          <w:trHeight w:hRule="atLeast" w:val="381"/>
        </w:trPr>
        <w:tc>
          <w:tcPr>
            <w:tcW w:type="dxa" w:w="9530"/>
            <w:gridSpan w:val="12"/>
            <w:tcBorders>
              <w:top w:color="000000" w:sz="4" w:val="single"/>
              <w:left w:color="000000" w:sz="4" w:val="single"/>
              <w:bottom w:color="000000" w:sz="4" w:val="single"/>
              <w:right w:color="000000" w:sz="4" w:val="single"/>
            </w:tcBorders>
            <w:vAlign w:val="center"/>
          </w:tcPr>
          <w:p w14:paraId="39010000">
            <w:pPr>
              <w:spacing w:before="200" w:line="20" w:lineRule="atLeast"/>
              <w:ind/>
              <w:jc w:val="center"/>
              <w:rPr>
                <w:sz w:val="20"/>
              </w:rPr>
            </w:pPr>
            <w:r>
              <w:rPr>
                <w:sz w:val="20"/>
              </w:rPr>
              <w:t>1. Население (многоквартирные жилые дома)</w:t>
            </w:r>
          </w:p>
        </w:tc>
      </w:tr>
      <w:tr>
        <w:trPr>
          <w:trHeight w:hRule="atLeast" w:val="779"/>
        </w:trPr>
        <w:tc>
          <w:tcPr>
            <w:tcW w:type="dxa" w:w="701"/>
            <w:tcBorders>
              <w:top w:color="000000" w:sz="4" w:val="single"/>
              <w:left w:color="000000" w:sz="4" w:val="single"/>
              <w:bottom w:color="000000" w:sz="4" w:val="single"/>
              <w:right w:color="000000" w:sz="4" w:val="single"/>
            </w:tcBorders>
            <w:textDirection w:val="btLr"/>
            <w:vAlign w:val="center"/>
          </w:tcPr>
          <w:p w14:paraId="3A010000">
            <w:pPr>
              <w:spacing w:before="200" w:line="20" w:lineRule="atLeast"/>
              <w:ind w:firstLine="0" w:left="113" w:right="113"/>
              <w:jc w:val="center"/>
              <w:rPr>
                <w:sz w:val="20"/>
              </w:rPr>
            </w:pPr>
            <w:r>
              <w:rPr>
                <w:sz w:val="20"/>
              </w:rPr>
              <w:t>Гкал/ч</w:t>
            </w:r>
          </w:p>
        </w:tc>
        <w:tc>
          <w:tcPr>
            <w:tcW w:type="dxa" w:w="841"/>
            <w:tcBorders>
              <w:top w:color="000000" w:sz="4" w:val="single"/>
              <w:left w:color="000000" w:sz="4" w:val="single"/>
              <w:bottom w:color="000000" w:sz="4" w:val="single"/>
              <w:right w:color="000000" w:sz="4" w:val="single"/>
            </w:tcBorders>
            <w:textDirection w:val="btLr"/>
            <w:vAlign w:val="center"/>
          </w:tcPr>
          <w:p w14:paraId="3B010000">
            <w:pPr>
              <w:spacing w:before="200" w:line="20" w:lineRule="atLeast"/>
              <w:ind w:firstLine="0" w:left="113" w:right="113"/>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3C010000">
            <w:pPr>
              <w:ind w:firstLine="0" w:left="113" w:right="113"/>
              <w:jc w:val="center"/>
            </w:pPr>
            <w:r>
              <w:rPr>
                <w:sz w:val="20"/>
              </w:rPr>
              <w:t>-</w:t>
            </w:r>
          </w:p>
        </w:tc>
        <w:tc>
          <w:tcPr>
            <w:tcW w:type="dxa" w:w="561"/>
            <w:tcBorders>
              <w:top w:color="000000" w:sz="4" w:val="single"/>
              <w:left w:color="000000" w:sz="4" w:val="single"/>
              <w:bottom w:color="000000" w:sz="4" w:val="single"/>
              <w:right w:color="000000" w:sz="4" w:val="single"/>
            </w:tcBorders>
            <w:textDirection w:val="btLr"/>
            <w:vAlign w:val="center"/>
          </w:tcPr>
          <w:p w14:paraId="3D010000">
            <w:pPr>
              <w:ind w:firstLine="0" w:left="113" w:right="113"/>
              <w:jc w:val="cente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3E010000">
            <w:pPr>
              <w:ind w:firstLine="0" w:left="113" w:right="113"/>
              <w:jc w:val="cente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3F010000">
            <w:pPr>
              <w:ind w:firstLine="0" w:left="113" w:right="113"/>
              <w:jc w:val="cente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40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41010000">
            <w:pPr>
              <w:ind w:firstLine="0" w:left="113" w:right="113"/>
              <w:jc w:val="cente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42010000">
            <w:pPr>
              <w:ind w:firstLine="0" w:left="113" w:right="113"/>
              <w:jc w:val="center"/>
            </w:pPr>
            <w:r>
              <w:rPr>
                <w:sz w:val="20"/>
              </w:rPr>
              <w:t>-</w:t>
            </w:r>
          </w:p>
        </w:tc>
        <w:tc>
          <w:tcPr>
            <w:tcW w:type="dxa" w:w="982"/>
            <w:tcBorders>
              <w:top w:color="000000" w:sz="4" w:val="single"/>
              <w:left w:color="000000" w:sz="4" w:val="single"/>
              <w:bottom w:color="000000" w:sz="4" w:val="single"/>
              <w:right w:color="000000" w:sz="4" w:val="single"/>
            </w:tcBorders>
            <w:textDirection w:val="btLr"/>
            <w:vAlign w:val="center"/>
          </w:tcPr>
          <w:p w14:paraId="43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44010000">
            <w:pPr>
              <w:ind w:firstLine="0" w:left="113" w:right="113"/>
              <w:jc w:val="cente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45010000">
            <w:pPr>
              <w:ind w:firstLine="0" w:left="113" w:right="113"/>
              <w:jc w:val="center"/>
            </w:pPr>
            <w:r>
              <w:rPr>
                <w:sz w:val="20"/>
              </w:rPr>
              <w:t>-</w:t>
            </w:r>
          </w:p>
        </w:tc>
      </w:tr>
      <w:tr>
        <w:trPr>
          <w:trHeight w:hRule="atLeast" w:val="571"/>
        </w:trPr>
        <w:tc>
          <w:tcPr>
            <w:tcW w:type="dxa" w:w="701"/>
            <w:tcBorders>
              <w:top w:color="000000" w:sz="4" w:val="single"/>
              <w:left w:color="000000" w:sz="4" w:val="single"/>
              <w:bottom w:color="000000" w:sz="4" w:val="single"/>
              <w:right w:color="000000" w:sz="4" w:val="single"/>
            </w:tcBorders>
            <w:textDirection w:val="btLr"/>
            <w:vAlign w:val="center"/>
          </w:tcPr>
          <w:p w14:paraId="46010000">
            <w:pPr>
              <w:spacing w:before="200" w:line="20" w:lineRule="atLeast"/>
              <w:ind w:firstLine="0" w:left="113" w:right="113"/>
              <w:jc w:val="center"/>
              <w:rPr>
                <w:sz w:val="20"/>
              </w:rPr>
            </w:pPr>
            <w:r>
              <w:rPr>
                <w:sz w:val="20"/>
              </w:rPr>
              <w:t>*т/ч</w:t>
            </w:r>
          </w:p>
        </w:tc>
        <w:tc>
          <w:tcPr>
            <w:tcW w:type="dxa" w:w="841"/>
            <w:tcBorders>
              <w:top w:color="000000" w:sz="4" w:val="single"/>
              <w:left w:color="000000" w:sz="4" w:val="single"/>
              <w:bottom w:color="000000" w:sz="4" w:val="single"/>
              <w:right w:color="000000" w:sz="4" w:val="single"/>
            </w:tcBorders>
            <w:textDirection w:val="btLr"/>
            <w:vAlign w:val="center"/>
          </w:tcPr>
          <w:p w14:paraId="47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48010000">
            <w:pPr>
              <w:ind w:firstLine="0" w:left="113" w:right="113"/>
              <w:jc w:val="center"/>
              <w:rPr>
                <w:sz w:val="20"/>
              </w:rPr>
            </w:pPr>
            <w:r>
              <w:rPr>
                <w:sz w:val="20"/>
              </w:rPr>
              <w:t>-</w:t>
            </w:r>
          </w:p>
        </w:tc>
        <w:tc>
          <w:tcPr>
            <w:tcW w:type="dxa" w:w="561"/>
            <w:tcBorders>
              <w:top w:color="000000" w:sz="4" w:val="single"/>
              <w:left w:color="000000" w:sz="4" w:val="single"/>
              <w:bottom w:color="000000" w:sz="4" w:val="single"/>
              <w:right w:color="000000" w:sz="4" w:val="single"/>
            </w:tcBorders>
            <w:textDirection w:val="btLr"/>
            <w:vAlign w:val="center"/>
          </w:tcPr>
          <w:p w14:paraId="49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4A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4B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4C010000">
            <w:pPr>
              <w:ind w:firstLine="0" w:left="113" w:right="113"/>
              <w:jc w:val="center"/>
              <w:rPr>
                <w:sz w:val="20"/>
              </w:rP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4D010000">
            <w:pPr>
              <w:ind w:firstLine="0" w:left="113" w:right="113"/>
              <w:jc w:val="center"/>
              <w:rPr>
                <w:sz w:val="20"/>
              </w:rP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4E010000">
            <w:pPr>
              <w:ind w:firstLine="0" w:left="113" w:right="113"/>
              <w:jc w:val="center"/>
              <w:rPr>
                <w:sz w:val="20"/>
              </w:rPr>
            </w:pPr>
            <w:r>
              <w:rPr>
                <w:sz w:val="20"/>
              </w:rPr>
              <w:t>-</w:t>
            </w:r>
          </w:p>
        </w:tc>
        <w:tc>
          <w:tcPr>
            <w:tcW w:type="dxa" w:w="982"/>
            <w:tcBorders>
              <w:top w:color="000000" w:sz="4" w:val="single"/>
              <w:left w:color="000000" w:sz="4" w:val="single"/>
              <w:bottom w:color="000000" w:sz="4" w:val="single"/>
              <w:right w:color="000000" w:sz="4" w:val="single"/>
            </w:tcBorders>
            <w:textDirection w:val="btLr"/>
            <w:vAlign w:val="center"/>
          </w:tcPr>
          <w:p w14:paraId="4F010000">
            <w:pPr>
              <w:ind w:firstLine="0" w:left="113" w:right="113"/>
              <w:jc w:val="center"/>
              <w:rPr>
                <w:sz w:val="20"/>
              </w:rP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50010000">
            <w:pPr>
              <w:ind w:firstLine="0" w:left="113" w:right="113"/>
              <w:jc w:val="center"/>
              <w:rPr>
                <w:sz w:val="20"/>
              </w:rP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51010000">
            <w:pPr>
              <w:ind w:firstLine="0" w:left="113" w:right="113"/>
              <w:jc w:val="center"/>
              <w:rPr>
                <w:sz w:val="20"/>
              </w:rPr>
            </w:pPr>
            <w:r>
              <w:rPr>
                <w:sz w:val="20"/>
              </w:rPr>
              <w:t>-</w:t>
            </w:r>
          </w:p>
        </w:tc>
      </w:tr>
      <w:tr>
        <w:trPr>
          <w:trHeight w:hRule="atLeast" w:val="667"/>
        </w:trPr>
        <w:tc>
          <w:tcPr>
            <w:tcW w:type="dxa" w:w="701"/>
            <w:tcBorders>
              <w:top w:color="000000" w:sz="4" w:val="single"/>
              <w:left w:color="000000" w:sz="4" w:val="single"/>
              <w:bottom w:color="000000" w:sz="4" w:val="single"/>
              <w:right w:color="000000" w:sz="4" w:val="single"/>
            </w:tcBorders>
            <w:textDirection w:val="btLr"/>
            <w:vAlign w:val="center"/>
          </w:tcPr>
          <w:p w14:paraId="52010000">
            <w:pPr>
              <w:spacing w:before="200" w:line="20" w:lineRule="atLeast"/>
              <w:ind w:firstLine="0" w:left="113" w:right="113"/>
              <w:jc w:val="center"/>
              <w:rPr>
                <w:sz w:val="20"/>
              </w:rPr>
            </w:pPr>
            <w:r>
              <w:rPr>
                <w:sz w:val="20"/>
              </w:rPr>
              <w:t>тыс. Гкал</w:t>
            </w:r>
          </w:p>
        </w:tc>
        <w:tc>
          <w:tcPr>
            <w:tcW w:type="dxa" w:w="841"/>
            <w:tcBorders>
              <w:top w:color="000000" w:sz="4" w:val="single"/>
              <w:left w:color="000000" w:sz="4" w:val="single"/>
              <w:bottom w:color="000000" w:sz="4" w:val="single"/>
              <w:right w:color="000000" w:sz="4" w:val="single"/>
            </w:tcBorders>
            <w:textDirection w:val="btLr"/>
            <w:vAlign w:val="center"/>
          </w:tcPr>
          <w:p w14:paraId="53010000">
            <w:pPr>
              <w:spacing w:before="200" w:line="20" w:lineRule="atLeast"/>
              <w:ind w:firstLine="0" w:left="113" w:right="113"/>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54010000">
            <w:pPr>
              <w:ind w:firstLine="0" w:left="113" w:right="113"/>
              <w:jc w:val="center"/>
              <w:rPr>
                <w:sz w:val="20"/>
              </w:rPr>
            </w:pPr>
            <w:r>
              <w:rPr>
                <w:sz w:val="20"/>
              </w:rPr>
              <w:t>-</w:t>
            </w:r>
          </w:p>
        </w:tc>
        <w:tc>
          <w:tcPr>
            <w:tcW w:type="dxa" w:w="561"/>
            <w:tcBorders>
              <w:top w:color="000000" w:sz="4" w:val="single"/>
              <w:left w:color="000000" w:sz="4" w:val="single"/>
              <w:bottom w:color="000000" w:sz="4" w:val="single"/>
              <w:right w:color="000000" w:sz="4" w:val="single"/>
            </w:tcBorders>
            <w:textDirection w:val="btLr"/>
            <w:vAlign w:val="center"/>
          </w:tcPr>
          <w:p w14:paraId="55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56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57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58010000">
            <w:pPr>
              <w:ind w:firstLine="0" w:left="113" w:right="113"/>
              <w:jc w:val="center"/>
              <w:rPr>
                <w:sz w:val="20"/>
              </w:rP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59010000">
            <w:pPr>
              <w:ind w:firstLine="0" w:left="113" w:right="113"/>
              <w:jc w:val="center"/>
              <w:rPr>
                <w:sz w:val="20"/>
              </w:rP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5A010000">
            <w:pPr>
              <w:ind w:firstLine="0" w:left="113" w:right="113"/>
              <w:jc w:val="center"/>
              <w:rPr>
                <w:sz w:val="20"/>
              </w:rPr>
            </w:pPr>
            <w:r>
              <w:rPr>
                <w:sz w:val="20"/>
              </w:rPr>
              <w:t>-</w:t>
            </w:r>
          </w:p>
        </w:tc>
        <w:tc>
          <w:tcPr>
            <w:tcW w:type="dxa" w:w="982"/>
            <w:tcBorders>
              <w:top w:color="000000" w:sz="4" w:val="single"/>
              <w:left w:color="000000" w:sz="4" w:val="single"/>
              <w:bottom w:color="000000" w:sz="4" w:val="single"/>
              <w:right w:color="000000" w:sz="4" w:val="single"/>
            </w:tcBorders>
            <w:textDirection w:val="btLr"/>
            <w:vAlign w:val="center"/>
          </w:tcPr>
          <w:p w14:paraId="5B010000">
            <w:pPr>
              <w:ind w:firstLine="0" w:left="113" w:right="113"/>
              <w:jc w:val="center"/>
              <w:rPr>
                <w:sz w:val="20"/>
              </w:rP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5C010000">
            <w:pPr>
              <w:ind w:firstLine="0" w:left="113" w:right="113"/>
              <w:jc w:val="center"/>
              <w:rPr>
                <w:sz w:val="20"/>
              </w:rP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5D010000">
            <w:pPr>
              <w:ind w:firstLine="0" w:left="113" w:right="113"/>
              <w:jc w:val="center"/>
              <w:rPr>
                <w:sz w:val="20"/>
              </w:rPr>
            </w:pPr>
            <w:r>
              <w:rPr>
                <w:sz w:val="20"/>
              </w:rPr>
              <w:t>-</w:t>
            </w:r>
          </w:p>
        </w:tc>
      </w:tr>
      <w:tr>
        <w:trPr>
          <w:trHeight w:hRule="atLeast" w:val="425"/>
        </w:trPr>
        <w:tc>
          <w:tcPr>
            <w:tcW w:type="dxa" w:w="9530"/>
            <w:gridSpan w:val="12"/>
            <w:tcBorders>
              <w:top w:color="000000" w:sz="4" w:val="single"/>
              <w:left w:color="000000" w:sz="4" w:val="single"/>
              <w:bottom w:color="000000" w:sz="4" w:val="single"/>
              <w:right w:color="000000" w:sz="4" w:val="single"/>
            </w:tcBorders>
            <w:vAlign w:val="center"/>
          </w:tcPr>
          <w:p w14:paraId="5E010000">
            <w:pPr>
              <w:spacing w:before="200" w:line="20" w:lineRule="atLeast"/>
              <w:ind/>
              <w:jc w:val="center"/>
              <w:rPr>
                <w:sz w:val="20"/>
              </w:rPr>
            </w:pPr>
            <w:r>
              <w:rPr>
                <w:sz w:val="20"/>
              </w:rPr>
              <w:t>2. Общественные здания</w:t>
            </w:r>
          </w:p>
        </w:tc>
      </w:tr>
      <w:tr>
        <w:trPr>
          <w:trHeight w:hRule="atLeast" w:val="903"/>
        </w:trPr>
        <w:tc>
          <w:tcPr>
            <w:tcW w:type="dxa" w:w="701"/>
            <w:tcBorders>
              <w:top w:color="000000" w:sz="4" w:val="single"/>
              <w:left w:color="000000" w:sz="4" w:val="single"/>
              <w:bottom w:color="000000" w:sz="4" w:val="single"/>
              <w:right w:color="000000" w:sz="4" w:val="single"/>
            </w:tcBorders>
            <w:textDirection w:val="btLr"/>
            <w:vAlign w:val="center"/>
          </w:tcPr>
          <w:p w14:paraId="5F010000">
            <w:pPr>
              <w:spacing w:before="200" w:line="20" w:lineRule="atLeast"/>
              <w:ind w:firstLine="0" w:left="113" w:right="113"/>
              <w:jc w:val="center"/>
              <w:rPr>
                <w:sz w:val="20"/>
              </w:rPr>
            </w:pPr>
            <w:r>
              <w:rPr>
                <w:sz w:val="20"/>
              </w:rPr>
              <w:t>Гкал/ч</w:t>
            </w:r>
          </w:p>
        </w:tc>
        <w:tc>
          <w:tcPr>
            <w:tcW w:type="dxa" w:w="841"/>
            <w:tcBorders>
              <w:top w:color="000000" w:sz="4" w:val="single"/>
              <w:left w:color="000000" w:sz="4" w:val="single"/>
              <w:bottom w:color="000000" w:sz="4" w:val="single"/>
              <w:right w:color="000000" w:sz="4" w:val="single"/>
            </w:tcBorders>
            <w:textDirection w:val="btLr"/>
            <w:vAlign w:val="center"/>
          </w:tcPr>
          <w:p w14:paraId="60010000">
            <w:pPr>
              <w:spacing w:before="200" w:line="20" w:lineRule="atLeast"/>
              <w:ind w:firstLine="0" w:left="113" w:right="113"/>
              <w:jc w:val="center"/>
              <w:rPr>
                <w:sz w:val="20"/>
              </w:rPr>
            </w:pPr>
            <w:r>
              <w:rPr>
                <w:sz w:val="20"/>
              </w:rPr>
              <w:t>2,051</w:t>
            </w:r>
          </w:p>
        </w:tc>
        <w:tc>
          <w:tcPr>
            <w:tcW w:type="dxa" w:w="700"/>
            <w:tcBorders>
              <w:top w:color="000000" w:sz="4" w:val="single"/>
              <w:left w:color="000000" w:sz="4" w:val="single"/>
              <w:bottom w:color="000000" w:sz="4" w:val="single"/>
              <w:right w:color="000000" w:sz="4" w:val="single"/>
            </w:tcBorders>
            <w:textDirection w:val="btLr"/>
          </w:tcPr>
          <w:p w14:paraId="61010000">
            <w:pPr>
              <w:ind w:firstLine="0" w:left="113" w:right="113"/>
              <w:jc w:val="center"/>
              <w:rPr>
                <w:sz w:val="20"/>
              </w:rPr>
            </w:pPr>
            <w:r>
              <w:rPr>
                <w:sz w:val="20"/>
              </w:rPr>
              <w:t>2,051</w:t>
            </w:r>
          </w:p>
        </w:tc>
        <w:tc>
          <w:tcPr>
            <w:tcW w:type="dxa" w:w="561"/>
            <w:tcBorders>
              <w:top w:color="000000" w:sz="4" w:val="single"/>
              <w:left w:color="000000" w:sz="4" w:val="single"/>
              <w:bottom w:color="000000" w:sz="4" w:val="single"/>
              <w:right w:color="000000" w:sz="4" w:val="single"/>
            </w:tcBorders>
            <w:textDirection w:val="btLr"/>
          </w:tcPr>
          <w:p w14:paraId="62010000">
            <w:pPr>
              <w:ind w:firstLine="0" w:left="113" w:right="113"/>
              <w:jc w:val="center"/>
              <w:rPr>
                <w:sz w:val="20"/>
              </w:rPr>
            </w:pPr>
            <w:r>
              <w:rPr>
                <w:sz w:val="20"/>
              </w:rPr>
              <w:t>2,051</w:t>
            </w:r>
          </w:p>
        </w:tc>
        <w:tc>
          <w:tcPr>
            <w:tcW w:type="dxa" w:w="701"/>
            <w:tcBorders>
              <w:top w:color="000000" w:sz="4" w:val="single"/>
              <w:left w:color="000000" w:sz="4" w:val="single"/>
              <w:bottom w:color="000000" w:sz="4" w:val="single"/>
              <w:right w:color="000000" w:sz="4" w:val="single"/>
            </w:tcBorders>
            <w:textDirection w:val="btLr"/>
          </w:tcPr>
          <w:p w14:paraId="63010000">
            <w:pPr>
              <w:ind w:firstLine="0" w:left="113" w:right="113"/>
              <w:jc w:val="center"/>
              <w:rPr>
                <w:sz w:val="20"/>
              </w:rPr>
            </w:pPr>
            <w:r>
              <w:rPr>
                <w:sz w:val="20"/>
              </w:rPr>
              <w:t>2,051</w:t>
            </w:r>
          </w:p>
        </w:tc>
        <w:tc>
          <w:tcPr>
            <w:tcW w:type="dxa" w:w="701"/>
            <w:tcBorders>
              <w:top w:color="000000" w:sz="4" w:val="single"/>
              <w:left w:color="000000" w:sz="4" w:val="single"/>
              <w:bottom w:color="000000" w:sz="4" w:val="single"/>
              <w:right w:color="000000" w:sz="4" w:val="single"/>
            </w:tcBorders>
            <w:textDirection w:val="btLr"/>
          </w:tcPr>
          <w:p w14:paraId="64010000">
            <w:pPr>
              <w:ind w:firstLine="0" w:left="113" w:right="113"/>
              <w:jc w:val="center"/>
              <w:rPr>
                <w:sz w:val="20"/>
              </w:rPr>
            </w:pPr>
            <w:r>
              <w:rPr>
                <w:sz w:val="20"/>
              </w:rPr>
              <w:t>2,051</w:t>
            </w:r>
          </w:p>
        </w:tc>
        <w:tc>
          <w:tcPr>
            <w:tcW w:type="dxa" w:w="701"/>
            <w:tcBorders>
              <w:top w:color="000000" w:sz="4" w:val="single"/>
              <w:left w:color="000000" w:sz="4" w:val="single"/>
              <w:bottom w:color="000000" w:sz="4" w:val="single"/>
              <w:right w:color="000000" w:sz="4" w:val="single"/>
            </w:tcBorders>
            <w:textDirection w:val="btLr"/>
          </w:tcPr>
          <w:p w14:paraId="65010000">
            <w:pPr>
              <w:ind w:firstLine="0" w:left="113" w:right="113"/>
              <w:jc w:val="center"/>
              <w:rPr>
                <w:sz w:val="20"/>
              </w:rPr>
            </w:pPr>
            <w:r>
              <w:rPr>
                <w:sz w:val="20"/>
              </w:rPr>
              <w:t>2,051</w:t>
            </w:r>
          </w:p>
        </w:tc>
        <w:tc>
          <w:tcPr>
            <w:tcW w:type="dxa" w:w="840"/>
            <w:tcBorders>
              <w:top w:color="000000" w:sz="4" w:val="single"/>
              <w:left w:color="000000" w:sz="4" w:val="single"/>
              <w:bottom w:color="000000" w:sz="4" w:val="single"/>
              <w:right w:color="000000" w:sz="4" w:val="single"/>
            </w:tcBorders>
            <w:textDirection w:val="btLr"/>
          </w:tcPr>
          <w:p w14:paraId="66010000">
            <w:pPr>
              <w:ind w:firstLine="0" w:left="113" w:right="113"/>
              <w:jc w:val="center"/>
              <w:rPr>
                <w:sz w:val="20"/>
              </w:rPr>
            </w:pPr>
            <w:r>
              <w:rPr>
                <w:sz w:val="20"/>
              </w:rPr>
              <w:t>2,051</w:t>
            </w:r>
          </w:p>
        </w:tc>
        <w:tc>
          <w:tcPr>
            <w:tcW w:type="dxa" w:w="981"/>
            <w:tcBorders>
              <w:top w:color="000000" w:sz="4" w:val="single"/>
              <w:left w:color="000000" w:sz="4" w:val="single"/>
              <w:bottom w:color="000000" w:sz="4" w:val="single"/>
              <w:right w:color="000000" w:sz="4" w:val="single"/>
            </w:tcBorders>
            <w:textDirection w:val="btLr"/>
          </w:tcPr>
          <w:p w14:paraId="67010000">
            <w:pPr>
              <w:ind w:firstLine="0" w:left="113" w:right="113"/>
              <w:jc w:val="center"/>
              <w:rPr>
                <w:sz w:val="20"/>
              </w:rPr>
            </w:pPr>
            <w:r>
              <w:rPr>
                <w:sz w:val="20"/>
              </w:rPr>
              <w:t>2,051</w:t>
            </w:r>
          </w:p>
        </w:tc>
        <w:tc>
          <w:tcPr>
            <w:tcW w:type="dxa" w:w="982"/>
            <w:tcBorders>
              <w:top w:color="000000" w:sz="4" w:val="single"/>
              <w:left w:color="000000" w:sz="4" w:val="single"/>
              <w:bottom w:color="000000" w:sz="4" w:val="single"/>
              <w:right w:color="000000" w:sz="4" w:val="single"/>
            </w:tcBorders>
            <w:textDirection w:val="btLr"/>
          </w:tcPr>
          <w:p w14:paraId="68010000">
            <w:pPr>
              <w:ind w:firstLine="0" w:left="113" w:right="113"/>
              <w:jc w:val="center"/>
              <w:rPr>
                <w:sz w:val="20"/>
              </w:rPr>
            </w:pPr>
            <w:r>
              <w:rPr>
                <w:sz w:val="20"/>
              </w:rPr>
              <w:t>2,051</w:t>
            </w:r>
          </w:p>
        </w:tc>
        <w:tc>
          <w:tcPr>
            <w:tcW w:type="dxa" w:w="840"/>
            <w:tcBorders>
              <w:top w:color="000000" w:sz="4" w:val="single"/>
              <w:left w:color="000000" w:sz="4" w:val="single"/>
              <w:bottom w:color="000000" w:sz="4" w:val="single"/>
              <w:right w:color="000000" w:sz="4" w:val="single"/>
            </w:tcBorders>
            <w:textDirection w:val="btLr"/>
          </w:tcPr>
          <w:p w14:paraId="69010000">
            <w:pPr>
              <w:ind w:firstLine="0" w:left="113" w:right="113"/>
              <w:jc w:val="center"/>
              <w:rPr>
                <w:sz w:val="20"/>
              </w:rPr>
            </w:pPr>
            <w:r>
              <w:rPr>
                <w:sz w:val="20"/>
              </w:rPr>
              <w:t>2,051</w:t>
            </w:r>
          </w:p>
        </w:tc>
        <w:tc>
          <w:tcPr>
            <w:tcW w:type="dxa" w:w="981"/>
            <w:tcBorders>
              <w:top w:color="000000" w:sz="4" w:val="single"/>
              <w:left w:color="000000" w:sz="4" w:val="single"/>
              <w:bottom w:color="000000" w:sz="4" w:val="single"/>
              <w:right w:color="000000" w:sz="4" w:val="single"/>
            </w:tcBorders>
            <w:textDirection w:val="btLr"/>
          </w:tcPr>
          <w:p w14:paraId="6A010000">
            <w:pPr>
              <w:ind w:firstLine="0" w:left="113" w:right="113"/>
              <w:jc w:val="center"/>
              <w:rPr>
                <w:sz w:val="20"/>
              </w:rPr>
            </w:pPr>
            <w:r>
              <w:rPr>
                <w:sz w:val="20"/>
              </w:rPr>
              <w:t>2,051</w:t>
            </w:r>
          </w:p>
        </w:tc>
      </w:tr>
      <w:tr>
        <w:trPr>
          <w:trHeight w:hRule="atLeast" w:val="568"/>
        </w:trPr>
        <w:tc>
          <w:tcPr>
            <w:tcW w:type="dxa" w:w="701"/>
            <w:tcBorders>
              <w:top w:color="000000" w:sz="4" w:val="single"/>
              <w:left w:color="000000" w:sz="4" w:val="single"/>
              <w:bottom w:color="000000" w:sz="4" w:val="single"/>
              <w:right w:color="000000" w:sz="4" w:val="single"/>
            </w:tcBorders>
            <w:textDirection w:val="btLr"/>
            <w:vAlign w:val="center"/>
          </w:tcPr>
          <w:p w14:paraId="6B010000">
            <w:pPr>
              <w:spacing w:before="200" w:line="20" w:lineRule="atLeast"/>
              <w:ind w:firstLine="0" w:left="113" w:right="113"/>
              <w:jc w:val="center"/>
              <w:rPr>
                <w:sz w:val="20"/>
              </w:rPr>
            </w:pPr>
            <w:r>
              <w:rPr>
                <w:sz w:val="20"/>
              </w:rPr>
              <w:t>т/ч</w:t>
            </w:r>
          </w:p>
        </w:tc>
        <w:tc>
          <w:tcPr>
            <w:tcW w:type="dxa" w:w="841"/>
            <w:tcBorders>
              <w:top w:color="000000" w:sz="4" w:val="single"/>
              <w:left w:color="000000" w:sz="4" w:val="single"/>
              <w:bottom w:color="000000" w:sz="4" w:val="single"/>
              <w:right w:color="000000" w:sz="4" w:val="single"/>
            </w:tcBorders>
            <w:textDirection w:val="btLr"/>
            <w:vAlign w:val="center"/>
          </w:tcPr>
          <w:p w14:paraId="6C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6D010000">
            <w:pPr>
              <w:ind w:firstLine="0" w:left="113" w:right="113"/>
              <w:jc w:val="center"/>
              <w:rPr>
                <w:sz w:val="20"/>
              </w:rPr>
            </w:pPr>
            <w:r>
              <w:rPr>
                <w:sz w:val="20"/>
              </w:rPr>
              <w:t>-</w:t>
            </w:r>
          </w:p>
        </w:tc>
        <w:tc>
          <w:tcPr>
            <w:tcW w:type="dxa" w:w="561"/>
            <w:tcBorders>
              <w:top w:color="000000" w:sz="4" w:val="single"/>
              <w:left w:color="000000" w:sz="4" w:val="single"/>
              <w:bottom w:color="000000" w:sz="4" w:val="single"/>
              <w:right w:color="000000" w:sz="4" w:val="single"/>
            </w:tcBorders>
            <w:textDirection w:val="btLr"/>
            <w:vAlign w:val="center"/>
          </w:tcPr>
          <w:p w14:paraId="6E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6F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70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71010000">
            <w:pPr>
              <w:ind w:firstLine="0" w:left="113" w:right="113"/>
              <w:jc w:val="center"/>
              <w:rPr>
                <w:sz w:val="20"/>
              </w:rP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72010000">
            <w:pPr>
              <w:ind w:firstLine="0" w:left="113" w:right="113"/>
              <w:jc w:val="center"/>
              <w:rPr>
                <w:sz w:val="20"/>
              </w:rP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73010000">
            <w:pPr>
              <w:ind w:firstLine="0" w:left="113" w:right="113"/>
              <w:jc w:val="center"/>
              <w:rPr>
                <w:sz w:val="20"/>
              </w:rPr>
            </w:pPr>
            <w:r>
              <w:rPr>
                <w:sz w:val="20"/>
              </w:rPr>
              <w:t>-</w:t>
            </w:r>
          </w:p>
        </w:tc>
        <w:tc>
          <w:tcPr>
            <w:tcW w:type="dxa" w:w="982"/>
            <w:tcBorders>
              <w:top w:color="000000" w:sz="4" w:val="single"/>
              <w:left w:color="000000" w:sz="4" w:val="single"/>
              <w:bottom w:color="000000" w:sz="4" w:val="single"/>
              <w:right w:color="000000" w:sz="4" w:val="single"/>
            </w:tcBorders>
            <w:textDirection w:val="btLr"/>
            <w:vAlign w:val="center"/>
          </w:tcPr>
          <w:p w14:paraId="74010000">
            <w:pPr>
              <w:ind w:firstLine="0" w:left="113" w:right="113"/>
              <w:jc w:val="center"/>
              <w:rPr>
                <w:sz w:val="20"/>
              </w:rP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75010000">
            <w:pPr>
              <w:ind w:firstLine="0" w:left="113" w:right="113"/>
              <w:jc w:val="center"/>
              <w:rPr>
                <w:sz w:val="20"/>
              </w:rP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76010000">
            <w:pPr>
              <w:ind w:firstLine="0" w:left="113" w:right="113"/>
              <w:jc w:val="center"/>
              <w:rPr>
                <w:sz w:val="20"/>
              </w:rPr>
            </w:pPr>
            <w:r>
              <w:rPr>
                <w:sz w:val="20"/>
              </w:rPr>
              <w:t>-</w:t>
            </w:r>
          </w:p>
        </w:tc>
      </w:tr>
      <w:tr>
        <w:trPr>
          <w:trHeight w:hRule="atLeast" w:val="1134"/>
        </w:trPr>
        <w:tc>
          <w:tcPr>
            <w:tcW w:type="dxa" w:w="701"/>
            <w:tcBorders>
              <w:top w:color="000000" w:sz="4" w:val="single"/>
              <w:left w:color="000000" w:sz="4" w:val="single"/>
              <w:bottom w:color="000000" w:sz="4" w:val="single"/>
              <w:right w:color="000000" w:sz="4" w:val="single"/>
            </w:tcBorders>
            <w:textDirection w:val="btLr"/>
            <w:vAlign w:val="center"/>
          </w:tcPr>
          <w:p w14:paraId="77010000">
            <w:pPr>
              <w:spacing w:before="200" w:line="20" w:lineRule="atLeast"/>
              <w:ind w:firstLine="0" w:left="113" w:right="113"/>
              <w:jc w:val="center"/>
              <w:rPr>
                <w:sz w:val="20"/>
              </w:rPr>
            </w:pPr>
            <w:r>
              <w:rPr>
                <w:sz w:val="20"/>
              </w:rPr>
              <w:t>тыс. Гкал</w:t>
            </w:r>
          </w:p>
        </w:tc>
        <w:tc>
          <w:tcPr>
            <w:tcW w:type="dxa" w:w="841"/>
            <w:tcBorders>
              <w:top w:color="000000" w:sz="4" w:val="single"/>
              <w:left w:color="000000" w:sz="4" w:val="single"/>
              <w:bottom w:color="000000" w:sz="4" w:val="single"/>
              <w:right w:color="000000" w:sz="4" w:val="single"/>
            </w:tcBorders>
            <w:textDirection w:val="btLr"/>
            <w:vAlign w:val="center"/>
          </w:tcPr>
          <w:p w14:paraId="78010000">
            <w:pPr>
              <w:spacing w:before="200" w:line="20" w:lineRule="atLeast"/>
              <w:ind w:firstLine="0" w:left="113" w:right="113"/>
              <w:jc w:val="center"/>
              <w:rPr>
                <w:sz w:val="20"/>
              </w:rPr>
            </w:pPr>
            <w:r>
              <w:rPr>
                <w:sz w:val="20"/>
              </w:rPr>
              <w:t>3,540434</w:t>
            </w:r>
          </w:p>
        </w:tc>
        <w:tc>
          <w:tcPr>
            <w:tcW w:type="dxa" w:w="700"/>
            <w:tcBorders>
              <w:top w:color="000000" w:sz="4" w:val="single"/>
              <w:left w:color="000000" w:sz="4" w:val="single"/>
              <w:bottom w:color="000000" w:sz="4" w:val="single"/>
              <w:right w:color="000000" w:sz="4" w:val="single"/>
            </w:tcBorders>
            <w:textDirection w:val="btLr"/>
            <w:vAlign w:val="center"/>
          </w:tcPr>
          <w:p w14:paraId="79010000">
            <w:pPr>
              <w:spacing w:before="200" w:line="20" w:lineRule="atLeast"/>
              <w:ind w:firstLine="0" w:left="113" w:right="113"/>
              <w:jc w:val="center"/>
              <w:rPr>
                <w:sz w:val="20"/>
              </w:rPr>
            </w:pPr>
            <w:r>
              <w:rPr>
                <w:sz w:val="20"/>
              </w:rPr>
              <w:t>3,730462</w:t>
            </w:r>
          </w:p>
        </w:tc>
        <w:tc>
          <w:tcPr>
            <w:tcW w:type="dxa" w:w="561"/>
            <w:tcBorders>
              <w:top w:color="000000" w:sz="4" w:val="single"/>
              <w:left w:color="000000" w:sz="4" w:val="single"/>
              <w:bottom w:color="000000" w:sz="4" w:val="single"/>
              <w:right w:color="000000" w:sz="4" w:val="single"/>
            </w:tcBorders>
            <w:textDirection w:val="btLr"/>
            <w:vAlign w:val="center"/>
          </w:tcPr>
          <w:p w14:paraId="7A010000">
            <w:pPr>
              <w:spacing w:before="200" w:line="20" w:lineRule="atLeast"/>
              <w:ind w:firstLine="0" w:left="113" w:right="113"/>
              <w:jc w:val="center"/>
              <w:rPr>
                <w:sz w:val="20"/>
              </w:rPr>
            </w:pPr>
            <w:r>
              <w:rPr>
                <w:sz w:val="20"/>
              </w:rPr>
              <w:t>3,730462</w:t>
            </w:r>
          </w:p>
        </w:tc>
        <w:tc>
          <w:tcPr>
            <w:tcW w:type="dxa" w:w="701"/>
            <w:tcBorders>
              <w:top w:color="000000" w:sz="4" w:val="single"/>
              <w:left w:color="000000" w:sz="4" w:val="single"/>
              <w:bottom w:color="000000" w:sz="4" w:val="single"/>
              <w:right w:color="000000" w:sz="4" w:val="single"/>
            </w:tcBorders>
            <w:textDirection w:val="btLr"/>
            <w:vAlign w:val="center"/>
          </w:tcPr>
          <w:p w14:paraId="7B010000">
            <w:pPr>
              <w:spacing w:before="200" w:line="20" w:lineRule="atLeast"/>
              <w:ind w:firstLine="0" w:left="113" w:right="113"/>
              <w:jc w:val="center"/>
              <w:rPr>
                <w:sz w:val="20"/>
              </w:rPr>
            </w:pPr>
            <w:r>
              <w:rPr>
                <w:sz w:val="20"/>
              </w:rPr>
              <w:t>3,730462</w:t>
            </w:r>
          </w:p>
        </w:tc>
        <w:tc>
          <w:tcPr>
            <w:tcW w:type="dxa" w:w="701"/>
            <w:tcBorders>
              <w:top w:color="000000" w:sz="4" w:val="single"/>
              <w:left w:color="000000" w:sz="4" w:val="single"/>
              <w:bottom w:color="000000" w:sz="4" w:val="single"/>
              <w:right w:color="000000" w:sz="4" w:val="single"/>
            </w:tcBorders>
            <w:textDirection w:val="btLr"/>
            <w:vAlign w:val="center"/>
          </w:tcPr>
          <w:p w14:paraId="7C010000">
            <w:pPr>
              <w:spacing w:before="200" w:line="20" w:lineRule="atLeast"/>
              <w:ind w:firstLine="0" w:left="113" w:right="113"/>
              <w:jc w:val="center"/>
              <w:rPr>
                <w:sz w:val="20"/>
              </w:rPr>
            </w:pPr>
            <w:r>
              <w:rPr>
                <w:sz w:val="20"/>
              </w:rPr>
              <w:t>3,730462</w:t>
            </w:r>
          </w:p>
        </w:tc>
        <w:tc>
          <w:tcPr>
            <w:tcW w:type="dxa" w:w="701"/>
            <w:tcBorders>
              <w:top w:color="000000" w:sz="4" w:val="single"/>
              <w:left w:color="000000" w:sz="4" w:val="single"/>
              <w:bottom w:color="000000" w:sz="4" w:val="single"/>
              <w:right w:color="000000" w:sz="4" w:val="single"/>
            </w:tcBorders>
            <w:textDirection w:val="btLr"/>
            <w:vAlign w:val="center"/>
          </w:tcPr>
          <w:p w14:paraId="7D010000">
            <w:pPr>
              <w:spacing w:before="200" w:line="20" w:lineRule="atLeast"/>
              <w:ind w:firstLine="0" w:left="113" w:right="113"/>
              <w:jc w:val="center"/>
              <w:rPr>
                <w:sz w:val="20"/>
              </w:rPr>
            </w:pPr>
            <w:r>
              <w:rPr>
                <w:sz w:val="20"/>
              </w:rPr>
              <w:t>3,730462</w:t>
            </w:r>
          </w:p>
        </w:tc>
        <w:tc>
          <w:tcPr>
            <w:tcW w:type="dxa" w:w="840"/>
            <w:tcBorders>
              <w:top w:color="000000" w:sz="4" w:val="single"/>
              <w:left w:color="000000" w:sz="4" w:val="single"/>
              <w:bottom w:color="000000" w:sz="4" w:val="single"/>
              <w:right w:color="000000" w:sz="4" w:val="single"/>
            </w:tcBorders>
            <w:textDirection w:val="btLr"/>
            <w:vAlign w:val="center"/>
          </w:tcPr>
          <w:p w14:paraId="7E010000">
            <w:pPr>
              <w:ind w:firstLine="0" w:left="113" w:right="113"/>
              <w:jc w:val="center"/>
            </w:pPr>
            <w:r>
              <w:rPr>
                <w:sz w:val="20"/>
              </w:rPr>
              <w:t>3,730</w:t>
            </w:r>
            <w:r>
              <w:rPr>
                <w:sz w:val="20"/>
              </w:rPr>
              <w:t>462</w:t>
            </w:r>
          </w:p>
        </w:tc>
        <w:tc>
          <w:tcPr>
            <w:tcW w:type="dxa" w:w="981"/>
            <w:tcBorders>
              <w:top w:color="000000" w:sz="4" w:val="single"/>
              <w:left w:color="000000" w:sz="4" w:val="single"/>
              <w:bottom w:color="000000" w:sz="4" w:val="single"/>
              <w:right w:color="000000" w:sz="4" w:val="single"/>
            </w:tcBorders>
            <w:textDirection w:val="btLr"/>
            <w:vAlign w:val="center"/>
          </w:tcPr>
          <w:p w14:paraId="7F010000">
            <w:pPr>
              <w:ind w:firstLine="0" w:left="113" w:right="113"/>
              <w:jc w:val="center"/>
            </w:pPr>
            <w:r>
              <w:rPr>
                <w:sz w:val="20"/>
              </w:rPr>
              <w:t>3,730462</w:t>
            </w:r>
          </w:p>
        </w:tc>
        <w:tc>
          <w:tcPr>
            <w:tcW w:type="dxa" w:w="982"/>
            <w:tcBorders>
              <w:top w:color="000000" w:sz="4" w:val="single"/>
              <w:left w:color="000000" w:sz="4" w:val="single"/>
              <w:bottom w:color="000000" w:sz="4" w:val="single"/>
              <w:right w:color="000000" w:sz="4" w:val="single"/>
            </w:tcBorders>
            <w:textDirection w:val="btLr"/>
            <w:vAlign w:val="center"/>
          </w:tcPr>
          <w:p w14:paraId="80010000">
            <w:pPr>
              <w:ind w:firstLine="0" w:left="113" w:right="113"/>
              <w:jc w:val="center"/>
            </w:pPr>
            <w:r>
              <w:rPr>
                <w:sz w:val="20"/>
              </w:rPr>
              <w:t>3,730462</w:t>
            </w:r>
          </w:p>
        </w:tc>
        <w:tc>
          <w:tcPr>
            <w:tcW w:type="dxa" w:w="840"/>
            <w:tcBorders>
              <w:top w:color="000000" w:sz="4" w:val="single"/>
              <w:left w:color="000000" w:sz="4" w:val="single"/>
              <w:bottom w:color="000000" w:sz="4" w:val="single"/>
              <w:right w:color="000000" w:sz="4" w:val="single"/>
            </w:tcBorders>
            <w:textDirection w:val="btLr"/>
            <w:vAlign w:val="center"/>
          </w:tcPr>
          <w:p w14:paraId="81010000">
            <w:pPr>
              <w:ind w:firstLine="0" w:left="113" w:right="113"/>
              <w:jc w:val="center"/>
            </w:pPr>
            <w:r>
              <w:rPr>
                <w:sz w:val="20"/>
              </w:rPr>
              <w:t>3,730462</w:t>
            </w:r>
          </w:p>
        </w:tc>
        <w:tc>
          <w:tcPr>
            <w:tcW w:type="dxa" w:w="981"/>
            <w:tcBorders>
              <w:top w:color="000000" w:sz="4" w:val="single"/>
              <w:left w:color="000000" w:sz="4" w:val="single"/>
              <w:bottom w:color="000000" w:sz="4" w:val="single"/>
              <w:right w:color="000000" w:sz="4" w:val="single"/>
            </w:tcBorders>
            <w:textDirection w:val="btLr"/>
            <w:vAlign w:val="center"/>
          </w:tcPr>
          <w:p w14:paraId="82010000">
            <w:pPr>
              <w:ind w:firstLine="0" w:left="113" w:right="113"/>
              <w:jc w:val="center"/>
            </w:pPr>
            <w:r>
              <w:rPr>
                <w:sz w:val="20"/>
              </w:rPr>
              <w:t>3,730462</w:t>
            </w:r>
          </w:p>
        </w:tc>
      </w:tr>
      <w:tr>
        <w:trPr>
          <w:trHeight w:hRule="atLeast" w:val="283"/>
        </w:trPr>
        <w:tc>
          <w:tcPr>
            <w:tcW w:type="dxa" w:w="9530"/>
            <w:gridSpan w:val="12"/>
            <w:tcBorders>
              <w:top w:color="000000" w:sz="4" w:val="single"/>
              <w:left w:color="000000" w:sz="4" w:val="single"/>
              <w:bottom w:color="000000" w:sz="4" w:val="single"/>
              <w:right w:color="000000" w:sz="4" w:val="single"/>
            </w:tcBorders>
            <w:vAlign w:val="center"/>
          </w:tcPr>
          <w:p w14:paraId="83010000">
            <w:pPr>
              <w:widowControl w:val="0"/>
              <w:spacing w:line="240" w:lineRule="auto"/>
              <w:ind w:right="284"/>
              <w:jc w:val="center"/>
              <w:rPr>
                <w:sz w:val="20"/>
              </w:rPr>
            </w:pPr>
            <w:r>
              <w:rPr>
                <w:sz w:val="20"/>
              </w:rPr>
              <w:t>3. Прочие здания</w:t>
            </w:r>
          </w:p>
        </w:tc>
      </w:tr>
      <w:tr>
        <w:trPr>
          <w:trHeight w:hRule="atLeast" w:val="663"/>
        </w:trPr>
        <w:tc>
          <w:tcPr>
            <w:tcW w:type="dxa" w:w="701"/>
            <w:tcBorders>
              <w:top w:color="000000" w:sz="4" w:val="single"/>
              <w:left w:color="000000" w:sz="4" w:val="single"/>
              <w:bottom w:color="000000" w:sz="4" w:val="single"/>
              <w:right w:color="000000" w:sz="4" w:val="single"/>
            </w:tcBorders>
            <w:textDirection w:val="btLr"/>
            <w:vAlign w:val="center"/>
          </w:tcPr>
          <w:p w14:paraId="84010000">
            <w:pPr>
              <w:spacing w:before="200" w:line="20" w:lineRule="atLeast"/>
              <w:ind w:firstLine="0" w:left="113" w:right="113"/>
              <w:jc w:val="center"/>
              <w:rPr>
                <w:sz w:val="20"/>
              </w:rPr>
            </w:pPr>
            <w:r>
              <w:rPr>
                <w:sz w:val="20"/>
              </w:rPr>
              <w:t>Гкал/ч</w:t>
            </w:r>
          </w:p>
        </w:tc>
        <w:tc>
          <w:tcPr>
            <w:tcW w:type="dxa" w:w="841"/>
            <w:tcBorders>
              <w:top w:color="000000" w:sz="4" w:val="single"/>
              <w:left w:color="000000" w:sz="4" w:val="single"/>
              <w:bottom w:color="000000" w:sz="4" w:val="single"/>
              <w:right w:color="000000" w:sz="4" w:val="single"/>
            </w:tcBorders>
            <w:textDirection w:val="btLr"/>
            <w:vAlign w:val="center"/>
          </w:tcPr>
          <w:p w14:paraId="85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86010000">
            <w:pPr>
              <w:ind w:firstLine="0" w:left="113" w:right="113"/>
              <w:jc w:val="center"/>
            </w:pPr>
            <w:r>
              <w:rPr>
                <w:sz w:val="20"/>
              </w:rPr>
              <w:t>-</w:t>
            </w:r>
          </w:p>
        </w:tc>
        <w:tc>
          <w:tcPr>
            <w:tcW w:type="dxa" w:w="561"/>
            <w:tcBorders>
              <w:top w:color="000000" w:sz="4" w:val="single"/>
              <w:left w:color="000000" w:sz="4" w:val="single"/>
              <w:bottom w:color="000000" w:sz="4" w:val="single"/>
              <w:right w:color="000000" w:sz="4" w:val="single"/>
            </w:tcBorders>
            <w:textDirection w:val="btLr"/>
            <w:vAlign w:val="center"/>
          </w:tcPr>
          <w:p w14:paraId="87010000">
            <w:pPr>
              <w:ind w:firstLine="0" w:left="113" w:right="113"/>
              <w:jc w:val="cente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88010000">
            <w:pPr>
              <w:ind w:firstLine="0" w:left="113" w:right="113"/>
              <w:jc w:val="cente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89010000">
            <w:pPr>
              <w:ind w:firstLine="0" w:left="113" w:right="113"/>
              <w:jc w:val="cente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8A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8B010000">
            <w:pPr>
              <w:ind w:firstLine="0" w:left="113" w:right="113"/>
              <w:jc w:val="cente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8C010000">
            <w:pPr>
              <w:ind w:firstLine="0" w:left="113" w:right="113"/>
              <w:jc w:val="center"/>
            </w:pPr>
            <w:r>
              <w:rPr>
                <w:sz w:val="20"/>
              </w:rPr>
              <w:t>-</w:t>
            </w:r>
          </w:p>
        </w:tc>
        <w:tc>
          <w:tcPr>
            <w:tcW w:type="dxa" w:w="982"/>
            <w:tcBorders>
              <w:top w:color="000000" w:sz="4" w:val="single"/>
              <w:left w:color="000000" w:sz="4" w:val="single"/>
              <w:bottom w:color="000000" w:sz="4" w:val="single"/>
              <w:right w:color="000000" w:sz="4" w:val="single"/>
            </w:tcBorders>
            <w:textDirection w:val="btLr"/>
            <w:vAlign w:val="center"/>
          </w:tcPr>
          <w:p w14:paraId="8D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8E010000">
            <w:pPr>
              <w:ind w:firstLine="0" w:left="113" w:right="113"/>
              <w:jc w:val="cente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8F010000">
            <w:pPr>
              <w:ind w:firstLine="0" w:left="113" w:right="113"/>
              <w:jc w:val="center"/>
            </w:pPr>
            <w:r>
              <w:rPr>
                <w:sz w:val="20"/>
              </w:rPr>
              <w:t>-</w:t>
            </w:r>
          </w:p>
        </w:tc>
      </w:tr>
      <w:tr>
        <w:trPr>
          <w:trHeight w:hRule="atLeast" w:val="431"/>
        </w:trPr>
        <w:tc>
          <w:tcPr>
            <w:tcW w:type="dxa" w:w="701"/>
            <w:tcBorders>
              <w:top w:color="000000" w:sz="4" w:val="single"/>
              <w:left w:color="000000" w:sz="4" w:val="single"/>
              <w:bottom w:color="000000" w:sz="4" w:val="single"/>
              <w:right w:color="000000" w:sz="4" w:val="single"/>
            </w:tcBorders>
            <w:textDirection w:val="btLr"/>
            <w:vAlign w:val="center"/>
          </w:tcPr>
          <w:p w14:paraId="90010000">
            <w:pPr>
              <w:spacing w:before="200" w:line="20" w:lineRule="atLeast"/>
              <w:ind w:firstLine="0" w:left="113" w:right="113"/>
              <w:jc w:val="center"/>
              <w:rPr>
                <w:sz w:val="20"/>
              </w:rPr>
            </w:pPr>
            <w:r>
              <w:rPr>
                <w:sz w:val="20"/>
              </w:rPr>
              <w:t>т/ч</w:t>
            </w:r>
          </w:p>
        </w:tc>
        <w:tc>
          <w:tcPr>
            <w:tcW w:type="dxa" w:w="841"/>
            <w:tcBorders>
              <w:top w:color="000000" w:sz="4" w:val="single"/>
              <w:left w:color="000000" w:sz="4" w:val="single"/>
              <w:bottom w:color="000000" w:sz="4" w:val="single"/>
              <w:right w:color="000000" w:sz="4" w:val="single"/>
            </w:tcBorders>
            <w:textDirection w:val="btLr"/>
            <w:vAlign w:val="center"/>
          </w:tcPr>
          <w:p w14:paraId="91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92010000">
            <w:pPr>
              <w:ind w:firstLine="0" w:left="113" w:right="113"/>
              <w:jc w:val="center"/>
              <w:rPr>
                <w:sz w:val="20"/>
              </w:rPr>
            </w:pPr>
            <w:r>
              <w:rPr>
                <w:sz w:val="20"/>
              </w:rPr>
              <w:t>-</w:t>
            </w:r>
          </w:p>
        </w:tc>
        <w:tc>
          <w:tcPr>
            <w:tcW w:type="dxa" w:w="561"/>
            <w:tcBorders>
              <w:top w:color="000000" w:sz="4" w:val="single"/>
              <w:left w:color="000000" w:sz="4" w:val="single"/>
              <w:bottom w:color="000000" w:sz="4" w:val="single"/>
              <w:right w:color="000000" w:sz="4" w:val="single"/>
            </w:tcBorders>
            <w:textDirection w:val="btLr"/>
            <w:vAlign w:val="center"/>
          </w:tcPr>
          <w:p w14:paraId="93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94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95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96010000">
            <w:pPr>
              <w:widowControl w:val="0"/>
              <w:spacing w:line="240" w:lineRule="auto"/>
              <w:ind w:firstLine="0" w:left="113" w:right="284"/>
              <w:jc w:val="center"/>
              <w:rPr>
                <w:sz w:val="20"/>
              </w:rP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97010000">
            <w:pPr>
              <w:widowControl w:val="0"/>
              <w:spacing w:line="240" w:lineRule="auto"/>
              <w:ind w:firstLine="0" w:left="113" w:right="284"/>
              <w:jc w:val="center"/>
              <w:rPr>
                <w:sz w:val="20"/>
              </w:rP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98010000">
            <w:pPr>
              <w:widowControl w:val="0"/>
              <w:spacing w:line="240" w:lineRule="auto"/>
              <w:ind w:firstLine="0" w:left="113" w:right="284"/>
              <w:jc w:val="center"/>
              <w:rPr>
                <w:sz w:val="20"/>
              </w:rPr>
            </w:pPr>
            <w:r>
              <w:rPr>
                <w:sz w:val="20"/>
              </w:rPr>
              <w:t>-</w:t>
            </w:r>
          </w:p>
        </w:tc>
        <w:tc>
          <w:tcPr>
            <w:tcW w:type="dxa" w:w="982"/>
            <w:tcBorders>
              <w:top w:color="000000" w:sz="4" w:val="single"/>
              <w:left w:color="000000" w:sz="4" w:val="single"/>
              <w:bottom w:color="000000" w:sz="4" w:val="single"/>
              <w:right w:color="000000" w:sz="4" w:val="single"/>
            </w:tcBorders>
            <w:textDirection w:val="btLr"/>
            <w:vAlign w:val="center"/>
          </w:tcPr>
          <w:p w14:paraId="99010000">
            <w:pPr>
              <w:widowControl w:val="0"/>
              <w:spacing w:line="240" w:lineRule="auto"/>
              <w:ind w:firstLine="0" w:left="113" w:right="284"/>
              <w:jc w:val="center"/>
              <w:rPr>
                <w:sz w:val="20"/>
              </w:rP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9A010000">
            <w:pPr>
              <w:widowControl w:val="0"/>
              <w:spacing w:line="240" w:lineRule="auto"/>
              <w:ind w:firstLine="0" w:left="113" w:right="284"/>
              <w:jc w:val="center"/>
              <w:rPr>
                <w:sz w:val="20"/>
              </w:rP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9B010000">
            <w:pPr>
              <w:widowControl w:val="0"/>
              <w:spacing w:line="240" w:lineRule="auto"/>
              <w:ind w:firstLine="0" w:left="113" w:right="284"/>
              <w:jc w:val="center"/>
              <w:rPr>
                <w:sz w:val="20"/>
              </w:rPr>
            </w:pPr>
            <w:r>
              <w:rPr>
                <w:sz w:val="20"/>
              </w:rPr>
              <w:t>-</w:t>
            </w:r>
          </w:p>
        </w:tc>
      </w:tr>
      <w:tr>
        <w:trPr>
          <w:trHeight w:hRule="atLeast" w:val="691"/>
        </w:trPr>
        <w:tc>
          <w:tcPr>
            <w:tcW w:type="dxa" w:w="701"/>
            <w:tcBorders>
              <w:top w:color="000000" w:sz="4" w:val="single"/>
              <w:left w:color="000000" w:sz="4" w:val="single"/>
              <w:bottom w:color="000000" w:sz="4" w:val="single"/>
              <w:right w:color="000000" w:sz="4" w:val="single"/>
            </w:tcBorders>
            <w:textDirection w:val="btLr"/>
            <w:vAlign w:val="center"/>
          </w:tcPr>
          <w:p w14:paraId="9C010000">
            <w:pPr>
              <w:spacing w:before="200" w:line="20" w:lineRule="atLeast"/>
              <w:ind w:firstLine="0" w:left="113" w:right="113"/>
              <w:jc w:val="center"/>
              <w:rPr>
                <w:sz w:val="20"/>
              </w:rPr>
            </w:pPr>
            <w:r>
              <w:rPr>
                <w:sz w:val="20"/>
              </w:rPr>
              <w:t>тыс. Гкал</w:t>
            </w:r>
          </w:p>
        </w:tc>
        <w:tc>
          <w:tcPr>
            <w:tcW w:type="dxa" w:w="841"/>
            <w:tcBorders>
              <w:top w:color="000000" w:sz="4" w:val="single"/>
              <w:left w:color="000000" w:sz="4" w:val="single"/>
              <w:bottom w:color="000000" w:sz="4" w:val="single"/>
              <w:right w:color="000000" w:sz="4" w:val="single"/>
            </w:tcBorders>
            <w:textDirection w:val="btLr"/>
            <w:vAlign w:val="center"/>
          </w:tcPr>
          <w:p w14:paraId="9D010000">
            <w:pPr>
              <w:widowControl w:val="0"/>
              <w:spacing w:line="240" w:lineRule="auto"/>
              <w:ind w:firstLine="0" w:left="113" w:right="284"/>
              <w:jc w:val="center"/>
              <w:rPr>
                <w:sz w:val="20"/>
              </w:rPr>
            </w:pPr>
            <w:r>
              <w:rPr>
                <w:sz w:val="20"/>
              </w:rPr>
              <w:t>-</w:t>
            </w:r>
          </w:p>
        </w:tc>
        <w:tc>
          <w:tcPr>
            <w:tcW w:type="dxa" w:w="700"/>
            <w:tcBorders>
              <w:top w:color="000000" w:sz="4" w:val="single"/>
              <w:left w:color="000000" w:sz="4" w:val="single"/>
              <w:bottom w:color="000000" w:sz="4" w:val="single"/>
              <w:right w:color="000000" w:sz="4" w:val="single"/>
            </w:tcBorders>
            <w:textDirection w:val="btLr"/>
            <w:vAlign w:val="center"/>
          </w:tcPr>
          <w:p w14:paraId="9E010000">
            <w:pPr>
              <w:ind w:firstLine="0" w:left="113" w:right="113"/>
              <w:jc w:val="center"/>
              <w:rPr>
                <w:sz w:val="20"/>
              </w:rPr>
            </w:pPr>
            <w:r>
              <w:rPr>
                <w:sz w:val="20"/>
              </w:rPr>
              <w:t>-</w:t>
            </w:r>
          </w:p>
        </w:tc>
        <w:tc>
          <w:tcPr>
            <w:tcW w:type="dxa" w:w="561"/>
            <w:tcBorders>
              <w:top w:color="000000" w:sz="4" w:val="single"/>
              <w:left w:color="000000" w:sz="4" w:val="single"/>
              <w:bottom w:color="000000" w:sz="4" w:val="single"/>
              <w:right w:color="000000" w:sz="4" w:val="single"/>
            </w:tcBorders>
            <w:textDirection w:val="btLr"/>
            <w:vAlign w:val="center"/>
          </w:tcPr>
          <w:p w14:paraId="9F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A0010000">
            <w:pPr>
              <w:ind w:firstLine="0" w:left="113" w:right="113"/>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A1010000">
            <w:pPr>
              <w:widowControl w:val="0"/>
              <w:spacing w:line="240" w:lineRule="auto"/>
              <w:ind w:firstLine="0" w:left="113" w:right="284"/>
              <w:jc w:val="center"/>
              <w:rPr>
                <w:sz w:val="20"/>
              </w:rPr>
            </w:pPr>
            <w:r>
              <w:rPr>
                <w:sz w:val="20"/>
              </w:rPr>
              <w:t>-</w:t>
            </w:r>
          </w:p>
        </w:tc>
        <w:tc>
          <w:tcPr>
            <w:tcW w:type="dxa" w:w="701"/>
            <w:tcBorders>
              <w:top w:color="000000" w:sz="4" w:val="single"/>
              <w:left w:color="000000" w:sz="4" w:val="single"/>
              <w:bottom w:color="000000" w:sz="4" w:val="single"/>
              <w:right w:color="000000" w:sz="4" w:val="single"/>
            </w:tcBorders>
            <w:textDirection w:val="btLr"/>
            <w:vAlign w:val="center"/>
          </w:tcPr>
          <w:p w14:paraId="A2010000">
            <w:pPr>
              <w:ind w:firstLine="0" w:left="113" w:right="113"/>
              <w:jc w:val="center"/>
              <w:rPr>
                <w:sz w:val="20"/>
              </w:rP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A3010000">
            <w:pPr>
              <w:widowControl w:val="0"/>
              <w:spacing w:line="240" w:lineRule="auto"/>
              <w:ind w:firstLine="0" w:left="113" w:right="284"/>
              <w:jc w:val="center"/>
              <w:rPr>
                <w:sz w:val="20"/>
              </w:rP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A4010000">
            <w:pPr>
              <w:ind w:firstLine="0" w:left="113" w:right="113"/>
              <w:jc w:val="center"/>
              <w:rPr>
                <w:sz w:val="20"/>
              </w:rPr>
            </w:pPr>
            <w:r>
              <w:rPr>
                <w:sz w:val="20"/>
              </w:rPr>
              <w:t>-</w:t>
            </w:r>
          </w:p>
        </w:tc>
        <w:tc>
          <w:tcPr>
            <w:tcW w:type="dxa" w:w="982"/>
            <w:tcBorders>
              <w:top w:color="000000" w:sz="4" w:val="single"/>
              <w:left w:color="000000" w:sz="4" w:val="single"/>
              <w:bottom w:color="000000" w:sz="4" w:val="single"/>
              <w:right w:color="000000" w:sz="4" w:val="single"/>
            </w:tcBorders>
            <w:textDirection w:val="btLr"/>
            <w:vAlign w:val="center"/>
          </w:tcPr>
          <w:p w14:paraId="A5010000">
            <w:pPr>
              <w:widowControl w:val="0"/>
              <w:spacing w:line="240" w:lineRule="auto"/>
              <w:ind w:firstLine="0" w:left="113" w:right="284"/>
              <w:jc w:val="center"/>
              <w:rPr>
                <w:sz w:val="20"/>
              </w:rPr>
            </w:pPr>
            <w:r>
              <w:rPr>
                <w:sz w:val="20"/>
              </w:rPr>
              <w:t>-</w:t>
            </w:r>
          </w:p>
        </w:tc>
        <w:tc>
          <w:tcPr>
            <w:tcW w:type="dxa" w:w="840"/>
            <w:tcBorders>
              <w:top w:color="000000" w:sz="4" w:val="single"/>
              <w:left w:color="000000" w:sz="4" w:val="single"/>
              <w:bottom w:color="000000" w:sz="4" w:val="single"/>
              <w:right w:color="000000" w:sz="4" w:val="single"/>
            </w:tcBorders>
            <w:textDirection w:val="btLr"/>
            <w:vAlign w:val="center"/>
          </w:tcPr>
          <w:p w14:paraId="A6010000">
            <w:pPr>
              <w:ind w:firstLine="0" w:left="113" w:right="113"/>
              <w:jc w:val="center"/>
              <w:rPr>
                <w:sz w:val="20"/>
              </w:rPr>
            </w:pPr>
            <w:r>
              <w:rPr>
                <w:sz w:val="20"/>
              </w:rPr>
              <w:t>-</w:t>
            </w:r>
          </w:p>
        </w:tc>
        <w:tc>
          <w:tcPr>
            <w:tcW w:type="dxa" w:w="981"/>
            <w:tcBorders>
              <w:top w:color="000000" w:sz="4" w:val="single"/>
              <w:left w:color="000000" w:sz="4" w:val="single"/>
              <w:bottom w:color="000000" w:sz="4" w:val="single"/>
              <w:right w:color="000000" w:sz="4" w:val="single"/>
            </w:tcBorders>
            <w:textDirection w:val="btLr"/>
            <w:vAlign w:val="center"/>
          </w:tcPr>
          <w:p w14:paraId="A7010000">
            <w:pPr>
              <w:widowControl w:val="0"/>
              <w:spacing w:line="240" w:lineRule="auto"/>
              <w:ind w:firstLine="0" w:left="113" w:right="284"/>
              <w:jc w:val="center"/>
              <w:rPr>
                <w:sz w:val="20"/>
              </w:rPr>
            </w:pPr>
            <w:r>
              <w:rPr>
                <w:sz w:val="20"/>
              </w:rPr>
              <w:t>-</w:t>
            </w:r>
          </w:p>
        </w:tc>
      </w:tr>
    </w:tbl>
    <w:p w14:paraId="A8010000">
      <w:pPr>
        <w:spacing w:after="0" w:line="20" w:lineRule="atLeast"/>
        <w:ind/>
        <w:jc w:val="both"/>
        <w:rPr>
          <w:sz w:val="20"/>
        </w:rPr>
      </w:pPr>
      <w:r>
        <w:rPr>
          <w:sz w:val="20"/>
        </w:rPr>
        <w:t>*пар не используется,</w:t>
      </w:r>
    </w:p>
    <w:p w14:paraId="A9010000">
      <w:pPr>
        <w:spacing w:line="20" w:lineRule="atLeast"/>
        <w:ind/>
        <w:jc w:val="both"/>
        <w:rPr>
          <w:sz w:val="20"/>
        </w:rPr>
      </w:pPr>
      <w:r>
        <w:rPr>
          <w:sz w:val="20"/>
        </w:rPr>
        <w:t>**топливо газ.</w:t>
      </w:r>
    </w:p>
    <w:p w14:paraId="AA010000">
      <w:pPr>
        <w:spacing w:line="20" w:lineRule="atLeast"/>
        <w:ind/>
        <w:jc w:val="center"/>
        <w:rPr>
          <w:sz w:val="20"/>
        </w:rPr>
      </w:pPr>
      <w:r>
        <w:rPr>
          <w:b w:val="1"/>
          <w:sz w:val="28"/>
        </w:rPr>
        <w:t xml:space="preserve">1.3. Существующие и перспективные объёмы потребления тепловой энергии (мощности) и теплоносителя объектами, расположенными в </w:t>
      </w:r>
    </w:p>
    <w:p w14:paraId="AB010000">
      <w:pPr>
        <w:spacing w:line="20" w:lineRule="atLeast"/>
        <w:ind/>
        <w:jc w:val="both"/>
        <w:rPr>
          <w:b w:val="1"/>
          <w:sz w:val="28"/>
        </w:rPr>
      </w:pPr>
      <w:r>
        <w:rPr>
          <w:b w:val="1"/>
          <w:sz w:val="28"/>
        </w:rPr>
        <w:t>производственных зонах, на каждом этапе</w:t>
      </w:r>
    </w:p>
    <w:p w14:paraId="AC010000">
      <w:pPr>
        <w:spacing w:line="20" w:lineRule="atLeast"/>
        <w:ind w:firstLine="709" w:left="0"/>
        <w:jc w:val="both"/>
        <w:rPr>
          <w:sz w:val="28"/>
        </w:rPr>
      </w:pPr>
      <w:r>
        <w:rPr>
          <w:sz w:val="28"/>
        </w:rPr>
        <w:t>Потребление тепловой энергии (мощности) и теплоносителя объектами, расположенными в производственных зонах, с учётом возможных изменений производственных зон и их перепрофилирования объектами, с разделением по видам теплопотребления и по видам теплоносител</w:t>
      </w:r>
      <w:r>
        <w:rPr>
          <w:sz w:val="28"/>
        </w:rPr>
        <w:t xml:space="preserve">я (горячая вода и пар) до 2033 года не предусмотрено.  </w:t>
      </w:r>
    </w:p>
    <w:p w14:paraId="AD010000">
      <w:pPr>
        <w:spacing w:line="20" w:lineRule="atLeast"/>
        <w:ind w:firstLine="709" w:left="0"/>
        <w:jc w:val="both"/>
        <w:rPr>
          <w:b w:val="1"/>
          <w:sz w:val="28"/>
        </w:rPr>
      </w:pPr>
      <w:r>
        <w:rPr>
          <w:b w:val="1"/>
          <w:sz w:val="28"/>
        </w:rPr>
        <w:t>1.4 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w:t>
      </w:r>
      <w:r>
        <w:rPr>
          <w:b w:val="1"/>
          <w:sz w:val="28"/>
        </w:rPr>
        <w:t xml:space="preserve">стеме теплоснабжения и по Куйбышевскому сельскому поселению Куйбышевского района </w:t>
      </w:r>
    </w:p>
    <w:p w14:paraId="AE010000">
      <w:pPr>
        <w:spacing w:line="20" w:lineRule="atLeast"/>
        <w:ind/>
        <w:jc w:val="both"/>
        <w:rPr>
          <w:sz w:val="28"/>
        </w:rPr>
      </w:pPr>
      <w:r>
        <w:rPr>
          <w:sz w:val="28"/>
        </w:rPr>
        <w:t>Таблица 3 Существующие и перспективные величины средневзвешенной плотности тепловой нагрузки системы теплоснабжения</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41"/>
        <w:gridCol w:w="701"/>
        <w:gridCol w:w="561"/>
        <w:gridCol w:w="700"/>
        <w:gridCol w:w="701"/>
        <w:gridCol w:w="841"/>
        <w:gridCol w:w="840"/>
        <w:gridCol w:w="841"/>
        <w:gridCol w:w="840"/>
        <w:gridCol w:w="841"/>
        <w:gridCol w:w="981"/>
        <w:gridCol w:w="840"/>
      </w:tblGrid>
      <w:tr>
        <w:trPr>
          <w:trHeight w:hRule="atLeast" w:val="1043"/>
        </w:trPr>
        <w:tc>
          <w:tcPr>
            <w:tcW w:type="dxa" w:w="841"/>
            <w:tcBorders>
              <w:top w:color="000000" w:sz="4" w:val="single"/>
              <w:left w:color="000000" w:sz="4" w:val="single"/>
              <w:bottom w:color="000000" w:sz="4" w:val="single"/>
              <w:right w:color="000000" w:sz="4" w:val="single"/>
            </w:tcBorders>
            <w:textDirection w:val="btLr"/>
            <w:vAlign w:val="center"/>
          </w:tcPr>
          <w:p w14:paraId="AF010000">
            <w:pPr>
              <w:spacing w:before="200" w:line="20" w:lineRule="atLeast"/>
              <w:ind w:firstLine="0" w:left="113" w:right="113"/>
              <w:jc w:val="center"/>
              <w:rPr>
                <w:sz w:val="20"/>
              </w:rPr>
            </w:pPr>
            <w:r>
              <w:rPr>
                <w:sz w:val="20"/>
              </w:rPr>
              <w:t>Зона</w:t>
            </w:r>
          </w:p>
        </w:tc>
        <w:tc>
          <w:tcPr>
            <w:tcW w:type="dxa" w:w="701"/>
            <w:tcBorders>
              <w:top w:color="000000" w:sz="4" w:val="single"/>
              <w:left w:color="000000" w:sz="4" w:val="single"/>
              <w:bottom w:color="000000" w:sz="4" w:val="single"/>
              <w:right w:color="000000" w:sz="4" w:val="single"/>
            </w:tcBorders>
            <w:textDirection w:val="btLr"/>
            <w:vAlign w:val="center"/>
          </w:tcPr>
          <w:p w14:paraId="B0010000">
            <w:pPr>
              <w:widowControl w:val="0"/>
              <w:spacing w:line="240" w:lineRule="auto"/>
              <w:ind w:firstLine="0" w:left="113" w:right="284"/>
              <w:jc w:val="center"/>
              <w:rPr>
                <w:sz w:val="20"/>
              </w:rPr>
            </w:pPr>
            <w:r>
              <w:rPr>
                <w:sz w:val="20"/>
              </w:rPr>
              <w:t xml:space="preserve">2022 </w:t>
            </w:r>
          </w:p>
        </w:tc>
        <w:tc>
          <w:tcPr>
            <w:tcW w:type="dxa" w:w="561"/>
            <w:tcBorders>
              <w:top w:color="000000" w:sz="4" w:val="single"/>
              <w:left w:color="000000" w:sz="4" w:val="single"/>
              <w:bottom w:color="000000" w:sz="4" w:val="single"/>
              <w:right w:color="000000" w:sz="4" w:val="single"/>
            </w:tcBorders>
            <w:textDirection w:val="btLr"/>
            <w:vAlign w:val="center"/>
          </w:tcPr>
          <w:p w14:paraId="B1010000">
            <w:pPr>
              <w:widowControl w:val="0"/>
              <w:spacing w:line="240" w:lineRule="auto"/>
              <w:ind w:firstLine="0" w:left="113" w:right="284"/>
              <w:jc w:val="center"/>
              <w:rPr>
                <w:sz w:val="20"/>
              </w:rPr>
            </w:pPr>
            <w:r>
              <w:rPr>
                <w:sz w:val="20"/>
              </w:rPr>
              <w:t>2023 -2024</w:t>
            </w:r>
          </w:p>
        </w:tc>
        <w:tc>
          <w:tcPr>
            <w:tcW w:type="dxa" w:w="700"/>
            <w:tcBorders>
              <w:top w:color="000000" w:sz="4" w:val="single"/>
              <w:left w:color="000000" w:sz="4" w:val="single"/>
              <w:bottom w:color="000000" w:sz="4" w:val="single"/>
              <w:right w:color="000000" w:sz="4" w:val="single"/>
            </w:tcBorders>
            <w:textDirection w:val="btLr"/>
            <w:vAlign w:val="center"/>
          </w:tcPr>
          <w:p w14:paraId="B2010000">
            <w:pPr>
              <w:widowControl w:val="0"/>
              <w:spacing w:line="240" w:lineRule="auto"/>
              <w:ind w:firstLine="0" w:left="113" w:right="284"/>
              <w:jc w:val="center"/>
              <w:rPr>
                <w:sz w:val="20"/>
              </w:rPr>
            </w:pPr>
            <w:r>
              <w:rPr>
                <w:sz w:val="20"/>
              </w:rPr>
              <w:t>2025</w:t>
            </w:r>
          </w:p>
        </w:tc>
        <w:tc>
          <w:tcPr>
            <w:tcW w:type="dxa" w:w="701"/>
            <w:tcBorders>
              <w:top w:color="000000" w:sz="4" w:val="single"/>
              <w:left w:color="000000" w:sz="4" w:val="single"/>
              <w:bottom w:color="000000" w:sz="4" w:val="single"/>
              <w:right w:color="000000" w:sz="4" w:val="single"/>
            </w:tcBorders>
            <w:textDirection w:val="btLr"/>
            <w:vAlign w:val="center"/>
          </w:tcPr>
          <w:p w14:paraId="B3010000">
            <w:pPr>
              <w:widowControl w:val="0"/>
              <w:spacing w:line="240" w:lineRule="auto"/>
              <w:ind w:firstLine="0" w:left="113" w:right="284"/>
              <w:jc w:val="center"/>
              <w:rPr>
                <w:sz w:val="20"/>
              </w:rPr>
            </w:pPr>
            <w:r>
              <w:rPr>
                <w:sz w:val="20"/>
              </w:rPr>
              <w:t>2026</w:t>
            </w:r>
          </w:p>
        </w:tc>
        <w:tc>
          <w:tcPr>
            <w:tcW w:type="dxa" w:w="841"/>
            <w:tcBorders>
              <w:top w:color="000000" w:sz="4" w:val="single"/>
              <w:left w:color="000000" w:sz="4" w:val="single"/>
              <w:bottom w:color="000000" w:sz="4" w:val="single"/>
              <w:right w:color="000000" w:sz="4" w:val="single"/>
            </w:tcBorders>
            <w:textDirection w:val="btLr"/>
            <w:vAlign w:val="center"/>
          </w:tcPr>
          <w:p w14:paraId="B4010000">
            <w:pPr>
              <w:widowControl w:val="0"/>
              <w:spacing w:line="240" w:lineRule="auto"/>
              <w:ind w:firstLine="0" w:left="113" w:right="284"/>
              <w:jc w:val="center"/>
              <w:rPr>
                <w:sz w:val="20"/>
              </w:rPr>
            </w:pPr>
            <w:r>
              <w:rPr>
                <w:sz w:val="20"/>
              </w:rPr>
              <w:t>2027</w:t>
            </w:r>
          </w:p>
        </w:tc>
        <w:tc>
          <w:tcPr>
            <w:tcW w:type="dxa" w:w="840"/>
            <w:tcBorders>
              <w:top w:color="000000" w:sz="4" w:val="single"/>
              <w:left w:color="000000" w:sz="4" w:val="single"/>
              <w:bottom w:color="000000" w:sz="4" w:val="single"/>
              <w:right w:color="000000" w:sz="4" w:val="single"/>
            </w:tcBorders>
            <w:textDirection w:val="btLr"/>
            <w:vAlign w:val="center"/>
          </w:tcPr>
          <w:p w14:paraId="B5010000">
            <w:pPr>
              <w:widowControl w:val="0"/>
              <w:spacing w:line="240" w:lineRule="auto"/>
              <w:ind w:firstLine="0" w:left="113" w:right="284"/>
              <w:jc w:val="center"/>
              <w:rPr>
                <w:sz w:val="20"/>
              </w:rPr>
            </w:pPr>
            <w:r>
              <w:rPr>
                <w:sz w:val="20"/>
              </w:rPr>
              <w:t>2028</w:t>
            </w:r>
          </w:p>
        </w:tc>
        <w:tc>
          <w:tcPr>
            <w:tcW w:type="dxa" w:w="841"/>
            <w:tcBorders>
              <w:top w:color="000000" w:sz="4" w:val="single"/>
              <w:left w:color="000000" w:sz="4" w:val="single"/>
              <w:bottom w:color="000000" w:sz="4" w:val="single"/>
              <w:right w:color="000000" w:sz="4" w:val="single"/>
            </w:tcBorders>
            <w:textDirection w:val="btLr"/>
            <w:vAlign w:val="center"/>
          </w:tcPr>
          <w:p w14:paraId="B6010000">
            <w:pPr>
              <w:widowControl w:val="0"/>
              <w:spacing w:line="240" w:lineRule="auto"/>
              <w:ind w:firstLine="0" w:left="113" w:right="284"/>
              <w:jc w:val="center"/>
              <w:rPr>
                <w:sz w:val="20"/>
              </w:rPr>
            </w:pPr>
            <w:r>
              <w:rPr>
                <w:sz w:val="20"/>
              </w:rPr>
              <w:t>2029</w:t>
            </w:r>
          </w:p>
        </w:tc>
        <w:tc>
          <w:tcPr>
            <w:tcW w:type="dxa" w:w="840"/>
            <w:tcBorders>
              <w:top w:color="000000" w:sz="4" w:val="single"/>
              <w:left w:color="000000" w:sz="4" w:val="single"/>
              <w:bottom w:color="000000" w:sz="4" w:val="single"/>
              <w:right w:color="000000" w:sz="4" w:val="single"/>
            </w:tcBorders>
            <w:textDirection w:val="btLr"/>
            <w:vAlign w:val="center"/>
          </w:tcPr>
          <w:p w14:paraId="B7010000">
            <w:pPr>
              <w:widowControl w:val="0"/>
              <w:spacing w:line="240" w:lineRule="auto"/>
              <w:ind w:firstLine="0" w:left="113" w:right="284"/>
              <w:jc w:val="center"/>
              <w:rPr>
                <w:sz w:val="20"/>
              </w:rPr>
            </w:pPr>
            <w:r>
              <w:rPr>
                <w:sz w:val="20"/>
              </w:rPr>
              <w:t>2030</w:t>
            </w:r>
          </w:p>
        </w:tc>
        <w:tc>
          <w:tcPr>
            <w:tcW w:type="dxa" w:w="841"/>
            <w:tcBorders>
              <w:top w:color="000000" w:sz="4" w:val="single"/>
              <w:left w:color="000000" w:sz="4" w:val="single"/>
              <w:bottom w:color="000000" w:sz="4" w:val="single"/>
              <w:right w:color="000000" w:sz="4" w:val="single"/>
            </w:tcBorders>
            <w:textDirection w:val="btLr"/>
            <w:vAlign w:val="center"/>
          </w:tcPr>
          <w:p w14:paraId="B8010000">
            <w:pPr>
              <w:widowControl w:val="0"/>
              <w:spacing w:line="240" w:lineRule="auto"/>
              <w:ind w:firstLine="0" w:left="113" w:right="284"/>
              <w:jc w:val="center"/>
              <w:rPr>
                <w:sz w:val="20"/>
              </w:rPr>
            </w:pPr>
            <w:r>
              <w:rPr>
                <w:sz w:val="20"/>
              </w:rPr>
              <w:t>2031</w:t>
            </w:r>
          </w:p>
        </w:tc>
        <w:tc>
          <w:tcPr>
            <w:tcW w:type="dxa" w:w="981"/>
            <w:tcBorders>
              <w:top w:color="000000" w:sz="4" w:val="single"/>
              <w:left w:color="000000" w:sz="4" w:val="single"/>
              <w:bottom w:color="000000" w:sz="4" w:val="single"/>
              <w:right w:color="000000" w:sz="4" w:val="single"/>
            </w:tcBorders>
            <w:textDirection w:val="btLr"/>
          </w:tcPr>
          <w:p w14:paraId="B9010000">
            <w:pPr>
              <w:widowControl w:val="0"/>
              <w:spacing w:line="240" w:lineRule="auto"/>
              <w:ind w:firstLine="0" w:left="113" w:right="284"/>
              <w:jc w:val="center"/>
              <w:rPr>
                <w:sz w:val="20"/>
              </w:rPr>
            </w:pPr>
            <w:r>
              <w:rPr>
                <w:sz w:val="20"/>
              </w:rPr>
              <w:t>2</w:t>
            </w:r>
            <w:r>
              <w:rPr>
                <w:sz w:val="20"/>
              </w:rPr>
              <w:t>032</w:t>
            </w:r>
          </w:p>
        </w:tc>
        <w:tc>
          <w:tcPr>
            <w:tcW w:type="dxa" w:w="840"/>
            <w:tcBorders>
              <w:top w:color="000000" w:sz="4" w:val="single"/>
              <w:left w:color="000000" w:sz="4" w:val="single"/>
              <w:bottom w:color="000000" w:sz="4" w:val="single"/>
              <w:right w:color="000000" w:sz="4" w:val="single"/>
            </w:tcBorders>
            <w:textDirection w:val="btLr"/>
            <w:vAlign w:val="center"/>
          </w:tcPr>
          <w:p w14:paraId="BA010000">
            <w:pPr>
              <w:widowControl w:val="0"/>
              <w:spacing w:line="240" w:lineRule="auto"/>
              <w:ind w:firstLine="0" w:left="113" w:right="284"/>
              <w:jc w:val="center"/>
              <w:rPr>
                <w:sz w:val="20"/>
              </w:rPr>
            </w:pPr>
            <w:r>
              <w:rPr>
                <w:sz w:val="20"/>
              </w:rPr>
              <w:t>2033</w:t>
            </w:r>
          </w:p>
        </w:tc>
      </w:tr>
      <w:tr>
        <w:trPr>
          <w:trHeight w:hRule="atLeast" w:val="718"/>
        </w:trPr>
        <w:tc>
          <w:tcPr>
            <w:tcW w:type="dxa" w:w="841"/>
            <w:tcBorders>
              <w:top w:color="000000" w:sz="4" w:val="single"/>
              <w:left w:color="000000" w:sz="4" w:val="single"/>
              <w:bottom w:color="000000" w:sz="4" w:val="single"/>
              <w:right w:color="000000" w:sz="4" w:val="single"/>
            </w:tcBorders>
            <w:vAlign w:val="center"/>
          </w:tcPr>
          <w:p w14:paraId="BB010000">
            <w:pPr>
              <w:spacing w:before="200" w:line="20" w:lineRule="atLeast"/>
              <w:ind/>
              <w:jc w:val="center"/>
              <w:rPr>
                <w:sz w:val="20"/>
              </w:rPr>
            </w:pPr>
            <w:r>
              <w:rPr>
                <w:sz w:val="20"/>
              </w:rPr>
              <w:t>Жилая зона</w:t>
            </w:r>
          </w:p>
        </w:tc>
        <w:tc>
          <w:tcPr>
            <w:tcW w:type="dxa" w:w="701"/>
            <w:tcBorders>
              <w:top w:color="000000" w:sz="4" w:val="single"/>
              <w:left w:color="000000" w:sz="4" w:val="single"/>
              <w:bottom w:color="000000" w:sz="4" w:val="single"/>
              <w:right w:color="000000" w:sz="4" w:val="single"/>
            </w:tcBorders>
            <w:textDirection w:val="btLr"/>
            <w:vAlign w:val="center"/>
          </w:tcPr>
          <w:p w14:paraId="BC010000">
            <w:pPr>
              <w:spacing w:before="200" w:line="20" w:lineRule="atLeast"/>
              <w:ind w:firstLine="0" w:left="113" w:right="113"/>
              <w:jc w:val="center"/>
              <w:rPr>
                <w:sz w:val="20"/>
              </w:rPr>
            </w:pPr>
            <w:r>
              <w:rPr>
                <w:sz w:val="20"/>
              </w:rPr>
              <w:t>-</w:t>
            </w:r>
          </w:p>
        </w:tc>
        <w:tc>
          <w:tcPr>
            <w:tcW w:type="dxa" w:w="561"/>
            <w:tcBorders>
              <w:top w:color="000000" w:sz="4" w:val="single"/>
              <w:left w:color="000000" w:sz="4" w:val="single"/>
              <w:bottom w:color="000000" w:sz="4" w:val="single"/>
              <w:right w:color="000000" w:sz="4" w:val="single"/>
            </w:tcBorders>
            <w:textDirection w:val="btLr"/>
          </w:tcPr>
          <w:p w14:paraId="BD010000">
            <w:pPr>
              <w:ind w:firstLine="0" w:left="113" w:right="113"/>
              <w:jc w:val="center"/>
            </w:pPr>
            <w:r>
              <w:t>-</w:t>
            </w:r>
          </w:p>
        </w:tc>
        <w:tc>
          <w:tcPr>
            <w:tcW w:type="dxa" w:w="700"/>
            <w:tcBorders>
              <w:top w:color="000000" w:sz="4" w:val="single"/>
              <w:left w:color="000000" w:sz="4" w:val="single"/>
              <w:bottom w:color="000000" w:sz="4" w:val="single"/>
              <w:right w:color="000000" w:sz="4" w:val="single"/>
            </w:tcBorders>
            <w:textDirection w:val="btLr"/>
          </w:tcPr>
          <w:p w14:paraId="BE010000">
            <w:pPr>
              <w:ind w:firstLine="0" w:left="113" w:right="113"/>
              <w:jc w:val="center"/>
            </w:pPr>
            <w:r>
              <w:t>-</w:t>
            </w:r>
          </w:p>
        </w:tc>
        <w:tc>
          <w:tcPr>
            <w:tcW w:type="dxa" w:w="701"/>
            <w:tcBorders>
              <w:top w:color="000000" w:sz="4" w:val="single"/>
              <w:left w:color="000000" w:sz="4" w:val="single"/>
              <w:bottom w:color="000000" w:sz="4" w:val="single"/>
              <w:right w:color="000000" w:sz="4" w:val="single"/>
            </w:tcBorders>
            <w:textDirection w:val="btLr"/>
            <w:vAlign w:val="center"/>
          </w:tcPr>
          <w:p w14:paraId="BF010000">
            <w:pPr>
              <w:ind w:firstLine="0" w:left="113" w:right="113"/>
              <w:jc w:val="center"/>
            </w:pPr>
            <w:r>
              <w:rPr>
                <w:sz w:val="20"/>
              </w:rPr>
              <w:t>-</w:t>
            </w:r>
          </w:p>
        </w:tc>
        <w:tc>
          <w:tcPr>
            <w:tcW w:type="dxa" w:w="841"/>
            <w:tcBorders>
              <w:top w:color="000000" w:sz="4" w:val="single"/>
              <w:left w:color="000000" w:sz="4" w:val="single"/>
              <w:bottom w:color="000000" w:sz="4" w:val="single"/>
              <w:right w:color="000000" w:sz="4" w:val="single"/>
            </w:tcBorders>
            <w:textDirection w:val="btLr"/>
          </w:tcPr>
          <w:p w14:paraId="C0010000">
            <w:pPr>
              <w:ind w:firstLine="0" w:left="113" w:right="113"/>
              <w:jc w:val="center"/>
            </w:pPr>
            <w:r>
              <w:t>-</w:t>
            </w:r>
          </w:p>
        </w:tc>
        <w:tc>
          <w:tcPr>
            <w:tcW w:type="dxa" w:w="840"/>
            <w:tcBorders>
              <w:top w:color="000000" w:sz="4" w:val="single"/>
              <w:left w:color="000000" w:sz="4" w:val="single"/>
              <w:bottom w:color="000000" w:sz="4" w:val="single"/>
              <w:right w:color="000000" w:sz="4" w:val="single"/>
            </w:tcBorders>
            <w:textDirection w:val="btLr"/>
          </w:tcPr>
          <w:p w14:paraId="C1010000">
            <w:pPr>
              <w:ind w:firstLine="0" w:left="113" w:right="113"/>
              <w:jc w:val="center"/>
            </w:pPr>
            <w:r>
              <w:t>-</w:t>
            </w:r>
          </w:p>
        </w:tc>
        <w:tc>
          <w:tcPr>
            <w:tcW w:type="dxa" w:w="841"/>
            <w:tcBorders>
              <w:top w:color="000000" w:sz="4" w:val="single"/>
              <w:left w:color="000000" w:sz="4" w:val="single"/>
              <w:bottom w:color="000000" w:sz="4" w:val="single"/>
              <w:right w:color="000000" w:sz="4" w:val="single"/>
            </w:tcBorders>
            <w:textDirection w:val="btLr"/>
            <w:vAlign w:val="center"/>
          </w:tcPr>
          <w:p w14:paraId="C2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extDirection w:val="btLr"/>
          </w:tcPr>
          <w:p w14:paraId="C3010000">
            <w:pPr>
              <w:ind w:firstLine="0" w:left="113" w:right="113"/>
              <w:jc w:val="center"/>
            </w:pPr>
            <w:r>
              <w:t>-</w:t>
            </w:r>
          </w:p>
        </w:tc>
        <w:tc>
          <w:tcPr>
            <w:tcW w:type="dxa" w:w="841"/>
            <w:tcBorders>
              <w:top w:color="000000" w:sz="4" w:val="single"/>
              <w:left w:color="000000" w:sz="4" w:val="single"/>
              <w:bottom w:color="000000" w:sz="4" w:val="single"/>
              <w:right w:color="000000" w:sz="4" w:val="single"/>
            </w:tcBorders>
            <w:textDirection w:val="btLr"/>
          </w:tcPr>
          <w:p w14:paraId="C4010000">
            <w:pPr>
              <w:ind w:firstLine="0" w:left="113" w:right="113"/>
              <w:jc w:val="center"/>
            </w:pPr>
            <w:r>
              <w:t>-</w:t>
            </w:r>
          </w:p>
        </w:tc>
        <w:tc>
          <w:tcPr>
            <w:tcW w:type="dxa" w:w="981"/>
            <w:tcBorders>
              <w:top w:color="000000" w:sz="4" w:val="single"/>
              <w:left w:color="000000" w:sz="4" w:val="single"/>
              <w:bottom w:color="000000" w:sz="4" w:val="single"/>
              <w:right w:color="000000" w:sz="4" w:val="single"/>
            </w:tcBorders>
            <w:textDirection w:val="btLr"/>
            <w:vAlign w:val="center"/>
          </w:tcPr>
          <w:p w14:paraId="C5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extDirection w:val="btLr"/>
          </w:tcPr>
          <w:p w14:paraId="C6010000">
            <w:pPr>
              <w:ind w:firstLine="0" w:left="113" w:right="113"/>
              <w:jc w:val="center"/>
            </w:pPr>
            <w:r>
              <w:t>-</w:t>
            </w:r>
          </w:p>
        </w:tc>
      </w:tr>
      <w:tr>
        <w:trPr>
          <w:trHeight w:hRule="atLeast" w:val="1270"/>
        </w:trPr>
        <w:tc>
          <w:tcPr>
            <w:tcW w:type="dxa" w:w="841"/>
            <w:tcBorders>
              <w:top w:color="000000" w:sz="4" w:val="single"/>
              <w:left w:color="000000" w:sz="4" w:val="single"/>
              <w:bottom w:color="000000" w:sz="4" w:val="single"/>
              <w:right w:color="000000" w:sz="4" w:val="single"/>
            </w:tcBorders>
            <w:vAlign w:val="center"/>
          </w:tcPr>
          <w:p w14:paraId="C7010000">
            <w:pPr>
              <w:spacing w:before="200" w:line="20" w:lineRule="atLeast"/>
              <w:ind/>
              <w:jc w:val="center"/>
              <w:rPr>
                <w:sz w:val="20"/>
              </w:rPr>
            </w:pPr>
            <w:r>
              <w:rPr>
                <w:sz w:val="20"/>
              </w:rPr>
              <w:t>Обще-ствен-ные здания</w:t>
            </w:r>
          </w:p>
        </w:tc>
        <w:tc>
          <w:tcPr>
            <w:tcW w:type="dxa" w:w="701"/>
            <w:tcBorders>
              <w:top w:color="000000" w:sz="4" w:val="single"/>
              <w:left w:color="000000" w:sz="4" w:val="single"/>
              <w:bottom w:color="000000" w:sz="4" w:val="single"/>
              <w:right w:color="000000" w:sz="4" w:val="single"/>
            </w:tcBorders>
            <w:textDirection w:val="btLr"/>
            <w:vAlign w:val="center"/>
          </w:tcPr>
          <w:p w14:paraId="C8010000">
            <w:pPr>
              <w:spacing w:before="200" w:line="20" w:lineRule="atLeast"/>
              <w:ind w:firstLine="0" w:left="113" w:right="113"/>
              <w:jc w:val="center"/>
              <w:rPr>
                <w:sz w:val="20"/>
              </w:rPr>
            </w:pPr>
            <w:r>
              <w:rPr>
                <w:sz w:val="20"/>
              </w:rPr>
              <w:t>0,73</w:t>
            </w:r>
          </w:p>
        </w:tc>
        <w:tc>
          <w:tcPr>
            <w:tcW w:type="dxa" w:w="561"/>
            <w:tcBorders>
              <w:top w:color="000000" w:sz="4" w:val="single"/>
              <w:left w:color="000000" w:sz="4" w:val="single"/>
              <w:bottom w:color="000000" w:sz="4" w:val="single"/>
              <w:right w:color="000000" w:sz="4" w:val="single"/>
            </w:tcBorders>
            <w:textDirection w:val="btLr"/>
          </w:tcPr>
          <w:p w14:paraId="C9010000">
            <w:pPr>
              <w:ind w:firstLine="0" w:left="113" w:right="113"/>
              <w:jc w:val="center"/>
            </w:pPr>
            <w:r>
              <w:rPr>
                <w:sz w:val="20"/>
              </w:rPr>
              <w:t>0,73</w:t>
            </w:r>
          </w:p>
        </w:tc>
        <w:tc>
          <w:tcPr>
            <w:tcW w:type="dxa" w:w="700"/>
            <w:tcBorders>
              <w:top w:color="000000" w:sz="4" w:val="single"/>
              <w:left w:color="000000" w:sz="4" w:val="single"/>
              <w:bottom w:color="000000" w:sz="4" w:val="single"/>
              <w:right w:color="000000" w:sz="4" w:val="single"/>
            </w:tcBorders>
            <w:textDirection w:val="btLr"/>
          </w:tcPr>
          <w:p w14:paraId="CA010000">
            <w:pPr>
              <w:ind w:firstLine="0" w:left="113" w:right="113"/>
              <w:jc w:val="center"/>
            </w:pPr>
            <w:r>
              <w:rPr>
                <w:sz w:val="20"/>
              </w:rPr>
              <w:t>0,73</w:t>
            </w:r>
          </w:p>
        </w:tc>
        <w:tc>
          <w:tcPr>
            <w:tcW w:type="dxa" w:w="701"/>
            <w:tcBorders>
              <w:top w:color="000000" w:sz="4" w:val="single"/>
              <w:left w:color="000000" w:sz="4" w:val="single"/>
              <w:bottom w:color="000000" w:sz="4" w:val="single"/>
              <w:right w:color="000000" w:sz="4" w:val="single"/>
            </w:tcBorders>
            <w:textDirection w:val="btLr"/>
          </w:tcPr>
          <w:p w14:paraId="CB010000">
            <w:pPr>
              <w:ind w:firstLine="0" w:left="113" w:right="113"/>
              <w:jc w:val="center"/>
            </w:pPr>
            <w:r>
              <w:rPr>
                <w:sz w:val="20"/>
              </w:rPr>
              <w:t>0,73</w:t>
            </w:r>
          </w:p>
        </w:tc>
        <w:tc>
          <w:tcPr>
            <w:tcW w:type="dxa" w:w="841"/>
            <w:tcBorders>
              <w:top w:color="000000" w:sz="4" w:val="single"/>
              <w:left w:color="000000" w:sz="4" w:val="single"/>
              <w:bottom w:color="000000" w:sz="4" w:val="single"/>
              <w:right w:color="000000" w:sz="4" w:val="single"/>
            </w:tcBorders>
            <w:textDirection w:val="btLr"/>
          </w:tcPr>
          <w:p w14:paraId="CC010000">
            <w:pPr>
              <w:ind w:firstLine="0" w:left="113" w:right="113"/>
              <w:jc w:val="center"/>
            </w:pPr>
            <w:r>
              <w:rPr>
                <w:sz w:val="20"/>
              </w:rPr>
              <w:t>0,73</w:t>
            </w:r>
          </w:p>
        </w:tc>
        <w:tc>
          <w:tcPr>
            <w:tcW w:type="dxa" w:w="840"/>
            <w:tcBorders>
              <w:top w:color="000000" w:sz="4" w:val="single"/>
              <w:left w:color="000000" w:sz="4" w:val="single"/>
              <w:bottom w:color="000000" w:sz="4" w:val="single"/>
              <w:right w:color="000000" w:sz="4" w:val="single"/>
            </w:tcBorders>
            <w:textDirection w:val="btLr"/>
          </w:tcPr>
          <w:p w14:paraId="CD010000">
            <w:pPr>
              <w:ind w:firstLine="0" w:left="113" w:right="113"/>
              <w:jc w:val="center"/>
            </w:pPr>
            <w:r>
              <w:rPr>
                <w:sz w:val="20"/>
              </w:rPr>
              <w:t>0,73</w:t>
            </w:r>
          </w:p>
        </w:tc>
        <w:tc>
          <w:tcPr>
            <w:tcW w:type="dxa" w:w="841"/>
            <w:tcBorders>
              <w:top w:color="000000" w:sz="4" w:val="single"/>
              <w:left w:color="000000" w:sz="4" w:val="single"/>
              <w:bottom w:color="000000" w:sz="4" w:val="single"/>
              <w:right w:color="000000" w:sz="4" w:val="single"/>
            </w:tcBorders>
            <w:textDirection w:val="btLr"/>
          </w:tcPr>
          <w:p w14:paraId="CE010000">
            <w:pPr>
              <w:ind w:firstLine="0" w:left="113" w:right="113"/>
              <w:jc w:val="center"/>
            </w:pPr>
            <w:r>
              <w:rPr>
                <w:sz w:val="20"/>
              </w:rPr>
              <w:t>0,73</w:t>
            </w:r>
          </w:p>
        </w:tc>
        <w:tc>
          <w:tcPr>
            <w:tcW w:type="dxa" w:w="840"/>
            <w:tcBorders>
              <w:top w:color="000000" w:sz="4" w:val="single"/>
              <w:left w:color="000000" w:sz="4" w:val="single"/>
              <w:bottom w:color="000000" w:sz="4" w:val="single"/>
              <w:right w:color="000000" w:sz="4" w:val="single"/>
            </w:tcBorders>
            <w:textDirection w:val="btLr"/>
          </w:tcPr>
          <w:p w14:paraId="CF010000">
            <w:pPr>
              <w:ind w:firstLine="0" w:left="113" w:right="113"/>
              <w:jc w:val="center"/>
            </w:pPr>
            <w:r>
              <w:rPr>
                <w:sz w:val="20"/>
              </w:rPr>
              <w:t>0,73</w:t>
            </w:r>
          </w:p>
        </w:tc>
        <w:tc>
          <w:tcPr>
            <w:tcW w:type="dxa" w:w="841"/>
            <w:tcBorders>
              <w:top w:color="000000" w:sz="4" w:val="single"/>
              <w:left w:color="000000" w:sz="4" w:val="single"/>
              <w:bottom w:color="000000" w:sz="4" w:val="single"/>
              <w:right w:color="000000" w:sz="4" w:val="single"/>
            </w:tcBorders>
            <w:textDirection w:val="btLr"/>
          </w:tcPr>
          <w:p w14:paraId="D0010000">
            <w:pPr>
              <w:ind w:firstLine="0" w:left="113" w:right="113"/>
              <w:jc w:val="center"/>
            </w:pPr>
            <w:r>
              <w:rPr>
                <w:sz w:val="20"/>
              </w:rPr>
              <w:t>0,73</w:t>
            </w:r>
          </w:p>
        </w:tc>
        <w:tc>
          <w:tcPr>
            <w:tcW w:type="dxa" w:w="981"/>
            <w:tcBorders>
              <w:top w:color="000000" w:sz="4" w:val="single"/>
              <w:left w:color="000000" w:sz="4" w:val="single"/>
              <w:bottom w:color="000000" w:sz="4" w:val="single"/>
              <w:right w:color="000000" w:sz="4" w:val="single"/>
            </w:tcBorders>
            <w:textDirection w:val="btLr"/>
          </w:tcPr>
          <w:p w14:paraId="D1010000">
            <w:pPr>
              <w:ind w:firstLine="0" w:left="113" w:right="113"/>
              <w:jc w:val="center"/>
            </w:pPr>
            <w:r>
              <w:rPr>
                <w:sz w:val="20"/>
              </w:rPr>
              <w:t>0,73</w:t>
            </w:r>
          </w:p>
        </w:tc>
        <w:tc>
          <w:tcPr>
            <w:tcW w:type="dxa" w:w="840"/>
            <w:tcBorders>
              <w:top w:color="000000" w:sz="4" w:val="single"/>
              <w:left w:color="000000" w:sz="4" w:val="single"/>
              <w:bottom w:color="000000" w:sz="4" w:val="single"/>
              <w:right w:color="000000" w:sz="4" w:val="single"/>
            </w:tcBorders>
            <w:textDirection w:val="btLr"/>
          </w:tcPr>
          <w:p w14:paraId="D2010000">
            <w:pPr>
              <w:ind w:firstLine="0" w:left="113" w:right="113"/>
              <w:jc w:val="center"/>
            </w:pPr>
            <w:r>
              <w:rPr>
                <w:sz w:val="20"/>
              </w:rPr>
              <w:t>0,73</w:t>
            </w:r>
          </w:p>
        </w:tc>
      </w:tr>
      <w:tr>
        <w:trPr>
          <w:trHeight w:hRule="atLeast" w:val="778"/>
        </w:trPr>
        <w:tc>
          <w:tcPr>
            <w:tcW w:type="dxa" w:w="841"/>
            <w:tcBorders>
              <w:top w:color="000000" w:sz="4" w:val="single"/>
              <w:left w:color="000000" w:sz="4" w:val="single"/>
              <w:bottom w:color="000000" w:sz="4" w:val="single"/>
              <w:right w:color="000000" w:sz="4" w:val="single"/>
            </w:tcBorders>
            <w:vAlign w:val="center"/>
          </w:tcPr>
          <w:p w14:paraId="D3010000">
            <w:pPr>
              <w:spacing w:before="200" w:line="20" w:lineRule="atLeast"/>
              <w:ind/>
              <w:jc w:val="center"/>
              <w:rPr>
                <w:sz w:val="20"/>
              </w:rPr>
            </w:pPr>
            <w:r>
              <w:rPr>
                <w:sz w:val="20"/>
              </w:rPr>
              <w:t>Про-чие здания</w:t>
            </w:r>
          </w:p>
        </w:tc>
        <w:tc>
          <w:tcPr>
            <w:tcW w:type="dxa" w:w="701"/>
            <w:tcBorders>
              <w:top w:color="000000" w:sz="4" w:val="single"/>
              <w:left w:color="000000" w:sz="4" w:val="single"/>
              <w:bottom w:color="000000" w:sz="4" w:val="single"/>
              <w:right w:color="000000" w:sz="4" w:val="single"/>
            </w:tcBorders>
            <w:textDirection w:val="btLr"/>
            <w:vAlign w:val="center"/>
          </w:tcPr>
          <w:p w14:paraId="D4010000">
            <w:pPr>
              <w:spacing w:before="200" w:line="20" w:lineRule="atLeast"/>
              <w:ind w:firstLine="0" w:left="113" w:right="113"/>
              <w:jc w:val="center"/>
              <w:rPr>
                <w:sz w:val="20"/>
              </w:rPr>
            </w:pPr>
            <w:r>
              <w:rPr>
                <w:sz w:val="20"/>
              </w:rPr>
              <w:t>-</w:t>
            </w:r>
          </w:p>
        </w:tc>
        <w:tc>
          <w:tcPr>
            <w:tcW w:type="dxa" w:w="561"/>
            <w:tcBorders>
              <w:top w:color="000000" w:sz="4" w:val="single"/>
              <w:left w:color="000000" w:sz="4" w:val="single"/>
              <w:bottom w:color="000000" w:sz="4" w:val="single"/>
              <w:right w:color="000000" w:sz="4" w:val="single"/>
            </w:tcBorders>
            <w:textDirection w:val="btLr"/>
          </w:tcPr>
          <w:p w14:paraId="D5010000">
            <w:pPr>
              <w:ind w:firstLine="0" w:left="113" w:right="113"/>
              <w:jc w:val="center"/>
            </w:pPr>
            <w:r>
              <w:t>-</w:t>
            </w:r>
          </w:p>
        </w:tc>
        <w:tc>
          <w:tcPr>
            <w:tcW w:type="dxa" w:w="700"/>
            <w:tcBorders>
              <w:top w:color="000000" w:sz="4" w:val="single"/>
              <w:left w:color="000000" w:sz="4" w:val="single"/>
              <w:bottom w:color="000000" w:sz="4" w:val="single"/>
              <w:right w:color="000000" w:sz="4" w:val="single"/>
            </w:tcBorders>
            <w:textDirection w:val="btLr"/>
          </w:tcPr>
          <w:p w14:paraId="D6010000">
            <w:pPr>
              <w:ind w:firstLine="0" w:left="113" w:right="113"/>
              <w:jc w:val="center"/>
            </w:pPr>
            <w:r>
              <w:t>-</w:t>
            </w:r>
          </w:p>
        </w:tc>
        <w:tc>
          <w:tcPr>
            <w:tcW w:type="dxa" w:w="701"/>
            <w:tcBorders>
              <w:top w:color="000000" w:sz="4" w:val="single"/>
              <w:left w:color="000000" w:sz="4" w:val="single"/>
              <w:bottom w:color="000000" w:sz="4" w:val="single"/>
              <w:right w:color="000000" w:sz="4" w:val="single"/>
            </w:tcBorders>
            <w:textDirection w:val="btLr"/>
            <w:vAlign w:val="center"/>
          </w:tcPr>
          <w:p w14:paraId="D7010000">
            <w:pPr>
              <w:ind w:firstLine="0" w:left="113" w:right="113"/>
              <w:jc w:val="center"/>
            </w:pPr>
            <w:r>
              <w:rPr>
                <w:sz w:val="20"/>
              </w:rPr>
              <w:t>-</w:t>
            </w:r>
          </w:p>
        </w:tc>
        <w:tc>
          <w:tcPr>
            <w:tcW w:type="dxa" w:w="841"/>
            <w:tcBorders>
              <w:top w:color="000000" w:sz="4" w:val="single"/>
              <w:left w:color="000000" w:sz="4" w:val="single"/>
              <w:bottom w:color="000000" w:sz="4" w:val="single"/>
              <w:right w:color="000000" w:sz="4" w:val="single"/>
            </w:tcBorders>
            <w:textDirection w:val="btLr"/>
          </w:tcPr>
          <w:p w14:paraId="D8010000">
            <w:pPr>
              <w:ind w:firstLine="0" w:left="113" w:right="113"/>
              <w:jc w:val="center"/>
            </w:pPr>
            <w:r>
              <w:t>-</w:t>
            </w:r>
          </w:p>
        </w:tc>
        <w:tc>
          <w:tcPr>
            <w:tcW w:type="dxa" w:w="840"/>
            <w:tcBorders>
              <w:top w:color="000000" w:sz="4" w:val="single"/>
              <w:left w:color="000000" w:sz="4" w:val="single"/>
              <w:bottom w:color="000000" w:sz="4" w:val="single"/>
              <w:right w:color="000000" w:sz="4" w:val="single"/>
            </w:tcBorders>
            <w:textDirection w:val="btLr"/>
          </w:tcPr>
          <w:p w14:paraId="D9010000">
            <w:pPr>
              <w:ind w:firstLine="0" w:left="113" w:right="113"/>
              <w:jc w:val="center"/>
            </w:pPr>
            <w:r>
              <w:t>-</w:t>
            </w:r>
          </w:p>
        </w:tc>
        <w:tc>
          <w:tcPr>
            <w:tcW w:type="dxa" w:w="841"/>
            <w:tcBorders>
              <w:top w:color="000000" w:sz="4" w:val="single"/>
              <w:left w:color="000000" w:sz="4" w:val="single"/>
              <w:bottom w:color="000000" w:sz="4" w:val="single"/>
              <w:right w:color="000000" w:sz="4" w:val="single"/>
            </w:tcBorders>
            <w:textDirection w:val="btLr"/>
            <w:vAlign w:val="center"/>
          </w:tcPr>
          <w:p w14:paraId="DA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extDirection w:val="btLr"/>
          </w:tcPr>
          <w:p w14:paraId="DB010000">
            <w:pPr>
              <w:ind w:firstLine="0" w:left="113" w:right="113"/>
              <w:jc w:val="center"/>
            </w:pPr>
            <w:r>
              <w:t>-</w:t>
            </w:r>
          </w:p>
        </w:tc>
        <w:tc>
          <w:tcPr>
            <w:tcW w:type="dxa" w:w="841"/>
            <w:tcBorders>
              <w:top w:color="000000" w:sz="4" w:val="single"/>
              <w:left w:color="000000" w:sz="4" w:val="single"/>
              <w:bottom w:color="000000" w:sz="4" w:val="single"/>
              <w:right w:color="000000" w:sz="4" w:val="single"/>
            </w:tcBorders>
            <w:textDirection w:val="btLr"/>
          </w:tcPr>
          <w:p w14:paraId="DC010000">
            <w:pPr>
              <w:ind w:firstLine="0" w:left="113" w:right="113"/>
              <w:jc w:val="center"/>
            </w:pPr>
            <w:r>
              <w:t>-</w:t>
            </w:r>
          </w:p>
        </w:tc>
        <w:tc>
          <w:tcPr>
            <w:tcW w:type="dxa" w:w="981"/>
            <w:tcBorders>
              <w:top w:color="000000" w:sz="4" w:val="single"/>
              <w:left w:color="000000" w:sz="4" w:val="single"/>
              <w:bottom w:color="000000" w:sz="4" w:val="single"/>
              <w:right w:color="000000" w:sz="4" w:val="single"/>
            </w:tcBorders>
            <w:textDirection w:val="btLr"/>
            <w:vAlign w:val="center"/>
          </w:tcPr>
          <w:p w14:paraId="DD010000">
            <w:pPr>
              <w:ind w:firstLine="0" w:left="113" w:right="113"/>
              <w:jc w:val="center"/>
            </w:pPr>
            <w:r>
              <w:rPr>
                <w:sz w:val="20"/>
              </w:rPr>
              <w:t>-</w:t>
            </w:r>
          </w:p>
        </w:tc>
        <w:tc>
          <w:tcPr>
            <w:tcW w:type="dxa" w:w="840"/>
            <w:tcBorders>
              <w:top w:color="000000" w:sz="4" w:val="single"/>
              <w:left w:color="000000" w:sz="4" w:val="single"/>
              <w:bottom w:color="000000" w:sz="4" w:val="single"/>
              <w:right w:color="000000" w:sz="4" w:val="single"/>
            </w:tcBorders>
            <w:textDirection w:val="btLr"/>
          </w:tcPr>
          <w:p w14:paraId="DE010000">
            <w:pPr>
              <w:ind w:firstLine="0" w:left="113" w:right="113"/>
              <w:jc w:val="center"/>
            </w:pPr>
            <w:r>
              <w:t>-</w:t>
            </w:r>
          </w:p>
        </w:tc>
      </w:tr>
    </w:tbl>
    <w:p w14:paraId="DF010000">
      <w:pPr>
        <w:spacing w:before="200" w:line="20" w:lineRule="atLeast"/>
        <w:ind w:firstLine="709" w:left="0"/>
        <w:jc w:val="both"/>
        <w:rPr>
          <w:b w:val="1"/>
          <w:sz w:val="28"/>
        </w:rPr>
      </w:pPr>
      <w:r>
        <w:rPr>
          <w:b w:val="1"/>
          <w:sz w:val="28"/>
        </w:rPr>
        <w:t xml:space="preserve">РАЗДЕЛ 2. СУЩЕСТВУЮЩИЕ И ПЕРСПЕКТИВНЫЕ БАЛАНСЫ ТЕПЛОВОЙ МОЩНОСТИ ИСТОЧНИКОВ ТЕПЛОВОЙ ЭНЕРГИИ И </w:t>
      </w:r>
      <w:r>
        <w:rPr>
          <w:b w:val="1"/>
          <w:sz w:val="28"/>
        </w:rPr>
        <w:t>ТЕПЛОВОЙ НАГРУЗКИ ПОТРЕБИТЕЛЕЙ КУЙБЫШЕВСКОГО СЕЛЬСКОГО ПОСЕЛЕНИЯ КУЙБЫШЕВСКОГО РАЙОНА</w:t>
      </w:r>
    </w:p>
    <w:p w14:paraId="E0010000">
      <w:pPr>
        <w:spacing w:before="200" w:line="20" w:lineRule="atLeast"/>
        <w:ind w:firstLine="709" w:left="0"/>
        <w:jc w:val="both"/>
        <w:rPr>
          <w:b w:val="1"/>
          <w:sz w:val="28"/>
        </w:rPr>
      </w:pPr>
      <w:r>
        <w:rPr>
          <w:b w:val="1"/>
          <w:sz w:val="28"/>
        </w:rPr>
        <w:t xml:space="preserve">2.1 Описание существующих и перспективных зон действия систем теплоснабжения и источников тепловой энергии </w:t>
      </w:r>
    </w:p>
    <w:p w14:paraId="E1010000">
      <w:pPr>
        <w:spacing w:line="20" w:lineRule="atLeast"/>
        <w:ind w:firstLine="709" w:left="0"/>
        <w:jc w:val="both"/>
        <w:rPr>
          <w:sz w:val="28"/>
        </w:rPr>
      </w:pPr>
      <w:r>
        <w:rPr>
          <w:sz w:val="28"/>
        </w:rPr>
        <w:t>Описание существующих зон действия систем теплоснабжения составлено на основании среднеарифметической величины расстояния источников тепловой энергии до потребителей (включая наиболее удалённую точку), источников тепловой энергии приведены в таблице 4 Схем</w:t>
      </w:r>
      <w:r>
        <w:rPr>
          <w:sz w:val="28"/>
        </w:rPr>
        <w:t xml:space="preserve">ы. </w:t>
      </w:r>
    </w:p>
    <w:p w14:paraId="E2010000">
      <w:pPr>
        <w:spacing w:line="240" w:lineRule="auto"/>
        <w:ind w:firstLine="709" w:left="0"/>
        <w:jc w:val="both"/>
        <w:rPr>
          <w:sz w:val="28"/>
        </w:rPr>
      </w:pPr>
      <w:r>
        <w:rPr>
          <w:sz w:val="28"/>
        </w:rPr>
        <w:t>Таблица 4 Зоны действия существующих котельных</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21"/>
        <w:gridCol w:w="7427"/>
        <w:gridCol w:w="1682"/>
      </w:tblGrid>
      <w:tr>
        <w:trPr>
          <w:trHeight w:hRule="atLeast" w:val="253"/>
        </w:trPr>
        <w:tc>
          <w:tcPr>
            <w:tcW w:type="dxa" w:w="421"/>
            <w:tcBorders>
              <w:top w:color="000000" w:sz="4" w:val="single"/>
              <w:left w:color="000000" w:sz="4" w:val="single"/>
              <w:bottom w:color="000000" w:sz="4" w:val="single"/>
              <w:right w:color="000000" w:sz="4" w:val="single"/>
            </w:tcBorders>
            <w:vAlign w:val="center"/>
          </w:tcPr>
          <w:p w14:paraId="E3010000">
            <w:pPr>
              <w:spacing w:after="0" w:line="240" w:lineRule="auto"/>
              <w:ind w:firstLine="0" w:left="-57" w:right="-57"/>
              <w:jc w:val="center"/>
              <w:rPr>
                <w:sz w:val="20"/>
              </w:rPr>
            </w:pPr>
            <w:r>
              <w:rPr>
                <w:sz w:val="20"/>
              </w:rPr>
              <w:t xml:space="preserve">№ </w:t>
            </w:r>
          </w:p>
        </w:tc>
        <w:tc>
          <w:tcPr>
            <w:tcW w:type="dxa" w:w="7427"/>
            <w:tcBorders>
              <w:top w:color="000000" w:sz="4" w:val="single"/>
              <w:left w:color="000000" w:sz="4" w:val="single"/>
              <w:bottom w:color="000000" w:sz="4" w:val="single"/>
              <w:right w:color="000000" w:sz="4" w:val="single"/>
            </w:tcBorders>
            <w:vAlign w:val="center"/>
          </w:tcPr>
          <w:p w14:paraId="E4010000">
            <w:pPr>
              <w:spacing w:after="0" w:line="240" w:lineRule="auto"/>
              <w:ind w:firstLine="0" w:left="-57" w:right="-57"/>
              <w:jc w:val="center"/>
              <w:rPr>
                <w:sz w:val="20"/>
              </w:rPr>
            </w:pPr>
            <w:r>
              <w:rPr>
                <w:sz w:val="20"/>
              </w:rPr>
              <w:t>Адрес котельной</w:t>
            </w:r>
          </w:p>
        </w:tc>
        <w:tc>
          <w:tcPr>
            <w:tcW w:type="dxa" w:w="1682"/>
            <w:tcBorders>
              <w:top w:color="000000" w:sz="4" w:val="single"/>
              <w:left w:color="000000" w:sz="4" w:val="single"/>
              <w:bottom w:color="000000" w:sz="4" w:val="single"/>
              <w:right w:color="000000" w:sz="4" w:val="single"/>
            </w:tcBorders>
            <w:vAlign w:val="center"/>
          </w:tcPr>
          <w:p w14:paraId="E5010000">
            <w:pPr>
              <w:spacing w:after="0" w:line="240" w:lineRule="auto"/>
              <w:ind w:firstLine="0" w:left="-57" w:right="-57"/>
              <w:jc w:val="center"/>
              <w:rPr>
                <w:sz w:val="20"/>
              </w:rPr>
            </w:pPr>
            <w:r>
              <w:rPr>
                <w:sz w:val="20"/>
              </w:rPr>
              <w:t>Средняя величина радиуса действия тепловой сети, м</w:t>
            </w:r>
          </w:p>
        </w:tc>
      </w:tr>
      <w:tr>
        <w:trPr>
          <w:trHeight w:hRule="atLeast" w:val="320"/>
        </w:trPr>
        <w:tc>
          <w:tcPr>
            <w:tcW w:type="dxa" w:w="421"/>
            <w:tcBorders>
              <w:top w:color="000000" w:sz="4" w:val="single"/>
              <w:left w:color="000000" w:sz="4" w:val="single"/>
              <w:bottom w:color="000000" w:sz="4" w:val="single"/>
              <w:right w:color="000000" w:sz="4" w:val="single"/>
            </w:tcBorders>
            <w:vAlign w:val="center"/>
          </w:tcPr>
          <w:p w14:paraId="E6010000">
            <w:pPr>
              <w:spacing w:after="0" w:line="240" w:lineRule="auto"/>
              <w:ind w:firstLine="0" w:left="-57" w:right="-57"/>
              <w:jc w:val="center"/>
              <w:rPr>
                <w:sz w:val="20"/>
              </w:rPr>
            </w:pPr>
            <w:r>
              <w:rPr>
                <w:sz w:val="20"/>
              </w:rPr>
              <w:t>1</w:t>
            </w:r>
          </w:p>
        </w:tc>
        <w:tc>
          <w:tcPr>
            <w:tcW w:type="dxa" w:w="7427"/>
            <w:tcBorders>
              <w:top w:color="000000" w:sz="4" w:val="single"/>
              <w:left w:color="000000" w:sz="4" w:val="single"/>
              <w:bottom w:color="000000" w:sz="4" w:val="single"/>
              <w:right w:color="000000" w:sz="4" w:val="single"/>
            </w:tcBorders>
            <w:vAlign w:val="center"/>
          </w:tcPr>
          <w:p w14:paraId="E7010000">
            <w:pPr>
              <w:ind/>
              <w:jc w:val="center"/>
              <w:rPr>
                <w:sz w:val="20"/>
              </w:rPr>
            </w:pPr>
            <w:r>
              <w:rPr>
                <w:sz w:val="20"/>
              </w:rPr>
              <w:t>с. Куйбышево, ул. Пролетарская, 7</w:t>
            </w:r>
          </w:p>
        </w:tc>
        <w:tc>
          <w:tcPr>
            <w:tcW w:type="dxa" w:w="1682"/>
            <w:tcBorders>
              <w:top w:color="000000" w:sz="4" w:val="single"/>
              <w:left w:color="000000" w:sz="4" w:val="single"/>
              <w:bottom w:color="000000" w:sz="4" w:val="single"/>
              <w:right w:color="000000" w:sz="4" w:val="single"/>
            </w:tcBorders>
            <w:vAlign w:val="center"/>
          </w:tcPr>
          <w:p w14:paraId="E8010000">
            <w:pPr>
              <w:spacing w:after="0" w:line="240" w:lineRule="auto"/>
              <w:ind w:firstLine="0" w:left="-57" w:right="-57"/>
              <w:jc w:val="center"/>
              <w:rPr>
                <w:sz w:val="20"/>
              </w:rPr>
            </w:pPr>
            <w:r>
              <w:rPr>
                <w:sz w:val="20"/>
              </w:rPr>
              <w:t>100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E9010000">
            <w:pPr>
              <w:spacing w:after="0" w:line="240" w:lineRule="auto"/>
              <w:ind w:firstLine="0" w:left="-57" w:right="-57"/>
              <w:jc w:val="center"/>
              <w:rPr>
                <w:sz w:val="20"/>
              </w:rPr>
            </w:pPr>
            <w:r>
              <w:rPr>
                <w:sz w:val="20"/>
              </w:rPr>
              <w:t>2</w:t>
            </w:r>
          </w:p>
        </w:tc>
        <w:tc>
          <w:tcPr>
            <w:tcW w:type="dxa" w:w="7427"/>
            <w:tcBorders>
              <w:top w:color="000000" w:sz="4" w:val="single"/>
              <w:left w:color="000000" w:sz="4" w:val="single"/>
              <w:bottom w:color="000000" w:sz="4" w:val="single"/>
              <w:right w:color="000000" w:sz="4" w:val="single"/>
            </w:tcBorders>
            <w:vAlign w:val="center"/>
          </w:tcPr>
          <w:p w14:paraId="EA010000">
            <w:pPr>
              <w:ind/>
              <w:jc w:val="center"/>
              <w:rPr>
                <w:sz w:val="20"/>
              </w:rPr>
            </w:pPr>
            <w:r>
              <w:rPr>
                <w:sz w:val="20"/>
              </w:rPr>
              <w:t>с. Русское, ул. Красноармейская,8-а</w:t>
            </w:r>
          </w:p>
        </w:tc>
        <w:tc>
          <w:tcPr>
            <w:tcW w:type="dxa" w:w="1682"/>
            <w:tcBorders>
              <w:top w:color="000000" w:sz="4" w:val="single"/>
              <w:left w:color="000000" w:sz="4" w:val="single"/>
              <w:bottom w:color="000000" w:sz="4" w:val="single"/>
              <w:right w:color="000000" w:sz="4" w:val="single"/>
            </w:tcBorders>
            <w:vAlign w:val="center"/>
          </w:tcPr>
          <w:p w14:paraId="EB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EC010000">
            <w:pPr>
              <w:spacing w:after="0" w:line="240" w:lineRule="auto"/>
              <w:ind w:firstLine="0" w:left="-57" w:right="-57"/>
              <w:jc w:val="center"/>
              <w:rPr>
                <w:sz w:val="20"/>
              </w:rPr>
            </w:pPr>
            <w:r>
              <w:rPr>
                <w:sz w:val="20"/>
              </w:rPr>
              <w:t>3</w:t>
            </w:r>
          </w:p>
        </w:tc>
        <w:tc>
          <w:tcPr>
            <w:tcW w:type="dxa" w:w="7427"/>
            <w:tcBorders>
              <w:top w:sz="4" w:val="nil"/>
              <w:left w:color="000000" w:sz="4" w:val="single"/>
              <w:bottom w:color="000000" w:sz="4" w:val="single"/>
              <w:right w:color="000000" w:sz="4" w:val="single"/>
            </w:tcBorders>
            <w:vAlign w:val="center"/>
          </w:tcPr>
          <w:p w14:paraId="ED010000">
            <w:pPr>
              <w:ind/>
              <w:jc w:val="center"/>
              <w:rPr>
                <w:sz w:val="20"/>
              </w:rPr>
            </w:pPr>
            <w:r>
              <w:rPr>
                <w:sz w:val="20"/>
              </w:rPr>
              <w:t xml:space="preserve">с. Русское, ул. Героя Советского Союза М. П. </w:t>
            </w:r>
            <w:r>
              <w:rPr>
                <w:sz w:val="20"/>
              </w:rPr>
              <w:t>Алексеева, 8</w:t>
            </w:r>
          </w:p>
        </w:tc>
        <w:tc>
          <w:tcPr>
            <w:tcW w:type="dxa" w:w="1682"/>
            <w:tcBorders>
              <w:top w:color="000000" w:sz="4" w:val="single"/>
              <w:left w:color="000000" w:sz="4" w:val="single"/>
              <w:bottom w:color="000000" w:sz="4" w:val="single"/>
              <w:right w:color="000000" w:sz="4" w:val="single"/>
            </w:tcBorders>
            <w:vAlign w:val="center"/>
          </w:tcPr>
          <w:p w14:paraId="EE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EF010000">
            <w:pPr>
              <w:spacing w:after="0" w:line="240" w:lineRule="auto"/>
              <w:ind w:firstLine="0" w:left="-57" w:right="-57"/>
              <w:jc w:val="center"/>
              <w:rPr>
                <w:sz w:val="20"/>
              </w:rPr>
            </w:pPr>
            <w:r>
              <w:rPr>
                <w:sz w:val="20"/>
              </w:rPr>
              <w:t>4</w:t>
            </w:r>
          </w:p>
        </w:tc>
        <w:tc>
          <w:tcPr>
            <w:tcW w:type="dxa" w:w="7427"/>
            <w:tcBorders>
              <w:top w:sz="4" w:val="nil"/>
              <w:left w:color="000000" w:sz="4" w:val="single"/>
              <w:bottom w:color="000000" w:sz="4" w:val="single"/>
              <w:right w:color="000000" w:sz="4" w:val="single"/>
            </w:tcBorders>
            <w:vAlign w:val="center"/>
          </w:tcPr>
          <w:p w14:paraId="F0010000">
            <w:pPr>
              <w:ind/>
              <w:jc w:val="center"/>
              <w:rPr>
                <w:sz w:val="20"/>
              </w:rPr>
            </w:pPr>
            <w:r>
              <w:rPr>
                <w:sz w:val="20"/>
              </w:rPr>
              <w:t>с. Куйбышево, ул. Театральная, 72</w:t>
            </w:r>
          </w:p>
        </w:tc>
        <w:tc>
          <w:tcPr>
            <w:tcW w:type="dxa" w:w="1682"/>
            <w:tcBorders>
              <w:top w:color="000000" w:sz="4" w:val="single"/>
              <w:left w:color="000000" w:sz="4" w:val="single"/>
              <w:bottom w:color="000000" w:sz="4" w:val="single"/>
              <w:right w:color="000000" w:sz="4" w:val="single"/>
            </w:tcBorders>
            <w:vAlign w:val="center"/>
          </w:tcPr>
          <w:p w14:paraId="F1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F2010000">
            <w:pPr>
              <w:spacing w:after="0" w:line="240" w:lineRule="auto"/>
              <w:ind w:firstLine="0" w:left="-57" w:right="-57"/>
              <w:jc w:val="center"/>
              <w:rPr>
                <w:sz w:val="20"/>
              </w:rPr>
            </w:pPr>
            <w:r>
              <w:rPr>
                <w:sz w:val="20"/>
              </w:rPr>
              <w:t>5</w:t>
            </w:r>
          </w:p>
        </w:tc>
        <w:tc>
          <w:tcPr>
            <w:tcW w:type="dxa" w:w="7427"/>
            <w:tcBorders>
              <w:top w:sz="4" w:val="nil"/>
              <w:left w:color="000000" w:sz="4" w:val="single"/>
              <w:bottom w:color="000000" w:sz="4" w:val="single"/>
              <w:right w:color="000000" w:sz="4" w:val="single"/>
            </w:tcBorders>
            <w:vAlign w:val="center"/>
          </w:tcPr>
          <w:p w14:paraId="F3010000">
            <w:pPr>
              <w:ind/>
              <w:jc w:val="center"/>
              <w:rPr>
                <w:sz w:val="20"/>
              </w:rPr>
            </w:pPr>
            <w:r>
              <w:rPr>
                <w:sz w:val="20"/>
              </w:rPr>
              <w:t>с. Куйбышево, ул. Пролетарская, 2 а</w:t>
            </w:r>
          </w:p>
        </w:tc>
        <w:tc>
          <w:tcPr>
            <w:tcW w:type="dxa" w:w="1682"/>
            <w:tcBorders>
              <w:top w:color="000000" w:sz="4" w:val="single"/>
              <w:left w:color="000000" w:sz="4" w:val="single"/>
              <w:bottom w:color="000000" w:sz="4" w:val="single"/>
              <w:right w:color="000000" w:sz="4" w:val="single"/>
            </w:tcBorders>
            <w:vAlign w:val="center"/>
          </w:tcPr>
          <w:p w14:paraId="F4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F5010000">
            <w:pPr>
              <w:spacing w:after="0" w:line="240" w:lineRule="auto"/>
              <w:ind w:firstLine="0" w:left="-57" w:right="-57"/>
              <w:jc w:val="center"/>
              <w:rPr>
                <w:sz w:val="20"/>
              </w:rPr>
            </w:pPr>
            <w:r>
              <w:rPr>
                <w:sz w:val="20"/>
              </w:rPr>
              <w:t>6</w:t>
            </w:r>
          </w:p>
        </w:tc>
        <w:tc>
          <w:tcPr>
            <w:tcW w:type="dxa" w:w="7427"/>
            <w:tcBorders>
              <w:top w:sz="4" w:val="nil"/>
              <w:left w:color="000000" w:sz="4" w:val="single"/>
              <w:bottom w:color="000000" w:sz="4" w:val="single"/>
              <w:right w:color="000000" w:sz="4" w:val="single"/>
            </w:tcBorders>
            <w:vAlign w:val="center"/>
          </w:tcPr>
          <w:p w14:paraId="F6010000">
            <w:pPr>
              <w:ind/>
              <w:jc w:val="center"/>
              <w:rPr>
                <w:sz w:val="20"/>
              </w:rPr>
            </w:pPr>
            <w:r>
              <w:rPr>
                <w:sz w:val="20"/>
              </w:rPr>
              <w:t>с. Куйбышево, ул. Кузьменко, 3 а</w:t>
            </w:r>
          </w:p>
        </w:tc>
        <w:tc>
          <w:tcPr>
            <w:tcW w:type="dxa" w:w="1682"/>
            <w:tcBorders>
              <w:top w:color="000000" w:sz="4" w:val="single"/>
              <w:left w:color="000000" w:sz="4" w:val="single"/>
              <w:bottom w:color="000000" w:sz="4" w:val="single"/>
              <w:right w:color="000000" w:sz="4" w:val="single"/>
            </w:tcBorders>
            <w:vAlign w:val="center"/>
          </w:tcPr>
          <w:p w14:paraId="F7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F8010000">
            <w:pPr>
              <w:spacing w:after="0" w:line="240" w:lineRule="auto"/>
              <w:ind w:firstLine="0" w:left="-57" w:right="-57"/>
              <w:jc w:val="center"/>
              <w:rPr>
                <w:sz w:val="20"/>
              </w:rPr>
            </w:pPr>
            <w:r>
              <w:rPr>
                <w:sz w:val="20"/>
              </w:rPr>
              <w:t>7</w:t>
            </w:r>
          </w:p>
        </w:tc>
        <w:tc>
          <w:tcPr>
            <w:tcW w:type="dxa" w:w="7427"/>
            <w:tcBorders>
              <w:top w:sz="4" w:val="nil"/>
              <w:left w:color="000000" w:sz="4" w:val="single"/>
              <w:bottom w:color="000000" w:sz="4" w:val="single"/>
              <w:right w:color="000000" w:sz="4" w:val="single"/>
            </w:tcBorders>
            <w:vAlign w:val="center"/>
          </w:tcPr>
          <w:p w14:paraId="F9010000">
            <w:pPr>
              <w:ind/>
              <w:jc w:val="center"/>
              <w:rPr>
                <w:sz w:val="20"/>
              </w:rPr>
            </w:pPr>
            <w:r>
              <w:rPr>
                <w:sz w:val="20"/>
              </w:rPr>
              <w:t>х. Свободный, ул. Молодёжная, 8</w:t>
            </w:r>
          </w:p>
        </w:tc>
        <w:tc>
          <w:tcPr>
            <w:tcW w:type="dxa" w:w="1682"/>
            <w:tcBorders>
              <w:top w:color="000000" w:sz="4" w:val="single"/>
              <w:left w:color="000000" w:sz="4" w:val="single"/>
              <w:bottom w:color="000000" w:sz="4" w:val="single"/>
              <w:right w:color="000000" w:sz="4" w:val="single"/>
            </w:tcBorders>
            <w:vAlign w:val="center"/>
          </w:tcPr>
          <w:p w14:paraId="FA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FB010000">
            <w:pPr>
              <w:spacing w:after="0" w:line="240" w:lineRule="auto"/>
              <w:ind w:firstLine="0" w:left="-57" w:right="-57"/>
              <w:jc w:val="center"/>
              <w:rPr>
                <w:sz w:val="20"/>
              </w:rPr>
            </w:pPr>
            <w:r>
              <w:rPr>
                <w:sz w:val="20"/>
              </w:rPr>
              <w:t>8</w:t>
            </w:r>
          </w:p>
        </w:tc>
        <w:tc>
          <w:tcPr>
            <w:tcW w:type="dxa" w:w="7427"/>
            <w:tcBorders>
              <w:top w:sz="4" w:val="nil"/>
              <w:left w:color="000000" w:sz="4" w:val="single"/>
              <w:bottom w:color="000000" w:sz="4" w:val="single"/>
              <w:right w:color="000000" w:sz="4" w:val="single"/>
            </w:tcBorders>
            <w:vAlign w:val="center"/>
          </w:tcPr>
          <w:p w14:paraId="FC010000">
            <w:pPr>
              <w:ind/>
              <w:jc w:val="center"/>
              <w:rPr>
                <w:sz w:val="20"/>
              </w:rPr>
            </w:pPr>
            <w:r>
              <w:rPr>
                <w:sz w:val="20"/>
              </w:rPr>
              <w:t>х. Ольховский, ул. Центральная, 3 а</w:t>
            </w:r>
          </w:p>
        </w:tc>
        <w:tc>
          <w:tcPr>
            <w:tcW w:type="dxa" w:w="1682"/>
            <w:tcBorders>
              <w:top w:color="000000" w:sz="4" w:val="single"/>
              <w:left w:color="000000" w:sz="4" w:val="single"/>
              <w:bottom w:color="000000" w:sz="4" w:val="single"/>
              <w:right w:color="000000" w:sz="4" w:val="single"/>
            </w:tcBorders>
            <w:vAlign w:val="center"/>
          </w:tcPr>
          <w:p w14:paraId="FD01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FE010000">
            <w:pPr>
              <w:spacing w:after="0" w:line="240" w:lineRule="auto"/>
              <w:ind w:firstLine="0" w:left="-57" w:right="-57"/>
              <w:jc w:val="center"/>
              <w:rPr>
                <w:sz w:val="20"/>
              </w:rPr>
            </w:pPr>
            <w:r>
              <w:rPr>
                <w:sz w:val="20"/>
              </w:rPr>
              <w:t>9</w:t>
            </w:r>
          </w:p>
        </w:tc>
        <w:tc>
          <w:tcPr>
            <w:tcW w:type="dxa" w:w="7427"/>
            <w:tcBorders>
              <w:top w:sz="4" w:val="nil"/>
              <w:left w:color="000000" w:sz="4" w:val="single"/>
              <w:bottom w:color="000000" w:sz="4" w:val="single"/>
              <w:right w:color="000000" w:sz="4" w:val="single"/>
            </w:tcBorders>
            <w:vAlign w:val="center"/>
          </w:tcPr>
          <w:p w14:paraId="FF010000">
            <w:pPr>
              <w:ind/>
              <w:jc w:val="center"/>
              <w:rPr>
                <w:sz w:val="20"/>
              </w:rPr>
            </w:pPr>
            <w:r>
              <w:rPr>
                <w:sz w:val="20"/>
              </w:rPr>
              <w:t xml:space="preserve">с. Куйбышево, ул. </w:t>
            </w:r>
            <w:r>
              <w:rPr>
                <w:sz w:val="20"/>
              </w:rPr>
              <w:t>Пролетарская, 5</w:t>
            </w:r>
          </w:p>
        </w:tc>
        <w:tc>
          <w:tcPr>
            <w:tcW w:type="dxa" w:w="1682"/>
            <w:tcBorders>
              <w:top w:color="000000" w:sz="4" w:val="single"/>
              <w:left w:color="000000" w:sz="4" w:val="single"/>
              <w:bottom w:color="000000" w:sz="4" w:val="single"/>
              <w:right w:color="000000" w:sz="4" w:val="single"/>
            </w:tcBorders>
            <w:vAlign w:val="center"/>
          </w:tcPr>
          <w:p w14:paraId="00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01020000">
            <w:pPr>
              <w:spacing w:after="0" w:line="240" w:lineRule="auto"/>
              <w:ind w:firstLine="0" w:left="-57" w:right="-57"/>
              <w:jc w:val="center"/>
              <w:rPr>
                <w:sz w:val="20"/>
              </w:rPr>
            </w:pPr>
            <w:r>
              <w:rPr>
                <w:sz w:val="20"/>
              </w:rPr>
              <w:t>10</w:t>
            </w:r>
          </w:p>
        </w:tc>
        <w:tc>
          <w:tcPr>
            <w:tcW w:type="dxa" w:w="7427"/>
            <w:tcBorders>
              <w:top w:sz="4" w:val="nil"/>
              <w:left w:color="000000" w:sz="4" w:val="single"/>
              <w:bottom w:color="000000" w:sz="4" w:val="single"/>
              <w:right w:color="000000" w:sz="4" w:val="single"/>
            </w:tcBorders>
            <w:vAlign w:val="center"/>
          </w:tcPr>
          <w:p w14:paraId="02020000">
            <w:pPr>
              <w:ind/>
              <w:jc w:val="center"/>
              <w:rPr>
                <w:sz w:val="20"/>
              </w:rPr>
            </w:pPr>
            <w:r>
              <w:rPr>
                <w:sz w:val="20"/>
              </w:rPr>
              <w:t>с. Куйбышево, ул. Театральная, 22</w:t>
            </w:r>
          </w:p>
        </w:tc>
        <w:tc>
          <w:tcPr>
            <w:tcW w:type="dxa" w:w="1682"/>
            <w:tcBorders>
              <w:top w:color="000000" w:sz="4" w:val="single"/>
              <w:left w:color="000000" w:sz="4" w:val="single"/>
              <w:bottom w:color="000000" w:sz="4" w:val="single"/>
              <w:right w:color="000000" w:sz="4" w:val="single"/>
            </w:tcBorders>
            <w:vAlign w:val="center"/>
          </w:tcPr>
          <w:p w14:paraId="03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04020000">
            <w:pPr>
              <w:spacing w:after="0" w:line="240" w:lineRule="auto"/>
              <w:ind w:firstLine="0" w:left="-57" w:right="-57"/>
              <w:jc w:val="center"/>
              <w:rPr>
                <w:sz w:val="20"/>
              </w:rPr>
            </w:pPr>
            <w:r>
              <w:rPr>
                <w:sz w:val="20"/>
              </w:rPr>
              <w:t>11</w:t>
            </w:r>
          </w:p>
        </w:tc>
        <w:tc>
          <w:tcPr>
            <w:tcW w:type="dxa" w:w="7427"/>
            <w:tcBorders>
              <w:top w:sz="4" w:val="nil"/>
              <w:left w:color="000000" w:sz="4" w:val="single"/>
              <w:bottom w:color="000000" w:sz="4" w:val="single"/>
              <w:right w:color="000000" w:sz="4" w:val="single"/>
            </w:tcBorders>
            <w:vAlign w:val="center"/>
          </w:tcPr>
          <w:p w14:paraId="05020000">
            <w:pPr>
              <w:ind/>
              <w:jc w:val="center"/>
              <w:rPr>
                <w:sz w:val="20"/>
              </w:rPr>
            </w:pPr>
            <w:r>
              <w:rPr>
                <w:sz w:val="20"/>
              </w:rPr>
              <w:t>х. Свободный, ул. Победы, 29</w:t>
            </w:r>
          </w:p>
        </w:tc>
        <w:tc>
          <w:tcPr>
            <w:tcW w:type="dxa" w:w="1682"/>
            <w:tcBorders>
              <w:top w:color="000000" w:sz="4" w:val="single"/>
              <w:left w:color="000000" w:sz="4" w:val="single"/>
              <w:bottom w:color="000000" w:sz="4" w:val="single"/>
              <w:right w:color="000000" w:sz="4" w:val="single"/>
            </w:tcBorders>
            <w:vAlign w:val="center"/>
          </w:tcPr>
          <w:p w14:paraId="06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07020000">
            <w:pPr>
              <w:spacing w:after="0" w:line="240" w:lineRule="auto"/>
              <w:ind w:firstLine="0" w:left="-57" w:right="-57"/>
              <w:jc w:val="center"/>
              <w:rPr>
                <w:sz w:val="20"/>
              </w:rPr>
            </w:pPr>
            <w:r>
              <w:rPr>
                <w:sz w:val="20"/>
              </w:rPr>
              <w:t>12</w:t>
            </w:r>
          </w:p>
        </w:tc>
        <w:tc>
          <w:tcPr>
            <w:tcW w:type="dxa" w:w="7427"/>
            <w:tcBorders>
              <w:top w:sz="4" w:val="nil"/>
              <w:left w:color="000000" w:sz="4" w:val="single"/>
              <w:bottom w:color="000000" w:sz="4" w:val="single"/>
              <w:right w:color="000000" w:sz="4" w:val="single"/>
            </w:tcBorders>
            <w:vAlign w:val="center"/>
          </w:tcPr>
          <w:p w14:paraId="08020000">
            <w:pPr>
              <w:ind/>
              <w:jc w:val="center"/>
              <w:rPr>
                <w:sz w:val="20"/>
              </w:rPr>
            </w:pPr>
            <w:r>
              <w:rPr>
                <w:sz w:val="20"/>
              </w:rPr>
              <w:t>х. Новобахмутский, ул. Широкая, 89 а</w:t>
            </w:r>
          </w:p>
        </w:tc>
        <w:tc>
          <w:tcPr>
            <w:tcW w:type="dxa" w:w="1682"/>
            <w:tcBorders>
              <w:top w:color="000000" w:sz="4" w:val="single"/>
              <w:left w:color="000000" w:sz="4" w:val="single"/>
              <w:bottom w:color="000000" w:sz="4" w:val="single"/>
              <w:right w:color="000000" w:sz="4" w:val="single"/>
            </w:tcBorders>
            <w:vAlign w:val="center"/>
          </w:tcPr>
          <w:p w14:paraId="09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0A020000">
            <w:pPr>
              <w:spacing w:after="0" w:line="240" w:lineRule="auto"/>
              <w:ind w:firstLine="0" w:left="-57" w:right="-57"/>
              <w:jc w:val="center"/>
              <w:rPr>
                <w:sz w:val="20"/>
              </w:rPr>
            </w:pPr>
            <w:r>
              <w:rPr>
                <w:sz w:val="20"/>
              </w:rPr>
              <w:t>13</w:t>
            </w:r>
          </w:p>
        </w:tc>
        <w:tc>
          <w:tcPr>
            <w:tcW w:type="dxa" w:w="7427"/>
            <w:tcBorders>
              <w:top w:sz="4" w:val="nil"/>
              <w:left w:color="000000" w:sz="4" w:val="single"/>
              <w:bottom w:color="000000" w:sz="4" w:val="single"/>
              <w:right w:color="000000" w:sz="4" w:val="single"/>
            </w:tcBorders>
            <w:vAlign w:val="center"/>
          </w:tcPr>
          <w:p w14:paraId="0B020000">
            <w:pPr>
              <w:ind/>
              <w:jc w:val="center"/>
              <w:rPr>
                <w:sz w:val="20"/>
              </w:rPr>
            </w:pPr>
            <w:r>
              <w:rPr>
                <w:sz w:val="20"/>
              </w:rPr>
              <w:t>с. Русское, ул. Красноармейская, 1</w:t>
            </w:r>
          </w:p>
        </w:tc>
        <w:tc>
          <w:tcPr>
            <w:tcW w:type="dxa" w:w="1682"/>
            <w:tcBorders>
              <w:top w:color="000000" w:sz="4" w:val="single"/>
              <w:left w:color="000000" w:sz="4" w:val="single"/>
              <w:bottom w:color="000000" w:sz="4" w:val="single"/>
              <w:right w:color="000000" w:sz="4" w:val="single"/>
            </w:tcBorders>
            <w:vAlign w:val="center"/>
          </w:tcPr>
          <w:p w14:paraId="0C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0D020000">
            <w:pPr>
              <w:spacing w:after="0" w:line="240" w:lineRule="auto"/>
              <w:ind w:firstLine="0" w:left="-57" w:right="-57"/>
              <w:jc w:val="center"/>
              <w:rPr>
                <w:sz w:val="20"/>
              </w:rPr>
            </w:pPr>
            <w:r>
              <w:rPr>
                <w:sz w:val="20"/>
              </w:rPr>
              <w:t>14</w:t>
            </w:r>
          </w:p>
        </w:tc>
        <w:tc>
          <w:tcPr>
            <w:tcW w:type="dxa" w:w="7427"/>
            <w:tcBorders>
              <w:top w:sz="4" w:val="nil"/>
              <w:left w:color="000000" w:sz="4" w:val="single"/>
              <w:bottom w:color="000000" w:sz="4" w:val="single"/>
              <w:right w:color="000000" w:sz="4" w:val="single"/>
            </w:tcBorders>
            <w:vAlign w:val="center"/>
          </w:tcPr>
          <w:p w14:paraId="0E020000">
            <w:pPr>
              <w:ind/>
              <w:jc w:val="center"/>
              <w:rPr>
                <w:sz w:val="20"/>
              </w:rPr>
            </w:pPr>
            <w:r>
              <w:rPr>
                <w:sz w:val="20"/>
              </w:rPr>
              <w:t>с. Куйбышево, ул. Цветаева, 31</w:t>
            </w:r>
          </w:p>
        </w:tc>
        <w:tc>
          <w:tcPr>
            <w:tcW w:type="dxa" w:w="1682"/>
            <w:tcBorders>
              <w:top w:color="000000" w:sz="4" w:val="single"/>
              <w:left w:color="000000" w:sz="4" w:val="single"/>
              <w:bottom w:color="000000" w:sz="4" w:val="single"/>
              <w:right w:color="000000" w:sz="4" w:val="single"/>
            </w:tcBorders>
            <w:vAlign w:val="center"/>
          </w:tcPr>
          <w:p w14:paraId="0F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10020000">
            <w:pPr>
              <w:spacing w:after="0" w:line="240" w:lineRule="auto"/>
              <w:ind w:firstLine="0" w:left="-57" w:right="-57"/>
              <w:jc w:val="center"/>
              <w:rPr>
                <w:sz w:val="20"/>
              </w:rPr>
            </w:pPr>
            <w:r>
              <w:rPr>
                <w:sz w:val="20"/>
              </w:rPr>
              <w:t>15</w:t>
            </w:r>
          </w:p>
        </w:tc>
        <w:tc>
          <w:tcPr>
            <w:tcW w:type="dxa" w:w="7427"/>
            <w:tcBorders>
              <w:top w:sz="4" w:val="nil"/>
              <w:left w:color="000000" w:sz="4" w:val="single"/>
              <w:bottom w:color="000000" w:sz="4" w:val="single"/>
              <w:right w:color="000000" w:sz="4" w:val="single"/>
            </w:tcBorders>
            <w:vAlign w:val="center"/>
          </w:tcPr>
          <w:p w14:paraId="11020000">
            <w:pPr>
              <w:ind/>
              <w:jc w:val="center"/>
              <w:rPr>
                <w:sz w:val="20"/>
              </w:rPr>
            </w:pPr>
            <w:r>
              <w:rPr>
                <w:sz w:val="20"/>
              </w:rPr>
              <w:t xml:space="preserve">с. Куйбышево, ул. </w:t>
            </w:r>
            <w:r>
              <w:rPr>
                <w:sz w:val="20"/>
              </w:rPr>
              <w:t>Куйбышевская, 24</w:t>
            </w:r>
          </w:p>
        </w:tc>
        <w:tc>
          <w:tcPr>
            <w:tcW w:type="dxa" w:w="1682"/>
            <w:tcBorders>
              <w:top w:color="000000" w:sz="4" w:val="single"/>
              <w:left w:color="000000" w:sz="4" w:val="single"/>
              <w:bottom w:color="000000" w:sz="4" w:val="single"/>
              <w:right w:color="000000" w:sz="4" w:val="single"/>
            </w:tcBorders>
            <w:vAlign w:val="center"/>
          </w:tcPr>
          <w:p w14:paraId="12020000">
            <w:pPr>
              <w:spacing w:after="0" w:line="240" w:lineRule="auto"/>
              <w:ind w:firstLine="0" w:left="-57" w:right="-57"/>
              <w:jc w:val="center"/>
              <w:rPr>
                <w:sz w:val="20"/>
              </w:rPr>
            </w:pPr>
            <w:r>
              <w:rPr>
                <w:sz w:val="20"/>
              </w:rPr>
              <w:t>&lt;50</w:t>
            </w:r>
          </w:p>
        </w:tc>
      </w:tr>
      <w:tr>
        <w:trPr>
          <w:trHeight w:hRule="atLeast" w:val="331"/>
        </w:trPr>
        <w:tc>
          <w:tcPr>
            <w:tcW w:type="dxa" w:w="421"/>
            <w:tcBorders>
              <w:top w:color="000000" w:sz="4" w:val="single"/>
              <w:left w:color="000000" w:sz="4" w:val="single"/>
              <w:bottom w:color="000000" w:sz="4" w:val="single"/>
              <w:right w:color="000000" w:sz="4" w:val="single"/>
            </w:tcBorders>
            <w:vAlign w:val="center"/>
          </w:tcPr>
          <w:p w14:paraId="13020000">
            <w:pPr>
              <w:spacing w:after="0" w:line="240" w:lineRule="auto"/>
              <w:ind w:firstLine="0" w:left="-57" w:right="-57"/>
              <w:jc w:val="center"/>
              <w:rPr>
                <w:sz w:val="20"/>
              </w:rPr>
            </w:pPr>
            <w:r>
              <w:rPr>
                <w:sz w:val="20"/>
              </w:rPr>
              <w:t>16</w:t>
            </w:r>
          </w:p>
        </w:tc>
        <w:tc>
          <w:tcPr>
            <w:tcW w:type="dxa" w:w="7427"/>
            <w:tcBorders>
              <w:top w:sz="4" w:val="nil"/>
              <w:left w:color="000000" w:sz="4" w:val="single"/>
              <w:bottom w:color="000000" w:sz="4" w:val="single"/>
              <w:right w:color="000000" w:sz="4" w:val="single"/>
            </w:tcBorders>
            <w:vAlign w:val="center"/>
          </w:tcPr>
          <w:p w14:paraId="14020000">
            <w:pPr>
              <w:ind/>
              <w:jc w:val="center"/>
              <w:rPr>
                <w:sz w:val="20"/>
              </w:rPr>
            </w:pPr>
            <w:r>
              <w:rPr>
                <w:sz w:val="20"/>
              </w:rPr>
              <w:t>с. Куйбышево, ул. Куйбышевская, 20</w:t>
            </w:r>
          </w:p>
        </w:tc>
        <w:tc>
          <w:tcPr>
            <w:tcW w:type="dxa" w:w="1682"/>
            <w:tcBorders>
              <w:top w:color="000000" w:sz="4" w:val="single"/>
              <w:left w:color="000000" w:sz="4" w:val="single"/>
              <w:bottom w:color="000000" w:sz="4" w:val="single"/>
              <w:right w:color="000000" w:sz="4" w:val="single"/>
            </w:tcBorders>
            <w:vAlign w:val="center"/>
          </w:tcPr>
          <w:p w14:paraId="15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16020000">
            <w:pPr>
              <w:spacing w:after="0" w:line="240" w:lineRule="auto"/>
              <w:ind w:firstLine="0" w:left="-57" w:right="-57"/>
              <w:jc w:val="center"/>
              <w:rPr>
                <w:sz w:val="20"/>
              </w:rPr>
            </w:pPr>
            <w:r>
              <w:rPr>
                <w:sz w:val="20"/>
              </w:rPr>
              <w:t>17</w:t>
            </w:r>
          </w:p>
        </w:tc>
        <w:tc>
          <w:tcPr>
            <w:tcW w:type="dxa" w:w="7427"/>
            <w:tcBorders>
              <w:top w:sz="4" w:val="nil"/>
              <w:left w:color="000000" w:sz="4" w:val="single"/>
              <w:bottom w:color="000000" w:sz="4" w:val="single"/>
              <w:right w:color="000000" w:sz="4" w:val="single"/>
            </w:tcBorders>
            <w:vAlign w:val="center"/>
          </w:tcPr>
          <w:p w14:paraId="17020000">
            <w:pPr>
              <w:ind/>
              <w:jc w:val="center"/>
              <w:rPr>
                <w:sz w:val="20"/>
              </w:rPr>
            </w:pPr>
            <w:r>
              <w:rPr>
                <w:sz w:val="20"/>
              </w:rPr>
              <w:t>с. Куйбышево, ул. Миусская, 3</w:t>
            </w:r>
          </w:p>
        </w:tc>
        <w:tc>
          <w:tcPr>
            <w:tcW w:type="dxa" w:w="1682"/>
            <w:tcBorders>
              <w:top w:color="000000" w:sz="4" w:val="single"/>
              <w:left w:color="000000" w:sz="4" w:val="single"/>
              <w:bottom w:color="000000" w:sz="4" w:val="single"/>
              <w:right w:color="000000" w:sz="4" w:val="single"/>
            </w:tcBorders>
            <w:vAlign w:val="center"/>
          </w:tcPr>
          <w:p w14:paraId="18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19020000">
            <w:pPr>
              <w:spacing w:after="0" w:line="240" w:lineRule="auto"/>
              <w:ind w:firstLine="0" w:left="-57" w:right="-57"/>
              <w:jc w:val="center"/>
              <w:rPr>
                <w:sz w:val="20"/>
              </w:rPr>
            </w:pPr>
            <w:r>
              <w:rPr>
                <w:sz w:val="20"/>
              </w:rPr>
              <w:t>18</w:t>
            </w:r>
          </w:p>
        </w:tc>
        <w:tc>
          <w:tcPr>
            <w:tcW w:type="dxa" w:w="7427"/>
            <w:tcBorders>
              <w:top w:sz="4" w:val="nil"/>
              <w:left w:color="000000" w:sz="4" w:val="single"/>
              <w:bottom w:color="000000" w:sz="4" w:val="single"/>
              <w:right w:color="000000" w:sz="4" w:val="single"/>
            </w:tcBorders>
            <w:vAlign w:val="center"/>
          </w:tcPr>
          <w:p w14:paraId="1A020000">
            <w:pPr>
              <w:ind/>
              <w:jc w:val="center"/>
              <w:rPr>
                <w:sz w:val="20"/>
              </w:rPr>
            </w:pPr>
            <w:r>
              <w:rPr>
                <w:sz w:val="20"/>
              </w:rPr>
              <w:t>с. Куйбышево, ул. Миусская, 3</w:t>
            </w:r>
          </w:p>
        </w:tc>
        <w:tc>
          <w:tcPr>
            <w:tcW w:type="dxa" w:w="1682"/>
            <w:tcBorders>
              <w:top w:color="000000" w:sz="4" w:val="single"/>
              <w:left w:color="000000" w:sz="4" w:val="single"/>
              <w:bottom w:color="000000" w:sz="4" w:val="single"/>
              <w:right w:color="000000" w:sz="4" w:val="single"/>
            </w:tcBorders>
            <w:vAlign w:val="center"/>
          </w:tcPr>
          <w:p w14:paraId="1B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1C020000">
            <w:pPr>
              <w:spacing w:after="0" w:line="240" w:lineRule="auto"/>
              <w:ind w:firstLine="0" w:left="-57" w:right="-57"/>
              <w:jc w:val="center"/>
              <w:rPr>
                <w:sz w:val="20"/>
              </w:rPr>
            </w:pPr>
            <w:r>
              <w:rPr>
                <w:sz w:val="20"/>
              </w:rPr>
              <w:t>19</w:t>
            </w:r>
          </w:p>
        </w:tc>
        <w:tc>
          <w:tcPr>
            <w:tcW w:type="dxa" w:w="7427"/>
            <w:tcBorders>
              <w:top w:sz="4" w:val="nil"/>
              <w:left w:color="000000" w:sz="4" w:val="single"/>
              <w:bottom w:color="000000" w:sz="4" w:val="single"/>
              <w:right w:color="000000" w:sz="4" w:val="single"/>
            </w:tcBorders>
            <w:vAlign w:val="center"/>
          </w:tcPr>
          <w:p w14:paraId="1D020000">
            <w:pPr>
              <w:ind/>
              <w:jc w:val="center"/>
              <w:rPr>
                <w:sz w:val="20"/>
              </w:rPr>
            </w:pPr>
            <w:r>
              <w:rPr>
                <w:sz w:val="20"/>
              </w:rPr>
              <w:t>с. Куйбышево, ул. Миусская, 3</w:t>
            </w:r>
          </w:p>
        </w:tc>
        <w:tc>
          <w:tcPr>
            <w:tcW w:type="dxa" w:w="1682"/>
            <w:tcBorders>
              <w:top w:color="000000" w:sz="4" w:val="single"/>
              <w:left w:color="000000" w:sz="4" w:val="single"/>
              <w:bottom w:color="000000" w:sz="4" w:val="single"/>
              <w:right w:color="000000" w:sz="4" w:val="single"/>
            </w:tcBorders>
            <w:vAlign w:val="center"/>
          </w:tcPr>
          <w:p w14:paraId="1E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1F020000">
            <w:pPr>
              <w:spacing w:after="0" w:line="240" w:lineRule="auto"/>
              <w:ind w:firstLine="0" w:left="-57" w:right="-57"/>
              <w:jc w:val="center"/>
              <w:rPr>
                <w:sz w:val="20"/>
              </w:rPr>
            </w:pPr>
            <w:r>
              <w:rPr>
                <w:sz w:val="20"/>
              </w:rPr>
              <w:t>20</w:t>
            </w:r>
          </w:p>
        </w:tc>
        <w:tc>
          <w:tcPr>
            <w:tcW w:type="dxa" w:w="7427"/>
            <w:tcBorders>
              <w:top w:sz="4" w:val="nil"/>
              <w:left w:color="000000" w:sz="4" w:val="single"/>
              <w:bottom w:color="000000" w:sz="4" w:val="single"/>
              <w:right w:color="000000" w:sz="4" w:val="single"/>
            </w:tcBorders>
            <w:vAlign w:val="center"/>
          </w:tcPr>
          <w:p w14:paraId="20020000">
            <w:pPr>
              <w:ind/>
              <w:jc w:val="center"/>
              <w:rPr>
                <w:sz w:val="20"/>
              </w:rPr>
            </w:pPr>
            <w:r>
              <w:rPr>
                <w:sz w:val="20"/>
              </w:rPr>
              <w:t>с. Куйбышево, ул. Миусская, 3</w:t>
            </w:r>
          </w:p>
        </w:tc>
        <w:tc>
          <w:tcPr>
            <w:tcW w:type="dxa" w:w="1682"/>
            <w:tcBorders>
              <w:top w:color="000000" w:sz="4" w:val="single"/>
              <w:left w:color="000000" w:sz="4" w:val="single"/>
              <w:bottom w:color="000000" w:sz="4" w:val="single"/>
              <w:right w:color="000000" w:sz="4" w:val="single"/>
            </w:tcBorders>
            <w:vAlign w:val="center"/>
          </w:tcPr>
          <w:p w14:paraId="21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22020000">
            <w:pPr>
              <w:spacing w:after="0" w:line="240" w:lineRule="auto"/>
              <w:ind w:firstLine="0" w:left="-57" w:right="-57"/>
              <w:jc w:val="center"/>
              <w:rPr>
                <w:sz w:val="20"/>
              </w:rPr>
            </w:pPr>
            <w:r>
              <w:rPr>
                <w:sz w:val="20"/>
              </w:rPr>
              <w:t>21</w:t>
            </w:r>
          </w:p>
        </w:tc>
        <w:tc>
          <w:tcPr>
            <w:tcW w:type="dxa" w:w="7427"/>
            <w:tcBorders>
              <w:top w:sz="4" w:val="nil"/>
              <w:left w:color="000000" w:sz="4" w:val="single"/>
              <w:bottom w:color="000000" w:sz="4" w:val="single"/>
              <w:right w:color="000000" w:sz="4" w:val="single"/>
            </w:tcBorders>
            <w:vAlign w:val="center"/>
          </w:tcPr>
          <w:p w14:paraId="23020000">
            <w:pPr>
              <w:ind/>
              <w:jc w:val="center"/>
              <w:rPr>
                <w:sz w:val="20"/>
              </w:rPr>
            </w:pPr>
            <w:r>
              <w:rPr>
                <w:sz w:val="20"/>
              </w:rPr>
              <w:t>с. Куйбышево, ул. Миусская, 3</w:t>
            </w:r>
          </w:p>
        </w:tc>
        <w:tc>
          <w:tcPr>
            <w:tcW w:type="dxa" w:w="1682"/>
            <w:tcBorders>
              <w:top w:color="000000" w:sz="4" w:val="single"/>
              <w:left w:color="000000" w:sz="4" w:val="single"/>
              <w:bottom w:color="000000" w:sz="4" w:val="single"/>
              <w:right w:color="000000" w:sz="4" w:val="single"/>
            </w:tcBorders>
            <w:vAlign w:val="center"/>
          </w:tcPr>
          <w:p w14:paraId="24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25020000">
            <w:pPr>
              <w:spacing w:after="0" w:line="240" w:lineRule="auto"/>
              <w:ind w:firstLine="0" w:left="-57" w:right="-57"/>
              <w:jc w:val="center"/>
              <w:rPr>
                <w:sz w:val="20"/>
              </w:rPr>
            </w:pPr>
            <w:r>
              <w:rPr>
                <w:sz w:val="20"/>
              </w:rPr>
              <w:t>22</w:t>
            </w:r>
          </w:p>
        </w:tc>
        <w:tc>
          <w:tcPr>
            <w:tcW w:type="dxa" w:w="7427"/>
            <w:tcBorders>
              <w:top w:sz="4" w:val="nil"/>
              <w:left w:color="000000" w:sz="4" w:val="single"/>
              <w:bottom w:color="000000" w:sz="4" w:val="single"/>
              <w:right w:color="000000" w:sz="4" w:val="single"/>
            </w:tcBorders>
            <w:vAlign w:val="center"/>
          </w:tcPr>
          <w:p w14:paraId="26020000">
            <w:pPr>
              <w:ind/>
              <w:jc w:val="center"/>
              <w:rPr>
                <w:sz w:val="20"/>
              </w:rPr>
            </w:pPr>
            <w:r>
              <w:rPr>
                <w:sz w:val="20"/>
              </w:rPr>
              <w:t>с. Куйбышево, ул. Миусская, 3</w:t>
            </w:r>
          </w:p>
        </w:tc>
        <w:tc>
          <w:tcPr>
            <w:tcW w:type="dxa" w:w="1682"/>
            <w:tcBorders>
              <w:top w:color="000000" w:sz="4" w:val="single"/>
              <w:left w:color="000000" w:sz="4" w:val="single"/>
              <w:bottom w:color="000000" w:sz="4" w:val="single"/>
              <w:right w:color="000000" w:sz="4" w:val="single"/>
            </w:tcBorders>
            <w:vAlign w:val="center"/>
          </w:tcPr>
          <w:p w14:paraId="27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28020000">
            <w:pPr>
              <w:spacing w:after="0" w:line="240" w:lineRule="auto"/>
              <w:ind w:firstLine="0" w:left="-57" w:right="-57"/>
              <w:jc w:val="center"/>
              <w:rPr>
                <w:sz w:val="20"/>
              </w:rPr>
            </w:pPr>
            <w:r>
              <w:rPr>
                <w:sz w:val="20"/>
              </w:rPr>
              <w:t>23</w:t>
            </w:r>
          </w:p>
        </w:tc>
        <w:tc>
          <w:tcPr>
            <w:tcW w:type="dxa" w:w="7427"/>
            <w:tcBorders>
              <w:top w:sz="4" w:val="nil"/>
              <w:left w:color="000000" w:sz="4" w:val="single"/>
              <w:bottom w:color="000000" w:sz="4" w:val="single"/>
              <w:right w:color="000000" w:sz="4" w:val="single"/>
            </w:tcBorders>
            <w:vAlign w:val="center"/>
          </w:tcPr>
          <w:p w14:paraId="29020000">
            <w:pPr>
              <w:ind/>
              <w:jc w:val="center"/>
              <w:rPr>
                <w:sz w:val="20"/>
              </w:rPr>
            </w:pPr>
            <w:r>
              <w:rPr>
                <w:sz w:val="20"/>
              </w:rPr>
              <w:t>с. Куйбышево, ул. Миусская, 3</w:t>
            </w:r>
          </w:p>
        </w:tc>
        <w:tc>
          <w:tcPr>
            <w:tcW w:type="dxa" w:w="1682"/>
            <w:tcBorders>
              <w:top w:color="000000" w:sz="4" w:val="single"/>
              <w:left w:color="000000" w:sz="4" w:val="single"/>
              <w:bottom w:color="000000" w:sz="4" w:val="single"/>
              <w:right w:color="000000" w:sz="4" w:val="single"/>
            </w:tcBorders>
            <w:vAlign w:val="center"/>
          </w:tcPr>
          <w:p w14:paraId="2A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2B020000">
            <w:pPr>
              <w:spacing w:after="0" w:line="240" w:lineRule="auto"/>
              <w:ind w:firstLine="0" w:left="-57" w:right="-57"/>
              <w:jc w:val="center"/>
              <w:rPr>
                <w:sz w:val="20"/>
              </w:rPr>
            </w:pPr>
            <w:r>
              <w:rPr>
                <w:sz w:val="20"/>
              </w:rPr>
              <w:t>24</w:t>
            </w:r>
          </w:p>
        </w:tc>
        <w:tc>
          <w:tcPr>
            <w:tcW w:type="dxa" w:w="7427"/>
            <w:tcBorders>
              <w:top w:sz="4" w:val="nil"/>
              <w:left w:color="000000" w:sz="4" w:val="single"/>
              <w:bottom w:color="000000" w:sz="4" w:val="single"/>
              <w:right w:color="000000" w:sz="4" w:val="single"/>
            </w:tcBorders>
            <w:vAlign w:val="center"/>
          </w:tcPr>
          <w:p w14:paraId="2C020000">
            <w:pPr>
              <w:ind/>
              <w:jc w:val="center"/>
              <w:rPr>
                <w:sz w:val="20"/>
              </w:rPr>
            </w:pPr>
            <w:r>
              <w:rPr>
                <w:sz w:val="20"/>
              </w:rPr>
              <w:t>с. Куйбышево, ул. Миусская, 3</w:t>
            </w:r>
          </w:p>
        </w:tc>
        <w:tc>
          <w:tcPr>
            <w:tcW w:type="dxa" w:w="1682"/>
            <w:tcBorders>
              <w:top w:color="000000" w:sz="4" w:val="single"/>
              <w:left w:color="000000" w:sz="4" w:val="single"/>
              <w:bottom w:color="000000" w:sz="4" w:val="single"/>
              <w:right w:color="000000" w:sz="4" w:val="single"/>
            </w:tcBorders>
            <w:vAlign w:val="center"/>
          </w:tcPr>
          <w:p w14:paraId="2D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2E020000">
            <w:pPr>
              <w:spacing w:after="0" w:line="240" w:lineRule="auto"/>
              <w:ind w:firstLine="0" w:left="-57" w:right="-57"/>
              <w:jc w:val="center"/>
              <w:rPr>
                <w:sz w:val="20"/>
              </w:rPr>
            </w:pPr>
            <w:r>
              <w:rPr>
                <w:sz w:val="20"/>
              </w:rPr>
              <w:t>25</w:t>
            </w:r>
          </w:p>
        </w:tc>
        <w:tc>
          <w:tcPr>
            <w:tcW w:type="dxa" w:w="7427"/>
            <w:tcBorders>
              <w:top w:sz="4" w:val="nil"/>
              <w:left w:color="000000" w:sz="4" w:val="single"/>
              <w:bottom w:color="000000" w:sz="4" w:val="single"/>
              <w:right w:color="000000" w:sz="4" w:val="single"/>
            </w:tcBorders>
            <w:vAlign w:val="center"/>
          </w:tcPr>
          <w:p w14:paraId="2F020000">
            <w:pPr>
              <w:ind/>
              <w:jc w:val="center"/>
              <w:rPr>
                <w:sz w:val="20"/>
              </w:rPr>
            </w:pPr>
            <w:r>
              <w:rPr>
                <w:sz w:val="20"/>
              </w:rPr>
              <w:t>с. Куйбышево, ул. Миусская, 3</w:t>
            </w:r>
          </w:p>
        </w:tc>
        <w:tc>
          <w:tcPr>
            <w:tcW w:type="dxa" w:w="1682"/>
            <w:tcBorders>
              <w:top w:color="000000" w:sz="4" w:val="single"/>
              <w:left w:color="000000" w:sz="4" w:val="single"/>
              <w:bottom w:color="000000" w:sz="4" w:val="single"/>
              <w:right w:color="000000" w:sz="4" w:val="single"/>
            </w:tcBorders>
            <w:vAlign w:val="center"/>
          </w:tcPr>
          <w:p w14:paraId="30020000">
            <w:pPr>
              <w:spacing w:after="0" w:line="240" w:lineRule="auto"/>
              <w:ind w:firstLine="0" w:left="-57" w:right="-57"/>
              <w:jc w:val="center"/>
              <w:rPr>
                <w:sz w:val="20"/>
              </w:rPr>
            </w:pPr>
            <w:r>
              <w:rPr>
                <w:sz w:val="20"/>
              </w:rPr>
              <w:t>&lt;50</w:t>
            </w:r>
          </w:p>
        </w:tc>
      </w:tr>
      <w:tr>
        <w:trPr>
          <w:trHeight w:hRule="atLeast" w:val="236"/>
        </w:trPr>
        <w:tc>
          <w:tcPr>
            <w:tcW w:type="dxa" w:w="421"/>
            <w:tcBorders>
              <w:top w:color="000000" w:sz="4" w:val="single"/>
              <w:left w:color="000000" w:sz="4" w:val="single"/>
              <w:bottom w:color="000000" w:sz="4" w:val="single"/>
              <w:right w:color="000000" w:sz="4" w:val="single"/>
            </w:tcBorders>
            <w:vAlign w:val="center"/>
          </w:tcPr>
          <w:p w14:paraId="31020000">
            <w:pPr>
              <w:spacing w:after="0" w:line="240" w:lineRule="auto"/>
              <w:ind w:firstLine="0" w:left="-57" w:right="-57"/>
              <w:jc w:val="center"/>
              <w:rPr>
                <w:sz w:val="20"/>
              </w:rPr>
            </w:pPr>
            <w:r>
              <w:rPr>
                <w:sz w:val="20"/>
              </w:rPr>
              <w:t>26</w:t>
            </w:r>
          </w:p>
        </w:tc>
        <w:tc>
          <w:tcPr>
            <w:tcW w:type="dxa" w:w="7427"/>
            <w:tcBorders>
              <w:top w:sz="4" w:val="nil"/>
              <w:left w:color="000000" w:sz="4" w:val="single"/>
              <w:bottom w:color="000000" w:sz="4" w:val="single"/>
              <w:right w:color="000000" w:sz="4" w:val="single"/>
            </w:tcBorders>
            <w:vAlign w:val="center"/>
          </w:tcPr>
          <w:p w14:paraId="32020000">
            <w:pPr>
              <w:ind/>
              <w:jc w:val="center"/>
              <w:rPr>
                <w:sz w:val="20"/>
              </w:rPr>
            </w:pPr>
            <w:r>
              <w:rPr>
                <w:sz w:val="20"/>
              </w:rPr>
              <w:t>с. Куйбышево, ул. Миусская, 3</w:t>
            </w:r>
          </w:p>
        </w:tc>
        <w:tc>
          <w:tcPr>
            <w:tcW w:type="dxa" w:w="1682"/>
            <w:tcBorders>
              <w:top w:color="000000" w:sz="4" w:val="single"/>
              <w:left w:color="000000" w:sz="4" w:val="single"/>
              <w:bottom w:color="000000" w:sz="4" w:val="single"/>
              <w:right w:color="000000" w:sz="4" w:val="single"/>
            </w:tcBorders>
            <w:vAlign w:val="center"/>
          </w:tcPr>
          <w:p w14:paraId="33020000">
            <w:pPr>
              <w:spacing w:after="0" w:line="240" w:lineRule="auto"/>
              <w:ind w:firstLine="0" w:left="-57" w:right="-57"/>
              <w:jc w:val="center"/>
              <w:rPr>
                <w:sz w:val="20"/>
              </w:rPr>
            </w:pPr>
            <w:r>
              <w:rPr>
                <w:sz w:val="20"/>
              </w:rPr>
              <w:t>&lt;50</w:t>
            </w:r>
          </w:p>
        </w:tc>
      </w:tr>
    </w:tbl>
    <w:p w14:paraId="34020000">
      <w:pPr>
        <w:spacing w:before="200" w:line="240" w:lineRule="auto"/>
        <w:ind w:firstLine="709" w:left="0"/>
        <w:jc w:val="both"/>
        <w:rPr>
          <w:sz w:val="28"/>
        </w:rPr>
      </w:pPr>
      <w:r>
        <w:rPr>
          <w:sz w:val="28"/>
        </w:rPr>
        <w:t>Зоны действия котельных компактны и соответствуют эффективному радиусу действия источника теплоты. Вновь подключаемые объекты планируется подключать к новым блочно-модульным котельным на газовом топливе. Централизованное обеспечение тепловой энергии общест</w:t>
      </w:r>
      <w:r>
        <w:rPr>
          <w:sz w:val="28"/>
        </w:rPr>
        <w:t>венной застройки будет осуществляться раздельно, от отдельных точечных источников. Поэтому зоны действия существующих котельных не изменят своей конфигурации в перспективе. Графическое представление существующих и перспективных зон действия источников тепл</w:t>
      </w:r>
      <w:r>
        <w:rPr>
          <w:sz w:val="28"/>
        </w:rPr>
        <w:t xml:space="preserve">овой энергии территориального планирования приведено в графическом приложении к схеме теплоснабжения. </w:t>
      </w:r>
    </w:p>
    <w:p w14:paraId="35020000">
      <w:pPr>
        <w:spacing w:line="20" w:lineRule="atLeast"/>
        <w:ind w:firstLine="709" w:left="0"/>
        <w:jc w:val="both"/>
        <w:rPr>
          <w:b w:val="1"/>
          <w:sz w:val="28"/>
        </w:rPr>
      </w:pPr>
      <w:r>
        <w:rPr>
          <w:b w:val="1"/>
          <w:sz w:val="28"/>
        </w:rPr>
        <w:t>2.2 Описание существующих и перспективных зон действия индивидуальных источников тепловой энергии</w:t>
      </w:r>
    </w:p>
    <w:p w14:paraId="36020000">
      <w:pPr>
        <w:spacing w:after="0" w:line="20" w:lineRule="atLeast"/>
        <w:ind w:firstLine="709" w:left="0"/>
        <w:jc w:val="both"/>
        <w:rPr>
          <w:sz w:val="28"/>
        </w:rPr>
      </w:pPr>
      <w:r>
        <w:rPr>
          <w:sz w:val="28"/>
        </w:rPr>
        <w:t xml:space="preserve">В жилой застройке отопление индивидуальных жилых домов </w:t>
      </w:r>
      <w:r>
        <w:rPr>
          <w:sz w:val="28"/>
        </w:rPr>
        <w:t xml:space="preserve">и многоквартирных жилых домов блокированной застройки, принято от газовых котлов, устанавливаемых непосредственно в каждом доме. </w:t>
      </w:r>
    </w:p>
    <w:p w14:paraId="37020000">
      <w:pPr>
        <w:spacing w:line="20" w:lineRule="atLeast"/>
        <w:ind w:firstLine="709" w:left="0"/>
        <w:jc w:val="both"/>
        <w:rPr>
          <w:sz w:val="28"/>
        </w:rPr>
      </w:pPr>
      <w:r>
        <w:rPr>
          <w:sz w:val="28"/>
        </w:rPr>
        <w:t>В зоне расположения объектов социального и общественного значения находятся стационарные котельные на газовом топливе, которые</w:t>
      </w:r>
      <w:r>
        <w:rPr>
          <w:sz w:val="28"/>
        </w:rPr>
        <w:t xml:space="preserve"> отапливают указанные объекты, и являются для них индивидуальными источниками тепловой энергии. К ним относятся следующие котельные по адресу: с. Русское, ул. Красноармейская,8-а, с. Русское, ул. Героя Советского Союза М. П. Алексеева, 8, с. Куйбышево, ул.</w:t>
      </w:r>
      <w:r>
        <w:rPr>
          <w:sz w:val="28"/>
        </w:rPr>
        <w:t xml:space="preserve"> Театральная, 66, с. Куйбышево, ул. Пролетарская, 2 а, с. Куйбышево, ул. Кузьменко, 3 а, х. Свободный, ул. Молодёжная, 8, х. Ольховский, ул. Центральная, 3 а, с. Куйбышево, ул. Пролетарская, 5, с. Куйбышево, ул. Театральная, 22, х. Свободный, ул. Победы, 2</w:t>
      </w:r>
      <w:r>
        <w:rPr>
          <w:sz w:val="28"/>
        </w:rPr>
        <w:t xml:space="preserve">9, х. Новобахмутский, ул. Широкая, 89 а, с. Русское, ул. Красноармейская, 1, с. Куйбышево, ул. Цветаева, 31, с. Куйбышево, ул. Куйбышевская, 24, с. Куйбышево, ул. Куйбышевская, 20, с. Куйбышево, ул. Миусская, 3.  </w:t>
      </w:r>
    </w:p>
    <w:p w14:paraId="38020000">
      <w:pPr>
        <w:spacing w:line="20" w:lineRule="atLeast"/>
        <w:ind w:firstLine="709" w:left="0"/>
        <w:jc w:val="both"/>
        <w:rPr>
          <w:b w:val="1"/>
          <w:sz w:val="28"/>
        </w:rPr>
      </w:pPr>
      <w:r>
        <w:rPr>
          <w:b w:val="1"/>
          <w:sz w:val="28"/>
        </w:rPr>
        <w:t>2.3 Существующие и перспективные балансы т</w:t>
      </w:r>
      <w:r>
        <w:rPr>
          <w:b w:val="1"/>
          <w:sz w:val="28"/>
        </w:rPr>
        <w:t xml:space="preserve">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w:t>
      </w:r>
    </w:p>
    <w:p w14:paraId="39020000">
      <w:pPr>
        <w:pStyle w:val="Style_5"/>
        <w:widowControl w:val="1"/>
        <w:spacing w:after="200"/>
        <w:ind w:firstLine="0" w:left="0"/>
        <w:jc w:val="both"/>
        <w:rPr>
          <w:rFonts w:ascii="Times New Roman" w:hAnsi="Times New Roman"/>
          <w:sz w:val="28"/>
        </w:rPr>
      </w:pPr>
      <w:r>
        <w:rPr>
          <w:rFonts w:ascii="Times New Roman" w:hAnsi="Times New Roman"/>
          <w:sz w:val="28"/>
        </w:rPr>
        <w:t>Таблица 5 Перспективные балансы тепловой мощности и тепловой нагрузки в перспективных зонах дей</w:t>
      </w:r>
      <w:r>
        <w:rPr>
          <w:rFonts w:ascii="Times New Roman" w:hAnsi="Times New Roman"/>
          <w:sz w:val="28"/>
        </w:rPr>
        <w:t>ствия источника тепловой энергии</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03"/>
        <w:gridCol w:w="1541"/>
        <w:gridCol w:w="1541"/>
        <w:gridCol w:w="1262"/>
        <w:gridCol w:w="1541"/>
        <w:gridCol w:w="1541"/>
      </w:tblGrid>
      <w:tr>
        <w:trPr>
          <w:trHeight w:hRule="atLeast" w:val="1267"/>
        </w:trPr>
        <w:tc>
          <w:tcPr>
            <w:tcW w:type="dxa" w:w="2103"/>
            <w:tcBorders>
              <w:top w:color="000000" w:sz="4" w:val="single"/>
              <w:left w:color="000000" w:sz="4" w:val="single"/>
              <w:bottom w:color="000000" w:sz="4" w:val="single"/>
              <w:right w:color="000000" w:sz="4" w:val="single"/>
            </w:tcBorders>
            <w:vAlign w:val="center"/>
          </w:tcPr>
          <w:p w14:paraId="3A020000">
            <w:pPr>
              <w:ind/>
              <w:jc w:val="center"/>
              <w:rPr>
                <w:sz w:val="20"/>
              </w:rPr>
            </w:pPr>
            <w:r>
              <w:rPr>
                <w:sz w:val="20"/>
              </w:rPr>
              <w:t>Адрес котельной</w:t>
            </w:r>
          </w:p>
        </w:tc>
        <w:tc>
          <w:tcPr>
            <w:tcW w:type="dxa" w:w="1541"/>
            <w:tcBorders>
              <w:top w:color="000000" w:sz="4" w:val="single"/>
              <w:left w:color="000000" w:sz="4" w:val="single"/>
              <w:bottom w:color="000000" w:sz="4" w:val="single"/>
              <w:right w:color="000000" w:sz="4" w:val="single"/>
            </w:tcBorders>
            <w:vAlign w:val="center"/>
          </w:tcPr>
          <w:p w14:paraId="3B020000">
            <w:pPr>
              <w:ind/>
              <w:jc w:val="center"/>
              <w:rPr>
                <w:sz w:val="20"/>
              </w:rPr>
            </w:pPr>
            <w:r>
              <w:rPr>
                <w:sz w:val="20"/>
              </w:rPr>
              <w:t>Существующая  мощность источника, Гкал/час</w:t>
            </w:r>
          </w:p>
        </w:tc>
        <w:tc>
          <w:tcPr>
            <w:tcW w:type="dxa" w:w="1541"/>
            <w:tcBorders>
              <w:top w:color="000000" w:sz="4" w:val="single"/>
              <w:left w:color="000000" w:sz="4" w:val="single"/>
              <w:bottom w:color="000000" w:sz="4" w:val="single"/>
              <w:right w:color="000000" w:sz="4" w:val="single"/>
            </w:tcBorders>
          </w:tcPr>
          <w:p w14:paraId="3C020000">
            <w:pPr>
              <w:ind/>
              <w:jc w:val="center"/>
              <w:rPr>
                <w:sz w:val="20"/>
              </w:rPr>
            </w:pPr>
            <w:r>
              <w:rPr>
                <w:sz w:val="20"/>
              </w:rPr>
              <w:t>Тепловая нагрузка на горячее водоснабжения Гкал/ч</w:t>
            </w:r>
          </w:p>
        </w:tc>
        <w:tc>
          <w:tcPr>
            <w:tcW w:type="dxa" w:w="1262"/>
            <w:tcBorders>
              <w:top w:color="000000" w:sz="4" w:val="single"/>
              <w:left w:color="000000" w:sz="4" w:val="single"/>
              <w:bottom w:color="000000" w:sz="4" w:val="single"/>
              <w:right w:color="000000" w:sz="4" w:val="single"/>
            </w:tcBorders>
            <w:vAlign w:val="center"/>
          </w:tcPr>
          <w:p w14:paraId="3D020000">
            <w:pPr>
              <w:ind/>
              <w:jc w:val="center"/>
              <w:rPr>
                <w:sz w:val="20"/>
              </w:rPr>
            </w:pPr>
            <w:r>
              <w:rPr>
                <w:sz w:val="20"/>
              </w:rPr>
              <w:t>Тепловая нагрузка на отопление, Гкал/час</w:t>
            </w:r>
          </w:p>
        </w:tc>
        <w:tc>
          <w:tcPr>
            <w:tcW w:type="dxa" w:w="1541"/>
            <w:tcBorders>
              <w:top w:color="000000" w:sz="4" w:val="single"/>
              <w:left w:color="000000" w:sz="4" w:val="single"/>
              <w:bottom w:color="000000" w:sz="4" w:val="single"/>
              <w:right w:color="000000" w:sz="4" w:val="single"/>
            </w:tcBorders>
            <w:vAlign w:val="center"/>
          </w:tcPr>
          <w:p w14:paraId="3E020000">
            <w:pPr>
              <w:ind/>
              <w:jc w:val="center"/>
              <w:rPr>
                <w:sz w:val="20"/>
              </w:rPr>
            </w:pPr>
            <w:r>
              <w:rPr>
                <w:sz w:val="20"/>
              </w:rPr>
              <w:t>Перспективная мощность источника, Гкал/час</w:t>
            </w:r>
          </w:p>
        </w:tc>
        <w:tc>
          <w:tcPr>
            <w:tcW w:type="dxa" w:w="1541"/>
            <w:tcBorders>
              <w:top w:color="000000" w:sz="4" w:val="single"/>
              <w:left w:color="000000" w:sz="4" w:val="single"/>
              <w:bottom w:color="000000" w:sz="4" w:val="single"/>
              <w:right w:color="000000" w:sz="4" w:val="single"/>
            </w:tcBorders>
            <w:vAlign w:val="center"/>
          </w:tcPr>
          <w:p w14:paraId="3F020000">
            <w:pPr>
              <w:ind/>
              <w:jc w:val="center"/>
              <w:rPr>
                <w:sz w:val="20"/>
              </w:rPr>
            </w:pPr>
            <w:r>
              <w:rPr>
                <w:sz w:val="20"/>
              </w:rPr>
              <w:t xml:space="preserve">Перспективная тепловая </w:t>
            </w:r>
            <w:r>
              <w:rPr>
                <w:sz w:val="20"/>
              </w:rPr>
              <w:t>нагрузка, Гкал/ч</w:t>
            </w:r>
          </w:p>
        </w:tc>
      </w:tr>
      <w:tr>
        <w:tc>
          <w:tcPr>
            <w:tcW w:type="dxa" w:w="2103"/>
            <w:tcBorders>
              <w:top w:color="000000" w:sz="4" w:val="single"/>
              <w:left w:color="000000" w:sz="4" w:val="single"/>
              <w:bottom w:color="000000" w:sz="4" w:val="single"/>
              <w:right w:color="000000" w:sz="4" w:val="single"/>
            </w:tcBorders>
            <w:vAlign w:val="center"/>
          </w:tcPr>
          <w:p w14:paraId="40020000">
            <w:pPr>
              <w:ind/>
              <w:jc w:val="center"/>
              <w:rPr>
                <w:sz w:val="20"/>
              </w:rPr>
            </w:pPr>
            <w:r>
              <w:rPr>
                <w:sz w:val="20"/>
              </w:rPr>
              <w:t>с. Куйбышево, ул. Пролетарская, 7</w:t>
            </w:r>
          </w:p>
        </w:tc>
        <w:tc>
          <w:tcPr>
            <w:tcW w:type="dxa" w:w="1541"/>
            <w:tcBorders>
              <w:top w:color="000000" w:sz="4" w:val="single"/>
              <w:left w:color="000000" w:sz="4" w:val="single"/>
              <w:bottom w:color="000000" w:sz="4" w:val="single"/>
              <w:right w:color="000000" w:sz="4" w:val="single"/>
            </w:tcBorders>
            <w:vAlign w:val="center"/>
          </w:tcPr>
          <w:p w14:paraId="41020000">
            <w:pPr>
              <w:ind/>
              <w:jc w:val="center"/>
              <w:rPr>
                <w:sz w:val="20"/>
              </w:rPr>
            </w:pPr>
            <w:r>
              <w:rPr>
                <w:sz w:val="20"/>
              </w:rPr>
              <w:t>3,44</w:t>
            </w:r>
          </w:p>
        </w:tc>
        <w:tc>
          <w:tcPr>
            <w:tcW w:type="dxa" w:w="1541"/>
            <w:tcBorders>
              <w:top w:color="000000" w:sz="4" w:val="single"/>
              <w:left w:color="000000" w:sz="4" w:val="single"/>
              <w:bottom w:color="000000" w:sz="4" w:val="single"/>
              <w:right w:color="000000" w:sz="4" w:val="single"/>
            </w:tcBorders>
            <w:vAlign w:val="center"/>
          </w:tcPr>
          <w:p w14:paraId="42020000">
            <w:pPr>
              <w:widowControl w:val="0"/>
              <w:spacing w:after="0" w:line="240" w:lineRule="auto"/>
              <w:ind/>
              <w:jc w:val="center"/>
              <w:rPr>
                <w:sz w:val="20"/>
              </w:rPr>
            </w:pPr>
            <w:r>
              <w:rPr>
                <w:sz w:val="20"/>
              </w:rPr>
              <w:t>-</w:t>
            </w:r>
          </w:p>
        </w:tc>
        <w:tc>
          <w:tcPr>
            <w:tcW w:type="dxa" w:w="1262"/>
            <w:tcBorders>
              <w:top w:color="000000" w:sz="4" w:val="single"/>
              <w:left w:color="000000" w:sz="4" w:val="single"/>
              <w:bottom w:color="000000" w:sz="4" w:val="single"/>
              <w:right w:color="000000" w:sz="4" w:val="single"/>
            </w:tcBorders>
            <w:vAlign w:val="center"/>
          </w:tcPr>
          <w:p w14:paraId="43020000">
            <w:pPr>
              <w:widowControl w:val="0"/>
              <w:spacing w:after="0" w:line="240" w:lineRule="auto"/>
              <w:ind/>
              <w:jc w:val="center"/>
              <w:rPr>
                <w:sz w:val="20"/>
              </w:rPr>
            </w:pPr>
            <w:r>
              <w:rPr>
                <w:sz w:val="20"/>
              </w:rPr>
              <w:t>0,818</w:t>
            </w:r>
          </w:p>
        </w:tc>
        <w:tc>
          <w:tcPr>
            <w:tcW w:type="dxa" w:w="1541"/>
            <w:tcBorders>
              <w:top w:color="000000" w:sz="4" w:val="single"/>
              <w:left w:color="000000" w:sz="4" w:val="single"/>
              <w:bottom w:color="000000" w:sz="4" w:val="single"/>
              <w:right w:color="000000" w:sz="4" w:val="single"/>
            </w:tcBorders>
            <w:vAlign w:val="center"/>
          </w:tcPr>
          <w:p w14:paraId="44020000">
            <w:pPr>
              <w:ind/>
              <w:jc w:val="center"/>
              <w:rPr>
                <w:sz w:val="20"/>
              </w:rPr>
            </w:pPr>
            <w:r>
              <w:rPr>
                <w:sz w:val="20"/>
              </w:rPr>
              <w:t>1,032</w:t>
            </w:r>
          </w:p>
        </w:tc>
        <w:tc>
          <w:tcPr>
            <w:tcW w:type="dxa" w:w="1541"/>
            <w:tcBorders>
              <w:top w:color="000000" w:sz="4" w:val="single"/>
              <w:left w:color="000000" w:sz="4" w:val="single"/>
              <w:bottom w:color="000000" w:sz="4" w:val="single"/>
              <w:right w:color="000000" w:sz="4" w:val="single"/>
            </w:tcBorders>
            <w:vAlign w:val="center"/>
          </w:tcPr>
          <w:p w14:paraId="45020000">
            <w:pPr>
              <w:ind/>
              <w:jc w:val="center"/>
              <w:rPr>
                <w:sz w:val="20"/>
              </w:rPr>
            </w:pPr>
            <w:r>
              <w:rPr>
                <w:sz w:val="20"/>
              </w:rPr>
              <w:t>0,818</w:t>
            </w:r>
          </w:p>
        </w:tc>
      </w:tr>
      <w:tr>
        <w:tc>
          <w:tcPr>
            <w:tcW w:type="dxa" w:w="2103"/>
            <w:tcBorders>
              <w:top w:sz="4" w:val="nil"/>
              <w:left w:color="000000" w:sz="4" w:val="single"/>
              <w:bottom w:color="000000" w:sz="4" w:val="single"/>
              <w:right w:color="000000" w:sz="4" w:val="single"/>
            </w:tcBorders>
            <w:vAlign w:val="center"/>
          </w:tcPr>
          <w:p w14:paraId="46020000">
            <w:pPr>
              <w:ind/>
              <w:jc w:val="center"/>
              <w:rPr>
                <w:sz w:val="20"/>
              </w:rPr>
            </w:pPr>
            <w:r>
              <w:rPr>
                <w:sz w:val="20"/>
              </w:rPr>
              <w:t>с. Русское, ул. Красноармейская,8-а</w:t>
            </w:r>
          </w:p>
        </w:tc>
        <w:tc>
          <w:tcPr>
            <w:tcW w:type="dxa" w:w="1541"/>
            <w:tcBorders>
              <w:top w:color="000000" w:sz="4" w:val="single"/>
              <w:left w:color="000000" w:sz="4" w:val="single"/>
              <w:bottom w:color="000000" w:sz="4" w:val="single"/>
              <w:right w:color="000000" w:sz="4" w:val="single"/>
            </w:tcBorders>
            <w:vAlign w:val="center"/>
          </w:tcPr>
          <w:p w14:paraId="47020000">
            <w:pPr>
              <w:ind/>
              <w:jc w:val="center"/>
              <w:rPr>
                <w:sz w:val="20"/>
              </w:rPr>
            </w:pPr>
            <w:r>
              <w:rPr>
                <w:sz w:val="20"/>
              </w:rPr>
              <w:t>0,165</w:t>
            </w:r>
          </w:p>
        </w:tc>
        <w:tc>
          <w:tcPr>
            <w:tcW w:type="dxa" w:w="1541"/>
            <w:tcBorders>
              <w:top w:color="000000" w:sz="4" w:val="single"/>
              <w:left w:color="000000" w:sz="4" w:val="single"/>
              <w:bottom w:color="000000" w:sz="4" w:val="single"/>
              <w:right w:color="000000" w:sz="4" w:val="single"/>
            </w:tcBorders>
            <w:vAlign w:val="center"/>
          </w:tcPr>
          <w:p w14:paraId="48020000">
            <w:pPr>
              <w:widowControl w:val="0"/>
              <w:spacing w:after="0" w:line="240" w:lineRule="auto"/>
              <w:ind/>
              <w:jc w:val="center"/>
              <w:rPr>
                <w:sz w:val="20"/>
              </w:rPr>
            </w:pPr>
            <w:r>
              <w:rPr>
                <w:sz w:val="20"/>
              </w:rPr>
              <w:t>-</w:t>
            </w:r>
          </w:p>
        </w:tc>
        <w:tc>
          <w:tcPr>
            <w:tcW w:type="dxa" w:w="1262"/>
            <w:tcBorders>
              <w:top w:color="000000" w:sz="4" w:val="single"/>
              <w:left w:color="000000" w:sz="4" w:val="single"/>
              <w:bottom w:color="000000" w:sz="4" w:val="single"/>
              <w:right w:color="000000" w:sz="4" w:val="single"/>
            </w:tcBorders>
            <w:vAlign w:val="center"/>
          </w:tcPr>
          <w:p w14:paraId="49020000">
            <w:pPr>
              <w:widowControl w:val="0"/>
              <w:spacing w:after="0" w:line="240" w:lineRule="auto"/>
              <w:ind/>
              <w:jc w:val="center"/>
              <w:rPr>
                <w:sz w:val="20"/>
              </w:rPr>
            </w:pPr>
            <w:r>
              <w:rPr>
                <w:sz w:val="20"/>
              </w:rPr>
              <w:t>0,165</w:t>
            </w:r>
          </w:p>
        </w:tc>
        <w:tc>
          <w:tcPr>
            <w:tcW w:type="dxa" w:w="1541"/>
            <w:tcBorders>
              <w:top w:color="000000" w:sz="4" w:val="single"/>
              <w:left w:color="000000" w:sz="4" w:val="single"/>
              <w:bottom w:color="000000" w:sz="4" w:val="single"/>
              <w:right w:color="000000" w:sz="4" w:val="single"/>
            </w:tcBorders>
            <w:vAlign w:val="center"/>
          </w:tcPr>
          <w:p w14:paraId="4A020000">
            <w:pPr>
              <w:ind/>
              <w:jc w:val="center"/>
              <w:rPr>
                <w:sz w:val="20"/>
              </w:rPr>
            </w:pPr>
            <w:r>
              <w:rPr>
                <w:sz w:val="20"/>
              </w:rPr>
              <w:t>0,165</w:t>
            </w:r>
          </w:p>
        </w:tc>
        <w:tc>
          <w:tcPr>
            <w:tcW w:type="dxa" w:w="1541"/>
            <w:tcBorders>
              <w:top w:color="000000" w:sz="4" w:val="single"/>
              <w:left w:color="000000" w:sz="4" w:val="single"/>
              <w:bottom w:color="000000" w:sz="4" w:val="single"/>
              <w:right w:color="000000" w:sz="4" w:val="single"/>
            </w:tcBorders>
            <w:vAlign w:val="center"/>
          </w:tcPr>
          <w:p w14:paraId="4B020000">
            <w:pPr>
              <w:widowControl w:val="0"/>
              <w:spacing w:after="0" w:line="240" w:lineRule="auto"/>
              <w:ind/>
              <w:jc w:val="center"/>
              <w:rPr>
                <w:sz w:val="20"/>
              </w:rPr>
            </w:pPr>
            <w:r>
              <w:rPr>
                <w:sz w:val="20"/>
              </w:rPr>
              <w:t>0,165</w:t>
            </w:r>
          </w:p>
        </w:tc>
      </w:tr>
      <w:tr>
        <w:tc>
          <w:tcPr>
            <w:tcW w:type="dxa" w:w="2103"/>
            <w:tcBorders>
              <w:top w:sz="4" w:val="nil"/>
              <w:left w:color="000000" w:sz="4" w:val="single"/>
              <w:bottom w:color="000000" w:sz="4" w:val="single"/>
              <w:right w:color="000000" w:sz="4" w:val="single"/>
            </w:tcBorders>
            <w:vAlign w:val="center"/>
          </w:tcPr>
          <w:p w14:paraId="4C020000">
            <w:pPr>
              <w:ind/>
              <w:jc w:val="center"/>
              <w:rPr>
                <w:sz w:val="20"/>
              </w:rPr>
            </w:pPr>
            <w:r>
              <w:rPr>
                <w:sz w:val="20"/>
              </w:rPr>
              <w:t>с. Русское, ул. Героя Советского Союза М. П. Алексеева, 8</w:t>
            </w:r>
          </w:p>
        </w:tc>
        <w:tc>
          <w:tcPr>
            <w:tcW w:type="dxa" w:w="1541"/>
            <w:tcBorders>
              <w:top w:sz="4" w:val="nil"/>
              <w:left w:color="000000" w:sz="4" w:val="single"/>
              <w:bottom w:color="000000" w:sz="4" w:val="single"/>
              <w:right w:color="000000" w:sz="4" w:val="single"/>
            </w:tcBorders>
            <w:vAlign w:val="center"/>
          </w:tcPr>
          <w:p w14:paraId="4D020000">
            <w:pPr>
              <w:ind/>
              <w:jc w:val="center"/>
              <w:rPr>
                <w:sz w:val="20"/>
              </w:rPr>
            </w:pPr>
            <w:r>
              <w:rPr>
                <w:sz w:val="20"/>
              </w:rPr>
              <w:t>0,054</w:t>
            </w:r>
          </w:p>
        </w:tc>
        <w:tc>
          <w:tcPr>
            <w:tcW w:type="dxa" w:w="1541"/>
            <w:tcBorders>
              <w:top w:color="000000" w:sz="4" w:val="single"/>
              <w:left w:color="000000" w:sz="4" w:val="single"/>
              <w:bottom w:color="000000" w:sz="4" w:val="single"/>
              <w:right w:color="000000" w:sz="4" w:val="single"/>
            </w:tcBorders>
            <w:vAlign w:val="center"/>
          </w:tcPr>
          <w:p w14:paraId="4E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4F020000">
            <w:pPr>
              <w:ind/>
              <w:jc w:val="center"/>
              <w:rPr>
                <w:sz w:val="20"/>
              </w:rPr>
            </w:pPr>
            <w:r>
              <w:rPr>
                <w:sz w:val="20"/>
              </w:rPr>
              <w:t>0,029</w:t>
            </w:r>
          </w:p>
        </w:tc>
        <w:tc>
          <w:tcPr>
            <w:tcW w:type="dxa" w:w="1541"/>
            <w:tcBorders>
              <w:top w:sz="4" w:val="nil"/>
              <w:left w:color="000000" w:sz="4" w:val="single"/>
              <w:bottom w:color="000000" w:sz="4" w:val="single"/>
              <w:right w:color="000000" w:sz="4" w:val="single"/>
            </w:tcBorders>
            <w:vAlign w:val="center"/>
          </w:tcPr>
          <w:p w14:paraId="50020000">
            <w:pPr>
              <w:ind/>
              <w:jc w:val="center"/>
              <w:rPr>
                <w:sz w:val="20"/>
              </w:rPr>
            </w:pPr>
            <w:r>
              <w:rPr>
                <w:sz w:val="20"/>
              </w:rPr>
              <w:t>0,054</w:t>
            </w:r>
          </w:p>
        </w:tc>
        <w:tc>
          <w:tcPr>
            <w:tcW w:type="dxa" w:w="1541"/>
            <w:tcBorders>
              <w:top w:sz="4" w:val="nil"/>
              <w:left w:color="000000" w:sz="4" w:val="single"/>
              <w:bottom w:color="000000" w:sz="4" w:val="single"/>
              <w:right w:color="000000" w:sz="4" w:val="single"/>
            </w:tcBorders>
            <w:vAlign w:val="center"/>
          </w:tcPr>
          <w:p w14:paraId="51020000">
            <w:pPr>
              <w:ind/>
              <w:jc w:val="center"/>
              <w:rPr>
                <w:sz w:val="20"/>
              </w:rPr>
            </w:pPr>
            <w:r>
              <w:rPr>
                <w:sz w:val="20"/>
              </w:rPr>
              <w:t>0,029</w:t>
            </w:r>
          </w:p>
        </w:tc>
      </w:tr>
      <w:tr>
        <w:tc>
          <w:tcPr>
            <w:tcW w:type="dxa" w:w="2103"/>
            <w:tcBorders>
              <w:top w:sz="4" w:val="nil"/>
              <w:left w:color="000000" w:sz="4" w:val="single"/>
              <w:bottom w:color="000000" w:sz="4" w:val="single"/>
              <w:right w:color="000000" w:sz="4" w:val="single"/>
            </w:tcBorders>
            <w:vAlign w:val="center"/>
          </w:tcPr>
          <w:p w14:paraId="52020000">
            <w:pPr>
              <w:ind/>
              <w:jc w:val="center"/>
              <w:rPr>
                <w:sz w:val="20"/>
              </w:rPr>
            </w:pPr>
            <w:r>
              <w:rPr>
                <w:sz w:val="20"/>
              </w:rPr>
              <w:t>с. Куйбышево, ул. Театральная,</w:t>
            </w:r>
            <w:r>
              <w:rPr>
                <w:sz w:val="20"/>
              </w:rPr>
              <w:t xml:space="preserve"> 72</w:t>
            </w:r>
          </w:p>
        </w:tc>
        <w:tc>
          <w:tcPr>
            <w:tcW w:type="dxa" w:w="1541"/>
            <w:tcBorders>
              <w:top w:sz="4" w:val="nil"/>
              <w:left w:color="000000" w:sz="4" w:val="single"/>
              <w:bottom w:color="000000" w:sz="4" w:val="single"/>
              <w:right w:color="000000" w:sz="4" w:val="single"/>
            </w:tcBorders>
            <w:vAlign w:val="center"/>
          </w:tcPr>
          <w:p w14:paraId="53020000">
            <w:pPr>
              <w:ind/>
              <w:jc w:val="center"/>
              <w:rPr>
                <w:sz w:val="20"/>
              </w:rPr>
            </w:pPr>
            <w:r>
              <w:rPr>
                <w:sz w:val="20"/>
              </w:rPr>
              <w:t>0,054</w:t>
            </w:r>
          </w:p>
        </w:tc>
        <w:tc>
          <w:tcPr>
            <w:tcW w:type="dxa" w:w="1541"/>
            <w:tcBorders>
              <w:top w:color="000000" w:sz="4" w:val="single"/>
              <w:left w:color="000000" w:sz="4" w:val="single"/>
              <w:bottom w:color="000000" w:sz="4" w:val="single"/>
              <w:right w:color="000000" w:sz="4" w:val="single"/>
            </w:tcBorders>
            <w:vAlign w:val="center"/>
          </w:tcPr>
          <w:p w14:paraId="54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55020000">
            <w:pPr>
              <w:widowControl w:val="0"/>
              <w:spacing w:after="0" w:line="240" w:lineRule="auto"/>
              <w:ind/>
              <w:jc w:val="center"/>
              <w:rPr>
                <w:sz w:val="20"/>
              </w:rPr>
            </w:pPr>
            <w:r>
              <w:rPr>
                <w:sz w:val="20"/>
              </w:rPr>
              <w:t>0,028</w:t>
            </w:r>
          </w:p>
        </w:tc>
        <w:tc>
          <w:tcPr>
            <w:tcW w:type="dxa" w:w="1541"/>
            <w:tcBorders>
              <w:top w:sz="4" w:val="nil"/>
              <w:left w:color="000000" w:sz="4" w:val="single"/>
              <w:bottom w:color="000000" w:sz="4" w:val="single"/>
              <w:right w:color="000000" w:sz="4" w:val="single"/>
            </w:tcBorders>
            <w:vAlign w:val="center"/>
          </w:tcPr>
          <w:p w14:paraId="56020000">
            <w:pPr>
              <w:ind/>
              <w:jc w:val="center"/>
              <w:rPr>
                <w:sz w:val="20"/>
              </w:rPr>
            </w:pPr>
            <w:r>
              <w:rPr>
                <w:sz w:val="20"/>
              </w:rPr>
              <w:t>0,054</w:t>
            </w:r>
          </w:p>
        </w:tc>
        <w:tc>
          <w:tcPr>
            <w:tcW w:type="dxa" w:w="1541"/>
            <w:tcBorders>
              <w:top w:sz="4" w:val="nil"/>
              <w:left w:color="000000" w:sz="4" w:val="single"/>
              <w:bottom w:color="000000" w:sz="4" w:val="single"/>
              <w:right w:color="000000" w:sz="4" w:val="single"/>
            </w:tcBorders>
            <w:vAlign w:val="center"/>
          </w:tcPr>
          <w:p w14:paraId="57020000">
            <w:pPr>
              <w:ind/>
              <w:jc w:val="center"/>
              <w:rPr>
                <w:sz w:val="20"/>
              </w:rPr>
            </w:pPr>
            <w:r>
              <w:rPr>
                <w:sz w:val="20"/>
              </w:rPr>
              <w:t>0,028</w:t>
            </w:r>
          </w:p>
        </w:tc>
      </w:tr>
      <w:tr>
        <w:trPr>
          <w:trHeight w:hRule="atLeast" w:val="487"/>
        </w:trPr>
        <w:tc>
          <w:tcPr>
            <w:tcW w:type="dxa" w:w="2103"/>
            <w:tcBorders>
              <w:top w:sz="4" w:val="nil"/>
              <w:left w:color="000000" w:sz="4" w:val="single"/>
              <w:bottom w:color="000000" w:sz="4" w:val="single"/>
              <w:right w:color="000000" w:sz="4" w:val="single"/>
            </w:tcBorders>
            <w:vAlign w:val="center"/>
          </w:tcPr>
          <w:p w14:paraId="58020000">
            <w:pPr>
              <w:ind/>
              <w:jc w:val="center"/>
              <w:rPr>
                <w:sz w:val="20"/>
              </w:rPr>
            </w:pPr>
            <w:r>
              <w:rPr>
                <w:sz w:val="20"/>
              </w:rPr>
              <w:t>с. Куйбышево, ул. Пролетарская, 2 а</w:t>
            </w:r>
          </w:p>
        </w:tc>
        <w:tc>
          <w:tcPr>
            <w:tcW w:type="dxa" w:w="1541"/>
            <w:tcBorders>
              <w:top w:sz="4" w:val="nil"/>
              <w:left w:color="000000" w:sz="4" w:val="single"/>
              <w:bottom w:color="000000" w:sz="4" w:val="single"/>
              <w:right w:color="000000" w:sz="4" w:val="single"/>
            </w:tcBorders>
            <w:vAlign w:val="center"/>
          </w:tcPr>
          <w:p w14:paraId="59020000">
            <w:pPr>
              <w:ind/>
              <w:jc w:val="center"/>
              <w:rPr>
                <w:sz w:val="20"/>
              </w:rPr>
            </w:pPr>
            <w:r>
              <w:rPr>
                <w:sz w:val="20"/>
              </w:rPr>
              <w:t>0,086</w:t>
            </w:r>
          </w:p>
        </w:tc>
        <w:tc>
          <w:tcPr>
            <w:tcW w:type="dxa" w:w="1541"/>
            <w:tcBorders>
              <w:top w:color="000000" w:sz="4" w:val="single"/>
              <w:left w:color="000000" w:sz="4" w:val="single"/>
              <w:bottom w:color="000000" w:sz="4" w:val="single"/>
              <w:right w:color="000000" w:sz="4" w:val="single"/>
            </w:tcBorders>
            <w:vAlign w:val="center"/>
          </w:tcPr>
          <w:p w14:paraId="5A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5B020000">
            <w:pPr>
              <w:widowControl w:val="0"/>
              <w:spacing w:after="0" w:line="240" w:lineRule="auto"/>
              <w:ind/>
              <w:jc w:val="center"/>
              <w:rPr>
                <w:sz w:val="20"/>
              </w:rPr>
            </w:pPr>
            <w:r>
              <w:rPr>
                <w:sz w:val="20"/>
              </w:rPr>
              <w:t>0,086</w:t>
            </w:r>
          </w:p>
        </w:tc>
        <w:tc>
          <w:tcPr>
            <w:tcW w:type="dxa" w:w="1541"/>
            <w:tcBorders>
              <w:top w:sz="4" w:val="nil"/>
              <w:left w:color="000000" w:sz="4" w:val="single"/>
              <w:bottom w:color="000000" w:sz="4" w:val="single"/>
              <w:right w:color="000000" w:sz="4" w:val="single"/>
            </w:tcBorders>
            <w:vAlign w:val="center"/>
          </w:tcPr>
          <w:p w14:paraId="5C020000">
            <w:pPr>
              <w:ind/>
              <w:jc w:val="center"/>
              <w:rPr>
                <w:sz w:val="20"/>
              </w:rPr>
            </w:pPr>
            <w:r>
              <w:rPr>
                <w:sz w:val="20"/>
              </w:rPr>
              <w:t>0,086</w:t>
            </w:r>
          </w:p>
        </w:tc>
        <w:tc>
          <w:tcPr>
            <w:tcW w:type="dxa" w:w="1541"/>
            <w:tcBorders>
              <w:top w:sz="4" w:val="nil"/>
              <w:left w:color="000000" w:sz="4" w:val="single"/>
              <w:bottom w:color="000000" w:sz="4" w:val="single"/>
              <w:right w:color="000000" w:sz="4" w:val="single"/>
            </w:tcBorders>
            <w:vAlign w:val="center"/>
          </w:tcPr>
          <w:p w14:paraId="5D020000">
            <w:pPr>
              <w:widowControl w:val="0"/>
              <w:spacing w:after="0" w:line="240" w:lineRule="auto"/>
              <w:ind/>
              <w:jc w:val="center"/>
              <w:rPr>
                <w:sz w:val="20"/>
              </w:rPr>
            </w:pPr>
            <w:r>
              <w:rPr>
                <w:sz w:val="20"/>
              </w:rPr>
              <w:t>0,086</w:t>
            </w:r>
          </w:p>
        </w:tc>
      </w:tr>
      <w:tr>
        <w:tc>
          <w:tcPr>
            <w:tcW w:type="dxa" w:w="2103"/>
            <w:tcBorders>
              <w:top w:sz="4" w:val="nil"/>
              <w:left w:color="000000" w:sz="4" w:val="single"/>
              <w:bottom w:color="000000" w:sz="4" w:val="single"/>
              <w:right w:color="000000" w:sz="4" w:val="single"/>
            </w:tcBorders>
            <w:vAlign w:val="center"/>
          </w:tcPr>
          <w:p w14:paraId="5E020000">
            <w:pPr>
              <w:ind/>
              <w:jc w:val="center"/>
              <w:rPr>
                <w:sz w:val="20"/>
              </w:rPr>
            </w:pPr>
            <w:r>
              <w:rPr>
                <w:sz w:val="20"/>
              </w:rPr>
              <w:t>с. Куйбышево, ул. Кузьменко, 3 а</w:t>
            </w:r>
          </w:p>
        </w:tc>
        <w:tc>
          <w:tcPr>
            <w:tcW w:type="dxa" w:w="1541"/>
            <w:tcBorders>
              <w:top w:sz="4" w:val="nil"/>
              <w:left w:color="000000" w:sz="4" w:val="single"/>
              <w:bottom w:color="000000" w:sz="4" w:val="single"/>
              <w:right w:color="000000" w:sz="4" w:val="single"/>
            </w:tcBorders>
            <w:vAlign w:val="center"/>
          </w:tcPr>
          <w:p w14:paraId="5F020000">
            <w:pPr>
              <w:ind/>
              <w:jc w:val="center"/>
              <w:rPr>
                <w:sz w:val="20"/>
              </w:rPr>
            </w:pPr>
            <w:r>
              <w:rPr>
                <w:sz w:val="20"/>
              </w:rPr>
              <w:t>0,172</w:t>
            </w:r>
          </w:p>
        </w:tc>
        <w:tc>
          <w:tcPr>
            <w:tcW w:type="dxa" w:w="1541"/>
            <w:tcBorders>
              <w:top w:color="000000" w:sz="4" w:val="single"/>
              <w:left w:color="000000" w:sz="4" w:val="single"/>
              <w:bottom w:color="000000" w:sz="4" w:val="single"/>
              <w:right w:color="000000" w:sz="4" w:val="single"/>
            </w:tcBorders>
            <w:vAlign w:val="center"/>
          </w:tcPr>
          <w:p w14:paraId="60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61020000">
            <w:pPr>
              <w:widowControl w:val="0"/>
              <w:spacing w:after="0" w:line="240" w:lineRule="auto"/>
              <w:ind/>
              <w:jc w:val="center"/>
              <w:rPr>
                <w:sz w:val="20"/>
              </w:rPr>
            </w:pPr>
            <w:r>
              <w:rPr>
                <w:sz w:val="20"/>
              </w:rPr>
              <w:t>0,105</w:t>
            </w:r>
          </w:p>
        </w:tc>
        <w:tc>
          <w:tcPr>
            <w:tcW w:type="dxa" w:w="1541"/>
            <w:tcBorders>
              <w:top w:sz="4" w:val="nil"/>
              <w:left w:color="000000" w:sz="4" w:val="single"/>
              <w:bottom w:color="000000" w:sz="4" w:val="single"/>
              <w:right w:color="000000" w:sz="4" w:val="single"/>
            </w:tcBorders>
            <w:vAlign w:val="center"/>
          </w:tcPr>
          <w:p w14:paraId="62020000">
            <w:pPr>
              <w:ind/>
              <w:jc w:val="center"/>
              <w:rPr>
                <w:sz w:val="20"/>
              </w:rPr>
            </w:pPr>
            <w:r>
              <w:rPr>
                <w:sz w:val="20"/>
              </w:rPr>
              <w:t>0,172</w:t>
            </w:r>
          </w:p>
        </w:tc>
        <w:tc>
          <w:tcPr>
            <w:tcW w:type="dxa" w:w="1541"/>
            <w:tcBorders>
              <w:top w:sz="4" w:val="nil"/>
              <w:left w:color="000000" w:sz="4" w:val="single"/>
              <w:bottom w:color="000000" w:sz="4" w:val="single"/>
              <w:right w:color="000000" w:sz="4" w:val="single"/>
            </w:tcBorders>
            <w:vAlign w:val="center"/>
          </w:tcPr>
          <w:p w14:paraId="63020000">
            <w:pPr>
              <w:widowControl w:val="0"/>
              <w:spacing w:after="0" w:line="240" w:lineRule="auto"/>
              <w:ind/>
              <w:jc w:val="center"/>
              <w:rPr>
                <w:sz w:val="20"/>
              </w:rPr>
            </w:pPr>
            <w:r>
              <w:rPr>
                <w:sz w:val="20"/>
              </w:rPr>
              <w:t>0,105</w:t>
            </w:r>
          </w:p>
        </w:tc>
      </w:tr>
      <w:tr>
        <w:trPr>
          <w:trHeight w:hRule="atLeast" w:val="503"/>
        </w:trPr>
        <w:tc>
          <w:tcPr>
            <w:tcW w:type="dxa" w:w="2103"/>
            <w:tcBorders>
              <w:top w:sz="4" w:val="nil"/>
              <w:left w:color="000000" w:sz="4" w:val="single"/>
              <w:bottom w:color="000000" w:sz="4" w:val="single"/>
              <w:right w:color="000000" w:sz="4" w:val="single"/>
            </w:tcBorders>
            <w:vAlign w:val="center"/>
          </w:tcPr>
          <w:p w14:paraId="64020000">
            <w:pPr>
              <w:ind/>
              <w:jc w:val="center"/>
              <w:rPr>
                <w:sz w:val="20"/>
              </w:rPr>
            </w:pPr>
            <w:r>
              <w:rPr>
                <w:sz w:val="20"/>
              </w:rPr>
              <w:t>х. Свободный, ул. Молодёжная, 8</w:t>
            </w:r>
          </w:p>
        </w:tc>
        <w:tc>
          <w:tcPr>
            <w:tcW w:type="dxa" w:w="1541"/>
            <w:tcBorders>
              <w:top w:sz="4" w:val="nil"/>
              <w:left w:color="000000" w:sz="4" w:val="single"/>
              <w:bottom w:color="000000" w:sz="4" w:val="single"/>
              <w:right w:color="000000" w:sz="4" w:val="single"/>
            </w:tcBorders>
            <w:vAlign w:val="center"/>
          </w:tcPr>
          <w:p w14:paraId="65020000">
            <w:pPr>
              <w:ind/>
              <w:jc w:val="center"/>
              <w:rPr>
                <w:sz w:val="20"/>
              </w:rPr>
            </w:pPr>
            <w:r>
              <w:rPr>
                <w:sz w:val="20"/>
              </w:rPr>
              <w:t>0,126</w:t>
            </w:r>
          </w:p>
        </w:tc>
        <w:tc>
          <w:tcPr>
            <w:tcW w:type="dxa" w:w="1541"/>
            <w:tcBorders>
              <w:top w:color="000000" w:sz="4" w:val="single"/>
              <w:left w:color="000000" w:sz="4" w:val="single"/>
              <w:bottom w:color="000000" w:sz="4" w:val="single"/>
              <w:right w:color="000000" w:sz="4" w:val="single"/>
            </w:tcBorders>
            <w:vAlign w:val="center"/>
          </w:tcPr>
          <w:p w14:paraId="66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67020000">
            <w:pPr>
              <w:widowControl w:val="0"/>
              <w:spacing w:after="0" w:line="240" w:lineRule="auto"/>
              <w:ind/>
              <w:jc w:val="center"/>
              <w:rPr>
                <w:sz w:val="20"/>
              </w:rPr>
            </w:pPr>
            <w:r>
              <w:rPr>
                <w:sz w:val="20"/>
              </w:rPr>
              <w:t>0,045</w:t>
            </w:r>
          </w:p>
        </w:tc>
        <w:tc>
          <w:tcPr>
            <w:tcW w:type="dxa" w:w="1541"/>
            <w:tcBorders>
              <w:top w:sz="4" w:val="nil"/>
              <w:left w:color="000000" w:sz="4" w:val="single"/>
              <w:bottom w:color="000000" w:sz="4" w:val="single"/>
              <w:right w:color="000000" w:sz="4" w:val="single"/>
            </w:tcBorders>
            <w:vAlign w:val="center"/>
          </w:tcPr>
          <w:p w14:paraId="68020000">
            <w:pPr>
              <w:ind/>
              <w:jc w:val="center"/>
              <w:rPr>
                <w:sz w:val="20"/>
              </w:rPr>
            </w:pPr>
            <w:r>
              <w:rPr>
                <w:sz w:val="20"/>
              </w:rPr>
              <w:t>0,126</w:t>
            </w:r>
          </w:p>
        </w:tc>
        <w:tc>
          <w:tcPr>
            <w:tcW w:type="dxa" w:w="1541"/>
            <w:tcBorders>
              <w:top w:sz="4" w:val="nil"/>
              <w:left w:color="000000" w:sz="4" w:val="single"/>
              <w:bottom w:color="000000" w:sz="4" w:val="single"/>
              <w:right w:color="000000" w:sz="4" w:val="single"/>
            </w:tcBorders>
            <w:vAlign w:val="center"/>
          </w:tcPr>
          <w:p w14:paraId="69020000">
            <w:pPr>
              <w:widowControl w:val="0"/>
              <w:spacing w:after="0" w:line="240" w:lineRule="auto"/>
              <w:ind/>
              <w:jc w:val="center"/>
              <w:rPr>
                <w:sz w:val="20"/>
              </w:rPr>
            </w:pPr>
            <w:r>
              <w:rPr>
                <w:sz w:val="20"/>
              </w:rPr>
              <w:t>0,045</w:t>
            </w:r>
          </w:p>
        </w:tc>
      </w:tr>
      <w:tr>
        <w:trPr>
          <w:trHeight w:hRule="atLeast" w:val="399"/>
        </w:trPr>
        <w:tc>
          <w:tcPr>
            <w:tcW w:type="dxa" w:w="2103"/>
            <w:tcBorders>
              <w:top w:sz="4" w:val="nil"/>
              <w:left w:color="000000" w:sz="4" w:val="single"/>
              <w:bottom w:color="000000" w:sz="4" w:val="single"/>
              <w:right w:color="000000" w:sz="4" w:val="single"/>
            </w:tcBorders>
            <w:vAlign w:val="center"/>
          </w:tcPr>
          <w:p w14:paraId="6A020000">
            <w:pPr>
              <w:ind/>
              <w:jc w:val="center"/>
              <w:rPr>
                <w:sz w:val="20"/>
              </w:rPr>
            </w:pPr>
            <w:r>
              <w:rPr>
                <w:sz w:val="20"/>
              </w:rPr>
              <w:t>х. Ольховский, ул. Центральная, 3 а</w:t>
            </w:r>
          </w:p>
        </w:tc>
        <w:tc>
          <w:tcPr>
            <w:tcW w:type="dxa" w:w="1541"/>
            <w:tcBorders>
              <w:top w:sz="4" w:val="nil"/>
              <w:left w:color="000000" w:sz="4" w:val="single"/>
              <w:bottom w:color="000000" w:sz="4" w:val="single"/>
              <w:right w:color="000000" w:sz="4" w:val="single"/>
            </w:tcBorders>
            <w:vAlign w:val="center"/>
          </w:tcPr>
          <w:p w14:paraId="6B020000">
            <w:pPr>
              <w:ind/>
              <w:jc w:val="center"/>
              <w:rPr>
                <w:sz w:val="20"/>
              </w:rPr>
            </w:pPr>
            <w:r>
              <w:rPr>
                <w:sz w:val="20"/>
              </w:rPr>
              <w:t>0,052</w:t>
            </w:r>
          </w:p>
        </w:tc>
        <w:tc>
          <w:tcPr>
            <w:tcW w:type="dxa" w:w="1541"/>
            <w:tcBorders>
              <w:top w:color="000000" w:sz="4" w:val="single"/>
              <w:left w:color="000000" w:sz="4" w:val="single"/>
              <w:bottom w:color="000000" w:sz="4" w:val="single"/>
              <w:right w:color="000000" w:sz="4" w:val="single"/>
            </w:tcBorders>
            <w:vAlign w:val="center"/>
          </w:tcPr>
          <w:p w14:paraId="6C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6D020000">
            <w:pPr>
              <w:widowControl w:val="0"/>
              <w:spacing w:after="0" w:line="240" w:lineRule="auto"/>
              <w:ind/>
              <w:jc w:val="center"/>
              <w:rPr>
                <w:sz w:val="20"/>
              </w:rPr>
            </w:pPr>
            <w:r>
              <w:rPr>
                <w:sz w:val="20"/>
              </w:rPr>
              <w:t>0,026</w:t>
            </w:r>
          </w:p>
        </w:tc>
        <w:tc>
          <w:tcPr>
            <w:tcW w:type="dxa" w:w="1541"/>
            <w:tcBorders>
              <w:top w:sz="4" w:val="nil"/>
              <w:left w:color="000000" w:sz="4" w:val="single"/>
              <w:bottom w:color="000000" w:sz="4" w:val="single"/>
              <w:right w:color="000000" w:sz="4" w:val="single"/>
            </w:tcBorders>
            <w:vAlign w:val="center"/>
          </w:tcPr>
          <w:p w14:paraId="6E020000">
            <w:pPr>
              <w:ind/>
              <w:jc w:val="center"/>
              <w:rPr>
                <w:sz w:val="20"/>
              </w:rPr>
            </w:pPr>
            <w:r>
              <w:rPr>
                <w:sz w:val="20"/>
              </w:rPr>
              <w:t>0,052</w:t>
            </w:r>
          </w:p>
        </w:tc>
        <w:tc>
          <w:tcPr>
            <w:tcW w:type="dxa" w:w="1541"/>
            <w:tcBorders>
              <w:top w:sz="4" w:val="nil"/>
              <w:left w:color="000000" w:sz="4" w:val="single"/>
              <w:bottom w:color="000000" w:sz="4" w:val="single"/>
              <w:right w:color="000000" w:sz="4" w:val="single"/>
            </w:tcBorders>
            <w:vAlign w:val="center"/>
          </w:tcPr>
          <w:p w14:paraId="6F020000">
            <w:pPr>
              <w:widowControl w:val="0"/>
              <w:spacing w:after="0" w:line="240" w:lineRule="auto"/>
              <w:ind/>
              <w:jc w:val="center"/>
              <w:rPr>
                <w:sz w:val="20"/>
              </w:rPr>
            </w:pPr>
            <w:r>
              <w:rPr>
                <w:sz w:val="20"/>
              </w:rPr>
              <w:t>0,026</w:t>
            </w:r>
          </w:p>
        </w:tc>
      </w:tr>
      <w:tr>
        <w:trPr>
          <w:trHeight w:hRule="atLeast" w:val="312"/>
        </w:trPr>
        <w:tc>
          <w:tcPr>
            <w:tcW w:type="dxa" w:w="2103"/>
            <w:tcBorders>
              <w:top w:sz="4" w:val="nil"/>
              <w:left w:color="000000" w:sz="4" w:val="single"/>
              <w:bottom w:color="000000" w:sz="4" w:val="single"/>
              <w:right w:color="000000" w:sz="4" w:val="single"/>
            </w:tcBorders>
            <w:vAlign w:val="center"/>
          </w:tcPr>
          <w:p w14:paraId="70020000">
            <w:pPr>
              <w:ind/>
              <w:jc w:val="center"/>
              <w:rPr>
                <w:sz w:val="20"/>
              </w:rPr>
            </w:pPr>
            <w:r>
              <w:rPr>
                <w:sz w:val="20"/>
              </w:rPr>
              <w:t>с. Куйбышево, ул. Пролетарская, 5</w:t>
            </w:r>
          </w:p>
        </w:tc>
        <w:tc>
          <w:tcPr>
            <w:tcW w:type="dxa" w:w="1541"/>
            <w:tcBorders>
              <w:top w:sz="4" w:val="nil"/>
              <w:left w:color="000000" w:sz="4" w:val="single"/>
              <w:bottom w:color="000000" w:sz="4" w:val="single"/>
              <w:right w:color="000000" w:sz="4" w:val="single"/>
            </w:tcBorders>
            <w:vAlign w:val="center"/>
          </w:tcPr>
          <w:p w14:paraId="71020000">
            <w:pPr>
              <w:ind/>
              <w:jc w:val="center"/>
              <w:rPr>
                <w:sz w:val="20"/>
              </w:rPr>
            </w:pPr>
            <w:r>
              <w:rPr>
                <w:sz w:val="20"/>
              </w:rPr>
              <w:t>0,034</w:t>
            </w:r>
          </w:p>
        </w:tc>
        <w:tc>
          <w:tcPr>
            <w:tcW w:type="dxa" w:w="1541"/>
            <w:tcBorders>
              <w:top w:color="000000" w:sz="4" w:val="single"/>
              <w:left w:color="000000" w:sz="4" w:val="single"/>
              <w:bottom w:color="000000" w:sz="4" w:val="single"/>
              <w:right w:color="000000" w:sz="4" w:val="single"/>
            </w:tcBorders>
            <w:vAlign w:val="center"/>
          </w:tcPr>
          <w:p w14:paraId="72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73020000">
            <w:pPr>
              <w:widowControl w:val="0"/>
              <w:spacing w:after="0" w:line="240" w:lineRule="auto"/>
              <w:ind/>
              <w:jc w:val="center"/>
              <w:rPr>
                <w:sz w:val="20"/>
              </w:rPr>
            </w:pPr>
            <w:r>
              <w:rPr>
                <w:sz w:val="20"/>
              </w:rPr>
              <w:t>0,034</w:t>
            </w:r>
          </w:p>
        </w:tc>
        <w:tc>
          <w:tcPr>
            <w:tcW w:type="dxa" w:w="1541"/>
            <w:tcBorders>
              <w:top w:sz="4" w:val="nil"/>
              <w:left w:color="000000" w:sz="4" w:val="single"/>
              <w:bottom w:color="000000" w:sz="4" w:val="single"/>
              <w:right w:color="000000" w:sz="4" w:val="single"/>
            </w:tcBorders>
            <w:vAlign w:val="center"/>
          </w:tcPr>
          <w:p w14:paraId="74020000">
            <w:pPr>
              <w:ind/>
              <w:jc w:val="center"/>
              <w:rPr>
                <w:sz w:val="20"/>
              </w:rPr>
            </w:pPr>
            <w:r>
              <w:rPr>
                <w:sz w:val="20"/>
              </w:rPr>
              <w:t>0,034</w:t>
            </w:r>
          </w:p>
        </w:tc>
        <w:tc>
          <w:tcPr>
            <w:tcW w:type="dxa" w:w="1541"/>
            <w:tcBorders>
              <w:top w:sz="4" w:val="nil"/>
              <w:left w:color="000000" w:sz="4" w:val="single"/>
              <w:bottom w:color="000000" w:sz="4" w:val="single"/>
              <w:right w:color="000000" w:sz="4" w:val="single"/>
            </w:tcBorders>
            <w:vAlign w:val="center"/>
          </w:tcPr>
          <w:p w14:paraId="75020000">
            <w:pPr>
              <w:widowControl w:val="0"/>
              <w:spacing w:after="0" w:line="240" w:lineRule="auto"/>
              <w:ind/>
              <w:jc w:val="center"/>
              <w:rPr>
                <w:sz w:val="20"/>
              </w:rPr>
            </w:pPr>
            <w:r>
              <w:rPr>
                <w:sz w:val="20"/>
              </w:rPr>
              <w:t>0,034</w:t>
            </w:r>
          </w:p>
        </w:tc>
      </w:tr>
      <w:tr>
        <w:tc>
          <w:tcPr>
            <w:tcW w:type="dxa" w:w="2103"/>
            <w:tcBorders>
              <w:top w:sz="4" w:val="nil"/>
              <w:left w:color="000000" w:sz="4" w:val="single"/>
              <w:bottom w:color="000000" w:sz="4" w:val="single"/>
              <w:right w:color="000000" w:sz="4" w:val="single"/>
            </w:tcBorders>
            <w:vAlign w:val="center"/>
          </w:tcPr>
          <w:p w14:paraId="76020000">
            <w:pPr>
              <w:ind/>
              <w:jc w:val="center"/>
              <w:rPr>
                <w:sz w:val="20"/>
              </w:rPr>
            </w:pPr>
            <w:r>
              <w:rPr>
                <w:sz w:val="20"/>
              </w:rPr>
              <w:t>с. Куйбышево, ул. Театральная, 22</w:t>
            </w:r>
          </w:p>
        </w:tc>
        <w:tc>
          <w:tcPr>
            <w:tcW w:type="dxa" w:w="1541"/>
            <w:tcBorders>
              <w:top w:sz="4" w:val="nil"/>
              <w:left w:color="000000" w:sz="4" w:val="single"/>
              <w:bottom w:color="000000" w:sz="4" w:val="single"/>
              <w:right w:color="000000" w:sz="4" w:val="single"/>
            </w:tcBorders>
            <w:vAlign w:val="center"/>
          </w:tcPr>
          <w:p w14:paraId="77020000">
            <w:pPr>
              <w:ind/>
              <w:jc w:val="center"/>
              <w:rPr>
                <w:sz w:val="20"/>
              </w:rPr>
            </w:pPr>
            <w:r>
              <w:rPr>
                <w:sz w:val="20"/>
              </w:rPr>
              <w:t>0,165</w:t>
            </w:r>
          </w:p>
        </w:tc>
        <w:tc>
          <w:tcPr>
            <w:tcW w:type="dxa" w:w="1541"/>
            <w:tcBorders>
              <w:top w:color="000000" w:sz="4" w:val="single"/>
              <w:left w:color="000000" w:sz="4" w:val="single"/>
              <w:bottom w:color="000000" w:sz="4" w:val="single"/>
              <w:right w:color="000000" w:sz="4" w:val="single"/>
            </w:tcBorders>
            <w:vAlign w:val="center"/>
          </w:tcPr>
          <w:p w14:paraId="78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79020000">
            <w:pPr>
              <w:widowControl w:val="0"/>
              <w:spacing w:after="0" w:line="240" w:lineRule="auto"/>
              <w:ind/>
              <w:jc w:val="center"/>
              <w:rPr>
                <w:sz w:val="20"/>
              </w:rPr>
            </w:pPr>
            <w:r>
              <w:rPr>
                <w:sz w:val="20"/>
              </w:rPr>
              <w:t>0,141</w:t>
            </w:r>
          </w:p>
        </w:tc>
        <w:tc>
          <w:tcPr>
            <w:tcW w:type="dxa" w:w="1541"/>
            <w:tcBorders>
              <w:top w:sz="4" w:val="nil"/>
              <w:left w:color="000000" w:sz="4" w:val="single"/>
              <w:bottom w:color="000000" w:sz="4" w:val="single"/>
              <w:right w:color="000000" w:sz="4" w:val="single"/>
            </w:tcBorders>
            <w:vAlign w:val="center"/>
          </w:tcPr>
          <w:p w14:paraId="7A020000">
            <w:pPr>
              <w:ind/>
              <w:jc w:val="center"/>
              <w:rPr>
                <w:sz w:val="20"/>
              </w:rPr>
            </w:pPr>
            <w:r>
              <w:rPr>
                <w:sz w:val="20"/>
              </w:rPr>
              <w:t>0,165</w:t>
            </w:r>
          </w:p>
        </w:tc>
        <w:tc>
          <w:tcPr>
            <w:tcW w:type="dxa" w:w="1541"/>
            <w:tcBorders>
              <w:top w:sz="4" w:val="nil"/>
              <w:left w:color="000000" w:sz="4" w:val="single"/>
              <w:bottom w:color="000000" w:sz="4" w:val="single"/>
              <w:right w:color="000000" w:sz="4" w:val="single"/>
            </w:tcBorders>
            <w:vAlign w:val="center"/>
          </w:tcPr>
          <w:p w14:paraId="7B020000">
            <w:pPr>
              <w:widowControl w:val="0"/>
              <w:spacing w:after="0" w:line="240" w:lineRule="auto"/>
              <w:ind/>
              <w:jc w:val="center"/>
              <w:rPr>
                <w:sz w:val="20"/>
              </w:rPr>
            </w:pPr>
            <w:r>
              <w:rPr>
                <w:sz w:val="20"/>
              </w:rPr>
              <w:t>0,141</w:t>
            </w:r>
          </w:p>
        </w:tc>
      </w:tr>
      <w:tr>
        <w:tc>
          <w:tcPr>
            <w:tcW w:type="dxa" w:w="2103"/>
            <w:tcBorders>
              <w:top w:sz="4" w:val="nil"/>
              <w:left w:color="000000" w:sz="4" w:val="single"/>
              <w:bottom w:color="000000" w:sz="4" w:val="single"/>
              <w:right w:color="000000" w:sz="4" w:val="single"/>
            </w:tcBorders>
            <w:vAlign w:val="center"/>
          </w:tcPr>
          <w:p w14:paraId="7C020000">
            <w:pPr>
              <w:ind/>
              <w:jc w:val="center"/>
              <w:rPr>
                <w:sz w:val="20"/>
              </w:rPr>
            </w:pPr>
            <w:r>
              <w:rPr>
                <w:sz w:val="20"/>
              </w:rPr>
              <w:t>х. Свободный, ул. Победы, 29</w:t>
            </w:r>
          </w:p>
        </w:tc>
        <w:tc>
          <w:tcPr>
            <w:tcW w:type="dxa" w:w="1541"/>
            <w:tcBorders>
              <w:top w:sz="4" w:val="nil"/>
              <w:left w:color="000000" w:sz="4" w:val="single"/>
              <w:bottom w:color="000000" w:sz="4" w:val="single"/>
              <w:right w:color="000000" w:sz="4" w:val="single"/>
            </w:tcBorders>
            <w:vAlign w:val="center"/>
          </w:tcPr>
          <w:p w14:paraId="7D020000">
            <w:pPr>
              <w:ind/>
              <w:jc w:val="center"/>
              <w:rPr>
                <w:sz w:val="20"/>
              </w:rPr>
            </w:pPr>
            <w:r>
              <w:rPr>
                <w:sz w:val="20"/>
              </w:rPr>
              <w:t>0,014</w:t>
            </w:r>
          </w:p>
        </w:tc>
        <w:tc>
          <w:tcPr>
            <w:tcW w:type="dxa" w:w="1541"/>
            <w:tcBorders>
              <w:top w:color="000000" w:sz="4" w:val="single"/>
              <w:left w:color="000000" w:sz="4" w:val="single"/>
              <w:bottom w:color="000000" w:sz="4" w:val="single"/>
              <w:right w:color="000000" w:sz="4" w:val="single"/>
            </w:tcBorders>
            <w:vAlign w:val="center"/>
          </w:tcPr>
          <w:p w14:paraId="7E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7F020000">
            <w:pPr>
              <w:widowControl w:val="0"/>
              <w:spacing w:after="0" w:line="240" w:lineRule="auto"/>
              <w:ind/>
              <w:jc w:val="center"/>
              <w:rPr>
                <w:sz w:val="20"/>
              </w:rPr>
            </w:pPr>
            <w:r>
              <w:rPr>
                <w:sz w:val="20"/>
              </w:rPr>
              <w:t>0,013</w:t>
            </w:r>
          </w:p>
        </w:tc>
        <w:tc>
          <w:tcPr>
            <w:tcW w:type="dxa" w:w="1541"/>
            <w:tcBorders>
              <w:top w:sz="4" w:val="nil"/>
              <w:left w:color="000000" w:sz="4" w:val="single"/>
              <w:bottom w:color="000000" w:sz="4" w:val="single"/>
              <w:right w:color="000000" w:sz="4" w:val="single"/>
            </w:tcBorders>
            <w:vAlign w:val="center"/>
          </w:tcPr>
          <w:p w14:paraId="80020000">
            <w:pPr>
              <w:ind/>
              <w:jc w:val="center"/>
              <w:rPr>
                <w:sz w:val="20"/>
              </w:rPr>
            </w:pPr>
            <w:r>
              <w:rPr>
                <w:sz w:val="20"/>
              </w:rPr>
              <w:t>0,014</w:t>
            </w:r>
          </w:p>
        </w:tc>
        <w:tc>
          <w:tcPr>
            <w:tcW w:type="dxa" w:w="1541"/>
            <w:tcBorders>
              <w:top w:sz="4" w:val="nil"/>
              <w:left w:color="000000" w:sz="4" w:val="single"/>
              <w:bottom w:color="000000" w:sz="4" w:val="single"/>
              <w:right w:color="000000" w:sz="4" w:val="single"/>
            </w:tcBorders>
            <w:vAlign w:val="center"/>
          </w:tcPr>
          <w:p w14:paraId="81020000">
            <w:pPr>
              <w:widowControl w:val="0"/>
              <w:spacing w:after="0" w:line="240" w:lineRule="auto"/>
              <w:ind/>
              <w:jc w:val="center"/>
              <w:rPr>
                <w:sz w:val="20"/>
              </w:rPr>
            </w:pPr>
            <w:r>
              <w:rPr>
                <w:sz w:val="20"/>
              </w:rPr>
              <w:t>0,013</w:t>
            </w:r>
          </w:p>
        </w:tc>
      </w:tr>
      <w:tr>
        <w:trPr>
          <w:trHeight w:hRule="atLeast" w:val="919"/>
        </w:trPr>
        <w:tc>
          <w:tcPr>
            <w:tcW w:type="dxa" w:w="2103"/>
            <w:tcBorders>
              <w:top w:sz="4" w:val="nil"/>
              <w:left w:color="000000" w:sz="4" w:val="single"/>
              <w:bottom w:color="000000" w:sz="4" w:val="single"/>
              <w:right w:color="000000" w:sz="4" w:val="single"/>
            </w:tcBorders>
            <w:vAlign w:val="center"/>
          </w:tcPr>
          <w:p w14:paraId="82020000">
            <w:pPr>
              <w:ind/>
              <w:jc w:val="center"/>
              <w:rPr>
                <w:sz w:val="20"/>
              </w:rPr>
            </w:pPr>
            <w:r>
              <w:rPr>
                <w:sz w:val="20"/>
              </w:rPr>
              <w:t>х. Новобахмутский, ул. Широкая, 89 а</w:t>
            </w:r>
          </w:p>
        </w:tc>
        <w:tc>
          <w:tcPr>
            <w:tcW w:type="dxa" w:w="1541"/>
            <w:tcBorders>
              <w:top w:sz="4" w:val="nil"/>
              <w:left w:color="000000" w:sz="4" w:val="single"/>
              <w:bottom w:color="000000" w:sz="4" w:val="single"/>
              <w:right w:color="000000" w:sz="4" w:val="single"/>
            </w:tcBorders>
            <w:vAlign w:val="center"/>
          </w:tcPr>
          <w:p w14:paraId="83020000">
            <w:pPr>
              <w:ind/>
              <w:jc w:val="center"/>
              <w:rPr>
                <w:sz w:val="20"/>
              </w:rPr>
            </w:pPr>
            <w:r>
              <w:rPr>
                <w:sz w:val="20"/>
              </w:rPr>
              <w:t>0,014</w:t>
            </w:r>
          </w:p>
        </w:tc>
        <w:tc>
          <w:tcPr>
            <w:tcW w:type="dxa" w:w="1541"/>
            <w:tcBorders>
              <w:top w:color="000000" w:sz="4" w:val="single"/>
              <w:left w:color="000000" w:sz="4" w:val="single"/>
              <w:bottom w:color="000000" w:sz="4" w:val="single"/>
              <w:right w:color="000000" w:sz="4" w:val="single"/>
            </w:tcBorders>
            <w:vAlign w:val="center"/>
          </w:tcPr>
          <w:p w14:paraId="84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85020000">
            <w:pPr>
              <w:widowControl w:val="0"/>
              <w:spacing w:after="0" w:line="240" w:lineRule="auto"/>
              <w:ind/>
              <w:jc w:val="center"/>
              <w:rPr>
                <w:sz w:val="20"/>
              </w:rPr>
            </w:pPr>
            <w:r>
              <w:rPr>
                <w:sz w:val="20"/>
              </w:rPr>
              <w:t>0,014</w:t>
            </w:r>
          </w:p>
        </w:tc>
        <w:tc>
          <w:tcPr>
            <w:tcW w:type="dxa" w:w="1541"/>
            <w:tcBorders>
              <w:top w:sz="4" w:val="nil"/>
              <w:left w:color="000000" w:sz="4" w:val="single"/>
              <w:bottom w:color="000000" w:sz="4" w:val="single"/>
              <w:right w:color="000000" w:sz="4" w:val="single"/>
            </w:tcBorders>
            <w:vAlign w:val="center"/>
          </w:tcPr>
          <w:p w14:paraId="86020000">
            <w:pPr>
              <w:ind/>
              <w:jc w:val="center"/>
              <w:rPr>
                <w:sz w:val="20"/>
              </w:rPr>
            </w:pPr>
            <w:r>
              <w:rPr>
                <w:sz w:val="20"/>
              </w:rPr>
              <w:t>0,014</w:t>
            </w:r>
          </w:p>
        </w:tc>
        <w:tc>
          <w:tcPr>
            <w:tcW w:type="dxa" w:w="1541"/>
            <w:tcBorders>
              <w:top w:sz="4" w:val="nil"/>
              <w:left w:color="000000" w:sz="4" w:val="single"/>
              <w:bottom w:color="000000" w:sz="4" w:val="single"/>
              <w:right w:color="000000" w:sz="4" w:val="single"/>
            </w:tcBorders>
            <w:vAlign w:val="center"/>
          </w:tcPr>
          <w:p w14:paraId="87020000">
            <w:pPr>
              <w:widowControl w:val="0"/>
              <w:spacing w:after="0" w:line="240" w:lineRule="auto"/>
              <w:ind/>
              <w:jc w:val="center"/>
              <w:rPr>
                <w:sz w:val="20"/>
              </w:rPr>
            </w:pPr>
            <w:r>
              <w:rPr>
                <w:sz w:val="20"/>
              </w:rPr>
              <w:t>0,014</w:t>
            </w:r>
          </w:p>
        </w:tc>
      </w:tr>
      <w:tr>
        <w:tc>
          <w:tcPr>
            <w:tcW w:type="dxa" w:w="2103"/>
            <w:tcBorders>
              <w:top w:sz="4" w:val="nil"/>
              <w:left w:color="000000" w:sz="4" w:val="single"/>
              <w:bottom w:color="000000" w:sz="4" w:val="single"/>
              <w:right w:color="000000" w:sz="4" w:val="single"/>
            </w:tcBorders>
            <w:vAlign w:val="center"/>
          </w:tcPr>
          <w:p w14:paraId="88020000">
            <w:pPr>
              <w:ind/>
              <w:jc w:val="center"/>
              <w:rPr>
                <w:sz w:val="20"/>
              </w:rPr>
            </w:pPr>
            <w:r>
              <w:rPr>
                <w:sz w:val="20"/>
              </w:rPr>
              <w:t>с. Русское, ул. Красноармейская, 1</w:t>
            </w:r>
          </w:p>
        </w:tc>
        <w:tc>
          <w:tcPr>
            <w:tcW w:type="dxa" w:w="1541"/>
            <w:tcBorders>
              <w:top w:sz="4" w:val="nil"/>
              <w:left w:color="000000" w:sz="4" w:val="single"/>
              <w:bottom w:color="000000" w:sz="4" w:val="single"/>
              <w:right w:color="000000" w:sz="4" w:val="single"/>
            </w:tcBorders>
            <w:vAlign w:val="center"/>
          </w:tcPr>
          <w:p w14:paraId="89020000">
            <w:pPr>
              <w:ind/>
              <w:jc w:val="center"/>
              <w:rPr>
                <w:sz w:val="20"/>
              </w:rPr>
            </w:pPr>
            <w:r>
              <w:rPr>
                <w:sz w:val="20"/>
              </w:rPr>
              <w:t>0,094</w:t>
            </w:r>
          </w:p>
        </w:tc>
        <w:tc>
          <w:tcPr>
            <w:tcW w:type="dxa" w:w="1541"/>
            <w:tcBorders>
              <w:top w:color="000000" w:sz="4" w:val="single"/>
              <w:left w:color="000000" w:sz="4" w:val="single"/>
              <w:bottom w:color="000000" w:sz="4" w:val="single"/>
              <w:right w:color="000000" w:sz="4" w:val="single"/>
            </w:tcBorders>
            <w:vAlign w:val="center"/>
          </w:tcPr>
          <w:p w14:paraId="8A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8B020000">
            <w:pPr>
              <w:widowControl w:val="0"/>
              <w:spacing w:after="0" w:line="240" w:lineRule="auto"/>
              <w:ind/>
              <w:jc w:val="center"/>
              <w:rPr>
                <w:sz w:val="20"/>
              </w:rPr>
            </w:pPr>
            <w:r>
              <w:rPr>
                <w:sz w:val="20"/>
              </w:rPr>
              <w:t>0,051</w:t>
            </w:r>
          </w:p>
        </w:tc>
        <w:tc>
          <w:tcPr>
            <w:tcW w:type="dxa" w:w="1541"/>
            <w:tcBorders>
              <w:top w:sz="4" w:val="nil"/>
              <w:left w:color="000000" w:sz="4" w:val="single"/>
              <w:bottom w:color="000000" w:sz="4" w:val="single"/>
              <w:right w:color="000000" w:sz="4" w:val="single"/>
            </w:tcBorders>
            <w:vAlign w:val="center"/>
          </w:tcPr>
          <w:p w14:paraId="8C020000">
            <w:pPr>
              <w:ind/>
              <w:jc w:val="center"/>
              <w:rPr>
                <w:sz w:val="20"/>
              </w:rPr>
            </w:pPr>
            <w:r>
              <w:rPr>
                <w:sz w:val="20"/>
              </w:rPr>
              <w:t>0,094</w:t>
            </w:r>
          </w:p>
        </w:tc>
        <w:tc>
          <w:tcPr>
            <w:tcW w:type="dxa" w:w="1541"/>
            <w:tcBorders>
              <w:top w:sz="4" w:val="nil"/>
              <w:left w:color="000000" w:sz="4" w:val="single"/>
              <w:bottom w:color="000000" w:sz="4" w:val="single"/>
              <w:right w:color="000000" w:sz="4" w:val="single"/>
            </w:tcBorders>
            <w:vAlign w:val="center"/>
          </w:tcPr>
          <w:p w14:paraId="8D020000">
            <w:pPr>
              <w:widowControl w:val="0"/>
              <w:spacing w:after="0" w:line="240" w:lineRule="auto"/>
              <w:ind/>
              <w:jc w:val="center"/>
              <w:rPr>
                <w:sz w:val="20"/>
              </w:rPr>
            </w:pPr>
            <w:r>
              <w:rPr>
                <w:sz w:val="20"/>
              </w:rPr>
              <w:t>0,051</w:t>
            </w:r>
          </w:p>
        </w:tc>
      </w:tr>
      <w:tr>
        <w:tc>
          <w:tcPr>
            <w:tcW w:type="dxa" w:w="2103"/>
            <w:tcBorders>
              <w:top w:sz="4" w:val="nil"/>
              <w:left w:color="000000" w:sz="4" w:val="single"/>
              <w:bottom w:color="000000" w:sz="4" w:val="single"/>
              <w:right w:color="000000" w:sz="4" w:val="single"/>
            </w:tcBorders>
            <w:vAlign w:val="center"/>
          </w:tcPr>
          <w:p w14:paraId="8E020000">
            <w:pPr>
              <w:ind/>
              <w:jc w:val="center"/>
              <w:rPr>
                <w:sz w:val="20"/>
              </w:rPr>
            </w:pPr>
            <w:r>
              <w:rPr>
                <w:sz w:val="20"/>
              </w:rPr>
              <w:t>с. Куйбышево, ул. Цветаева, 31</w:t>
            </w:r>
          </w:p>
        </w:tc>
        <w:tc>
          <w:tcPr>
            <w:tcW w:type="dxa" w:w="1541"/>
            <w:tcBorders>
              <w:top w:sz="4" w:val="nil"/>
              <w:left w:color="000000" w:sz="4" w:val="single"/>
              <w:bottom w:color="000000" w:sz="4" w:val="single"/>
              <w:right w:color="000000" w:sz="4" w:val="single"/>
            </w:tcBorders>
            <w:vAlign w:val="center"/>
          </w:tcPr>
          <w:p w14:paraId="8F020000">
            <w:pPr>
              <w:ind/>
              <w:jc w:val="center"/>
              <w:rPr>
                <w:sz w:val="20"/>
              </w:rPr>
            </w:pPr>
            <w:r>
              <w:rPr>
                <w:sz w:val="20"/>
              </w:rPr>
              <w:t>0,020</w:t>
            </w:r>
          </w:p>
        </w:tc>
        <w:tc>
          <w:tcPr>
            <w:tcW w:type="dxa" w:w="1541"/>
            <w:tcBorders>
              <w:top w:color="000000" w:sz="4" w:val="single"/>
              <w:left w:color="000000" w:sz="4" w:val="single"/>
              <w:bottom w:color="000000" w:sz="4" w:val="single"/>
              <w:right w:color="000000" w:sz="4" w:val="single"/>
            </w:tcBorders>
            <w:vAlign w:val="center"/>
          </w:tcPr>
          <w:p w14:paraId="90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91020000">
            <w:pPr>
              <w:widowControl w:val="0"/>
              <w:spacing w:after="0" w:line="240" w:lineRule="auto"/>
              <w:ind/>
              <w:jc w:val="center"/>
              <w:rPr>
                <w:sz w:val="20"/>
              </w:rPr>
            </w:pPr>
            <w:r>
              <w:rPr>
                <w:sz w:val="20"/>
              </w:rPr>
              <w:t>0,012</w:t>
            </w:r>
          </w:p>
        </w:tc>
        <w:tc>
          <w:tcPr>
            <w:tcW w:type="dxa" w:w="1541"/>
            <w:tcBorders>
              <w:top w:sz="4" w:val="nil"/>
              <w:left w:color="000000" w:sz="4" w:val="single"/>
              <w:bottom w:color="000000" w:sz="4" w:val="single"/>
              <w:right w:color="000000" w:sz="4" w:val="single"/>
            </w:tcBorders>
            <w:vAlign w:val="center"/>
          </w:tcPr>
          <w:p w14:paraId="92020000">
            <w:pPr>
              <w:ind/>
              <w:jc w:val="center"/>
              <w:rPr>
                <w:sz w:val="20"/>
              </w:rPr>
            </w:pPr>
            <w:r>
              <w:rPr>
                <w:sz w:val="20"/>
              </w:rPr>
              <w:t>0,020</w:t>
            </w:r>
          </w:p>
        </w:tc>
        <w:tc>
          <w:tcPr>
            <w:tcW w:type="dxa" w:w="1541"/>
            <w:tcBorders>
              <w:top w:sz="4" w:val="nil"/>
              <w:left w:color="000000" w:sz="4" w:val="single"/>
              <w:bottom w:color="000000" w:sz="4" w:val="single"/>
              <w:right w:color="000000" w:sz="4" w:val="single"/>
            </w:tcBorders>
            <w:vAlign w:val="center"/>
          </w:tcPr>
          <w:p w14:paraId="93020000">
            <w:pPr>
              <w:widowControl w:val="0"/>
              <w:spacing w:after="0" w:line="240" w:lineRule="auto"/>
              <w:ind/>
              <w:jc w:val="center"/>
              <w:rPr>
                <w:sz w:val="20"/>
              </w:rPr>
            </w:pPr>
            <w:r>
              <w:rPr>
                <w:sz w:val="20"/>
              </w:rPr>
              <w:t>0,012</w:t>
            </w:r>
          </w:p>
        </w:tc>
      </w:tr>
      <w:tr>
        <w:tc>
          <w:tcPr>
            <w:tcW w:type="dxa" w:w="2103"/>
            <w:tcBorders>
              <w:top w:sz="4" w:val="nil"/>
              <w:left w:color="000000" w:sz="4" w:val="single"/>
              <w:bottom w:color="000000" w:sz="4" w:val="single"/>
              <w:right w:color="000000" w:sz="4" w:val="single"/>
            </w:tcBorders>
            <w:vAlign w:val="center"/>
          </w:tcPr>
          <w:p w14:paraId="94020000">
            <w:pPr>
              <w:ind/>
              <w:jc w:val="center"/>
              <w:rPr>
                <w:sz w:val="20"/>
              </w:rPr>
            </w:pPr>
            <w:r>
              <w:rPr>
                <w:sz w:val="20"/>
              </w:rPr>
              <w:t>с. Куйбышево, ул. Куйбышевская, 24</w:t>
            </w:r>
          </w:p>
        </w:tc>
        <w:tc>
          <w:tcPr>
            <w:tcW w:type="dxa" w:w="1541"/>
            <w:tcBorders>
              <w:top w:sz="4" w:val="nil"/>
              <w:left w:color="000000" w:sz="4" w:val="single"/>
              <w:bottom w:color="000000" w:sz="4" w:val="single"/>
              <w:right w:color="000000" w:sz="4" w:val="single"/>
            </w:tcBorders>
            <w:vAlign w:val="center"/>
          </w:tcPr>
          <w:p w14:paraId="95020000">
            <w:pPr>
              <w:ind/>
              <w:jc w:val="center"/>
              <w:rPr>
                <w:sz w:val="20"/>
              </w:rPr>
            </w:pPr>
            <w:r>
              <w:rPr>
                <w:sz w:val="20"/>
              </w:rPr>
              <w:t>0,165</w:t>
            </w:r>
          </w:p>
        </w:tc>
        <w:tc>
          <w:tcPr>
            <w:tcW w:type="dxa" w:w="1541"/>
            <w:tcBorders>
              <w:top w:color="000000" w:sz="4" w:val="single"/>
              <w:left w:color="000000" w:sz="4" w:val="single"/>
              <w:bottom w:color="000000" w:sz="4" w:val="single"/>
              <w:right w:color="000000" w:sz="4" w:val="single"/>
            </w:tcBorders>
            <w:vAlign w:val="center"/>
          </w:tcPr>
          <w:p w14:paraId="96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97020000">
            <w:pPr>
              <w:widowControl w:val="0"/>
              <w:spacing w:after="0" w:line="240" w:lineRule="auto"/>
              <w:ind/>
              <w:jc w:val="center"/>
              <w:rPr>
                <w:sz w:val="20"/>
              </w:rPr>
            </w:pPr>
            <w:r>
              <w:rPr>
                <w:sz w:val="20"/>
              </w:rPr>
              <w:t>0,153</w:t>
            </w:r>
          </w:p>
        </w:tc>
        <w:tc>
          <w:tcPr>
            <w:tcW w:type="dxa" w:w="1541"/>
            <w:tcBorders>
              <w:top w:sz="4" w:val="nil"/>
              <w:left w:color="000000" w:sz="4" w:val="single"/>
              <w:bottom w:color="000000" w:sz="4" w:val="single"/>
              <w:right w:color="000000" w:sz="4" w:val="single"/>
            </w:tcBorders>
            <w:vAlign w:val="center"/>
          </w:tcPr>
          <w:p w14:paraId="98020000">
            <w:pPr>
              <w:ind/>
              <w:jc w:val="center"/>
              <w:rPr>
                <w:sz w:val="20"/>
              </w:rPr>
            </w:pPr>
            <w:r>
              <w:rPr>
                <w:sz w:val="20"/>
              </w:rPr>
              <w:t>0,165</w:t>
            </w:r>
          </w:p>
        </w:tc>
        <w:tc>
          <w:tcPr>
            <w:tcW w:type="dxa" w:w="1541"/>
            <w:tcBorders>
              <w:top w:sz="4" w:val="nil"/>
              <w:left w:color="000000" w:sz="4" w:val="single"/>
              <w:bottom w:color="000000" w:sz="4" w:val="single"/>
              <w:right w:color="000000" w:sz="4" w:val="single"/>
            </w:tcBorders>
            <w:vAlign w:val="center"/>
          </w:tcPr>
          <w:p w14:paraId="99020000">
            <w:pPr>
              <w:widowControl w:val="0"/>
              <w:spacing w:after="0" w:line="240" w:lineRule="auto"/>
              <w:ind/>
              <w:jc w:val="center"/>
              <w:rPr>
                <w:sz w:val="20"/>
              </w:rPr>
            </w:pPr>
            <w:r>
              <w:rPr>
                <w:sz w:val="20"/>
              </w:rPr>
              <w:t>0,153</w:t>
            </w:r>
          </w:p>
        </w:tc>
      </w:tr>
      <w:tr>
        <w:tc>
          <w:tcPr>
            <w:tcW w:type="dxa" w:w="2103"/>
            <w:tcBorders>
              <w:top w:sz="4" w:val="nil"/>
              <w:left w:color="000000" w:sz="4" w:val="single"/>
              <w:bottom w:color="000000" w:sz="4" w:val="single"/>
              <w:right w:color="000000" w:sz="4" w:val="single"/>
            </w:tcBorders>
            <w:vAlign w:val="center"/>
          </w:tcPr>
          <w:p w14:paraId="9A020000">
            <w:pPr>
              <w:ind/>
              <w:jc w:val="center"/>
              <w:rPr>
                <w:sz w:val="20"/>
              </w:rPr>
            </w:pPr>
            <w:r>
              <w:rPr>
                <w:sz w:val="20"/>
              </w:rPr>
              <w:t>с. Куйбышево, ул. Куйбышевская, 20</w:t>
            </w:r>
          </w:p>
        </w:tc>
        <w:tc>
          <w:tcPr>
            <w:tcW w:type="dxa" w:w="1541"/>
            <w:tcBorders>
              <w:top w:sz="4" w:val="nil"/>
              <w:left w:color="000000" w:sz="4" w:val="single"/>
              <w:bottom w:color="000000" w:sz="4" w:val="single"/>
              <w:right w:color="000000" w:sz="4" w:val="single"/>
            </w:tcBorders>
            <w:vAlign w:val="center"/>
          </w:tcPr>
          <w:p w14:paraId="9B020000">
            <w:pPr>
              <w:ind/>
              <w:jc w:val="center"/>
              <w:rPr>
                <w:sz w:val="20"/>
              </w:rPr>
            </w:pPr>
            <w:r>
              <w:rPr>
                <w:sz w:val="20"/>
              </w:rPr>
              <w:t>0,027</w:t>
            </w:r>
          </w:p>
        </w:tc>
        <w:tc>
          <w:tcPr>
            <w:tcW w:type="dxa" w:w="1541"/>
            <w:tcBorders>
              <w:top w:color="000000" w:sz="4" w:val="single"/>
              <w:left w:color="000000" w:sz="4" w:val="single"/>
              <w:bottom w:color="000000" w:sz="4" w:val="single"/>
              <w:right w:color="000000" w:sz="4" w:val="single"/>
            </w:tcBorders>
            <w:vAlign w:val="center"/>
          </w:tcPr>
          <w:p w14:paraId="9C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9D020000">
            <w:pPr>
              <w:widowControl w:val="0"/>
              <w:spacing w:after="0" w:line="240" w:lineRule="auto"/>
              <w:ind/>
              <w:jc w:val="center"/>
              <w:rPr>
                <w:sz w:val="20"/>
              </w:rPr>
            </w:pPr>
            <w:r>
              <w:rPr>
                <w:sz w:val="20"/>
              </w:rPr>
              <w:t>0,021</w:t>
            </w:r>
          </w:p>
        </w:tc>
        <w:tc>
          <w:tcPr>
            <w:tcW w:type="dxa" w:w="1541"/>
            <w:tcBorders>
              <w:top w:sz="4" w:val="nil"/>
              <w:left w:color="000000" w:sz="4" w:val="single"/>
              <w:bottom w:color="000000" w:sz="4" w:val="single"/>
              <w:right w:color="000000" w:sz="4" w:val="single"/>
            </w:tcBorders>
            <w:vAlign w:val="center"/>
          </w:tcPr>
          <w:p w14:paraId="9E020000">
            <w:pPr>
              <w:ind/>
              <w:jc w:val="center"/>
              <w:rPr>
                <w:sz w:val="20"/>
              </w:rPr>
            </w:pPr>
            <w:r>
              <w:rPr>
                <w:sz w:val="20"/>
              </w:rPr>
              <w:t>0,027</w:t>
            </w:r>
          </w:p>
        </w:tc>
        <w:tc>
          <w:tcPr>
            <w:tcW w:type="dxa" w:w="1541"/>
            <w:tcBorders>
              <w:top w:sz="4" w:val="nil"/>
              <w:left w:color="000000" w:sz="4" w:val="single"/>
              <w:bottom w:color="000000" w:sz="4" w:val="single"/>
              <w:right w:color="000000" w:sz="4" w:val="single"/>
            </w:tcBorders>
            <w:vAlign w:val="center"/>
          </w:tcPr>
          <w:p w14:paraId="9F020000">
            <w:pPr>
              <w:widowControl w:val="0"/>
              <w:spacing w:after="0" w:line="240" w:lineRule="auto"/>
              <w:ind/>
              <w:jc w:val="center"/>
              <w:rPr>
                <w:sz w:val="20"/>
              </w:rPr>
            </w:pPr>
            <w:r>
              <w:rPr>
                <w:sz w:val="20"/>
              </w:rPr>
              <w:t>0,021</w:t>
            </w:r>
          </w:p>
        </w:tc>
      </w:tr>
      <w:tr>
        <w:tc>
          <w:tcPr>
            <w:tcW w:type="dxa" w:w="2103"/>
            <w:tcBorders>
              <w:top w:sz="4" w:val="nil"/>
              <w:left w:color="000000" w:sz="4" w:val="single"/>
              <w:bottom w:color="000000" w:sz="4" w:val="single"/>
              <w:right w:color="000000" w:sz="4" w:val="single"/>
            </w:tcBorders>
            <w:vAlign w:val="center"/>
          </w:tcPr>
          <w:p w14:paraId="A0020000">
            <w:pPr>
              <w:ind/>
              <w:jc w:val="center"/>
              <w:rPr>
                <w:sz w:val="20"/>
              </w:rPr>
            </w:pPr>
            <w:r>
              <w:rPr>
                <w:sz w:val="20"/>
              </w:rPr>
              <w:t xml:space="preserve">с. </w:t>
            </w:r>
            <w:r>
              <w:rPr>
                <w:sz w:val="20"/>
              </w:rPr>
              <w:t>Куйбышево, ул. Миусская, 3</w:t>
            </w:r>
          </w:p>
        </w:tc>
        <w:tc>
          <w:tcPr>
            <w:tcW w:type="dxa" w:w="1541"/>
            <w:tcBorders>
              <w:top w:sz="4" w:val="nil"/>
              <w:left w:color="000000" w:sz="4" w:val="single"/>
              <w:bottom w:color="000000" w:sz="4" w:val="single"/>
              <w:right w:color="000000" w:sz="4" w:val="single"/>
            </w:tcBorders>
            <w:vAlign w:val="center"/>
          </w:tcPr>
          <w:p w14:paraId="A1020000">
            <w:pPr>
              <w:ind/>
              <w:jc w:val="center"/>
              <w:rPr>
                <w:sz w:val="20"/>
              </w:rPr>
            </w:pPr>
            <w:r>
              <w:rPr>
                <w:sz w:val="20"/>
              </w:rPr>
              <w:t>0,165</w:t>
            </w:r>
          </w:p>
        </w:tc>
        <w:tc>
          <w:tcPr>
            <w:tcW w:type="dxa" w:w="1541"/>
            <w:tcBorders>
              <w:top w:color="000000" w:sz="4" w:val="single"/>
              <w:left w:color="000000" w:sz="4" w:val="single"/>
              <w:bottom w:color="000000" w:sz="4" w:val="single"/>
              <w:right w:color="000000" w:sz="4" w:val="single"/>
            </w:tcBorders>
            <w:vAlign w:val="center"/>
          </w:tcPr>
          <w:p w14:paraId="A2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A3020000">
            <w:pPr>
              <w:widowControl w:val="0"/>
              <w:spacing w:after="0" w:line="240" w:lineRule="auto"/>
              <w:ind/>
              <w:jc w:val="center"/>
              <w:rPr>
                <w:sz w:val="20"/>
              </w:rPr>
            </w:pPr>
            <w:r>
              <w:rPr>
                <w:sz w:val="20"/>
              </w:rPr>
              <w:t>0,105</w:t>
            </w:r>
          </w:p>
        </w:tc>
        <w:tc>
          <w:tcPr>
            <w:tcW w:type="dxa" w:w="1541"/>
            <w:tcBorders>
              <w:top w:sz="4" w:val="nil"/>
              <w:left w:color="000000" w:sz="4" w:val="single"/>
              <w:bottom w:color="000000" w:sz="4" w:val="single"/>
              <w:right w:color="000000" w:sz="4" w:val="single"/>
            </w:tcBorders>
            <w:vAlign w:val="center"/>
          </w:tcPr>
          <w:p w14:paraId="A4020000">
            <w:pPr>
              <w:ind/>
              <w:jc w:val="center"/>
              <w:rPr>
                <w:sz w:val="20"/>
              </w:rPr>
            </w:pPr>
            <w:r>
              <w:rPr>
                <w:sz w:val="20"/>
              </w:rPr>
              <w:t>0,165</w:t>
            </w:r>
          </w:p>
        </w:tc>
        <w:tc>
          <w:tcPr>
            <w:tcW w:type="dxa" w:w="1541"/>
            <w:tcBorders>
              <w:top w:sz="4" w:val="nil"/>
              <w:left w:color="000000" w:sz="4" w:val="single"/>
              <w:bottom w:color="000000" w:sz="4" w:val="single"/>
              <w:right w:color="000000" w:sz="4" w:val="single"/>
            </w:tcBorders>
            <w:vAlign w:val="center"/>
          </w:tcPr>
          <w:p w14:paraId="A5020000">
            <w:pPr>
              <w:widowControl w:val="0"/>
              <w:spacing w:after="0" w:line="240" w:lineRule="auto"/>
              <w:ind/>
              <w:jc w:val="center"/>
              <w:rPr>
                <w:sz w:val="20"/>
              </w:rPr>
            </w:pPr>
            <w:r>
              <w:rPr>
                <w:sz w:val="20"/>
              </w:rPr>
              <w:t>0,105</w:t>
            </w:r>
          </w:p>
        </w:tc>
      </w:tr>
      <w:tr>
        <w:tc>
          <w:tcPr>
            <w:tcW w:type="dxa" w:w="2103"/>
            <w:tcBorders>
              <w:top w:sz="4" w:val="nil"/>
              <w:left w:color="000000" w:sz="4" w:val="single"/>
              <w:bottom w:color="000000" w:sz="4" w:val="single"/>
              <w:right w:color="000000" w:sz="4" w:val="single"/>
            </w:tcBorders>
            <w:vAlign w:val="center"/>
          </w:tcPr>
          <w:p w14:paraId="A6020000">
            <w:pPr>
              <w:ind/>
              <w:jc w:val="center"/>
              <w:rPr>
                <w:sz w:val="20"/>
              </w:rPr>
            </w:pPr>
            <w:r>
              <w:rPr>
                <w:sz w:val="20"/>
              </w:rPr>
              <w:t>с. Куйбышево, ул. Миусская, 3</w:t>
            </w:r>
          </w:p>
        </w:tc>
        <w:tc>
          <w:tcPr>
            <w:tcW w:type="dxa" w:w="1541"/>
            <w:tcBorders>
              <w:top w:sz="4" w:val="nil"/>
              <w:left w:color="000000" w:sz="4" w:val="single"/>
              <w:bottom w:color="000000" w:sz="4" w:val="single"/>
              <w:right w:color="000000" w:sz="4" w:val="single"/>
            </w:tcBorders>
            <w:vAlign w:val="center"/>
          </w:tcPr>
          <w:p w14:paraId="A7020000">
            <w:pPr>
              <w:ind/>
              <w:jc w:val="center"/>
              <w:rPr>
                <w:sz w:val="20"/>
              </w:rPr>
            </w:pPr>
            <w:r>
              <w:rPr>
                <w:sz w:val="20"/>
              </w:rPr>
              <w:t>0,086</w:t>
            </w:r>
          </w:p>
        </w:tc>
        <w:tc>
          <w:tcPr>
            <w:tcW w:type="dxa" w:w="1541"/>
            <w:tcBorders>
              <w:top w:color="000000" w:sz="4" w:val="single"/>
              <w:left w:color="000000" w:sz="4" w:val="single"/>
              <w:bottom w:color="000000" w:sz="4" w:val="single"/>
              <w:right w:color="000000" w:sz="4" w:val="single"/>
            </w:tcBorders>
            <w:vAlign w:val="center"/>
          </w:tcPr>
          <w:p w14:paraId="A8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A9020000">
            <w:pPr>
              <w:widowControl w:val="0"/>
              <w:spacing w:after="0" w:line="240" w:lineRule="auto"/>
              <w:ind/>
              <w:jc w:val="center"/>
              <w:rPr>
                <w:sz w:val="20"/>
              </w:rPr>
            </w:pPr>
            <w:r>
              <w:rPr>
                <w:sz w:val="20"/>
              </w:rPr>
              <w:t>0,060</w:t>
            </w:r>
          </w:p>
        </w:tc>
        <w:tc>
          <w:tcPr>
            <w:tcW w:type="dxa" w:w="1541"/>
            <w:tcBorders>
              <w:top w:sz="4" w:val="nil"/>
              <w:left w:color="000000" w:sz="4" w:val="single"/>
              <w:bottom w:color="000000" w:sz="4" w:val="single"/>
              <w:right w:color="000000" w:sz="4" w:val="single"/>
            </w:tcBorders>
            <w:vAlign w:val="center"/>
          </w:tcPr>
          <w:p w14:paraId="AA020000">
            <w:pPr>
              <w:ind/>
              <w:jc w:val="center"/>
              <w:rPr>
                <w:sz w:val="20"/>
              </w:rPr>
            </w:pPr>
            <w:r>
              <w:rPr>
                <w:sz w:val="20"/>
              </w:rPr>
              <w:t>0,086</w:t>
            </w:r>
          </w:p>
        </w:tc>
        <w:tc>
          <w:tcPr>
            <w:tcW w:type="dxa" w:w="1541"/>
            <w:tcBorders>
              <w:top w:sz="4" w:val="nil"/>
              <w:left w:color="000000" w:sz="4" w:val="single"/>
              <w:bottom w:color="000000" w:sz="4" w:val="single"/>
              <w:right w:color="000000" w:sz="4" w:val="single"/>
            </w:tcBorders>
            <w:vAlign w:val="center"/>
          </w:tcPr>
          <w:p w14:paraId="AB020000">
            <w:pPr>
              <w:widowControl w:val="0"/>
              <w:spacing w:after="0" w:line="240" w:lineRule="auto"/>
              <w:ind/>
              <w:jc w:val="center"/>
              <w:rPr>
                <w:sz w:val="20"/>
              </w:rPr>
            </w:pPr>
            <w:r>
              <w:rPr>
                <w:sz w:val="20"/>
              </w:rPr>
              <w:t>0,060</w:t>
            </w:r>
          </w:p>
        </w:tc>
      </w:tr>
      <w:tr>
        <w:tc>
          <w:tcPr>
            <w:tcW w:type="dxa" w:w="2103"/>
            <w:tcBorders>
              <w:top w:sz="4" w:val="nil"/>
              <w:left w:color="000000" w:sz="4" w:val="single"/>
              <w:bottom w:color="000000" w:sz="4" w:val="single"/>
              <w:right w:color="000000" w:sz="4" w:val="single"/>
            </w:tcBorders>
            <w:vAlign w:val="center"/>
          </w:tcPr>
          <w:p w14:paraId="AC020000">
            <w:pPr>
              <w:ind/>
              <w:jc w:val="center"/>
              <w:rPr>
                <w:sz w:val="20"/>
              </w:rPr>
            </w:pPr>
            <w:r>
              <w:rPr>
                <w:sz w:val="20"/>
              </w:rPr>
              <w:t>с. Куйбышево, ул. Миусская, 3</w:t>
            </w:r>
          </w:p>
        </w:tc>
        <w:tc>
          <w:tcPr>
            <w:tcW w:type="dxa" w:w="1541"/>
            <w:tcBorders>
              <w:top w:sz="4" w:val="nil"/>
              <w:left w:color="000000" w:sz="4" w:val="single"/>
              <w:bottom w:color="000000" w:sz="4" w:val="single"/>
              <w:right w:color="000000" w:sz="4" w:val="single"/>
            </w:tcBorders>
            <w:vAlign w:val="center"/>
          </w:tcPr>
          <w:p w14:paraId="AD020000">
            <w:pPr>
              <w:ind/>
              <w:jc w:val="center"/>
              <w:rPr>
                <w:sz w:val="20"/>
              </w:rPr>
            </w:pPr>
            <w:r>
              <w:rPr>
                <w:sz w:val="20"/>
              </w:rPr>
              <w:t>0,017</w:t>
            </w:r>
          </w:p>
        </w:tc>
        <w:tc>
          <w:tcPr>
            <w:tcW w:type="dxa" w:w="1541"/>
            <w:tcBorders>
              <w:top w:color="000000" w:sz="4" w:val="single"/>
              <w:left w:color="000000" w:sz="4" w:val="single"/>
              <w:bottom w:color="000000" w:sz="4" w:val="single"/>
              <w:right w:color="000000" w:sz="4" w:val="single"/>
            </w:tcBorders>
            <w:vAlign w:val="center"/>
          </w:tcPr>
          <w:p w14:paraId="AE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AF020000">
            <w:pPr>
              <w:widowControl w:val="0"/>
              <w:spacing w:after="0" w:line="240" w:lineRule="auto"/>
              <w:ind/>
              <w:jc w:val="center"/>
              <w:rPr>
                <w:sz w:val="20"/>
              </w:rPr>
            </w:pPr>
            <w:r>
              <w:rPr>
                <w:sz w:val="20"/>
              </w:rPr>
              <w:t>0,017</w:t>
            </w:r>
          </w:p>
        </w:tc>
        <w:tc>
          <w:tcPr>
            <w:tcW w:type="dxa" w:w="1541"/>
            <w:tcBorders>
              <w:top w:sz="4" w:val="nil"/>
              <w:left w:color="000000" w:sz="4" w:val="single"/>
              <w:bottom w:color="000000" w:sz="4" w:val="single"/>
              <w:right w:color="000000" w:sz="4" w:val="single"/>
            </w:tcBorders>
            <w:vAlign w:val="center"/>
          </w:tcPr>
          <w:p w14:paraId="B0020000">
            <w:pPr>
              <w:ind/>
              <w:jc w:val="center"/>
              <w:rPr>
                <w:sz w:val="20"/>
              </w:rPr>
            </w:pPr>
            <w:r>
              <w:rPr>
                <w:sz w:val="20"/>
              </w:rPr>
              <w:t>0,017</w:t>
            </w:r>
          </w:p>
        </w:tc>
        <w:tc>
          <w:tcPr>
            <w:tcW w:type="dxa" w:w="1541"/>
            <w:tcBorders>
              <w:top w:sz="4" w:val="nil"/>
              <w:left w:color="000000" w:sz="4" w:val="single"/>
              <w:bottom w:color="000000" w:sz="4" w:val="single"/>
              <w:right w:color="000000" w:sz="4" w:val="single"/>
            </w:tcBorders>
            <w:vAlign w:val="center"/>
          </w:tcPr>
          <w:p w14:paraId="B1020000">
            <w:pPr>
              <w:widowControl w:val="0"/>
              <w:spacing w:after="0" w:line="240" w:lineRule="auto"/>
              <w:ind/>
              <w:jc w:val="center"/>
              <w:rPr>
                <w:sz w:val="20"/>
              </w:rPr>
            </w:pPr>
            <w:r>
              <w:rPr>
                <w:sz w:val="20"/>
              </w:rPr>
              <w:t>0,017</w:t>
            </w:r>
          </w:p>
        </w:tc>
      </w:tr>
      <w:tr>
        <w:trPr>
          <w:trHeight w:hRule="atLeast" w:val="770"/>
        </w:trPr>
        <w:tc>
          <w:tcPr>
            <w:tcW w:type="dxa" w:w="2103"/>
            <w:tcBorders>
              <w:top w:sz="4" w:val="nil"/>
              <w:left w:color="000000" w:sz="4" w:val="single"/>
              <w:bottom w:color="000000" w:sz="4" w:val="single"/>
              <w:right w:color="000000" w:sz="4" w:val="single"/>
            </w:tcBorders>
            <w:vAlign w:val="center"/>
          </w:tcPr>
          <w:p w14:paraId="B2020000">
            <w:pPr>
              <w:ind/>
              <w:jc w:val="center"/>
              <w:rPr>
                <w:sz w:val="20"/>
              </w:rPr>
            </w:pPr>
            <w:r>
              <w:rPr>
                <w:sz w:val="20"/>
              </w:rPr>
              <w:t>с. Куйбышево, ул. Миусская, 3</w:t>
            </w:r>
          </w:p>
        </w:tc>
        <w:tc>
          <w:tcPr>
            <w:tcW w:type="dxa" w:w="1541"/>
            <w:tcBorders>
              <w:top w:sz="4" w:val="nil"/>
              <w:left w:color="000000" w:sz="4" w:val="single"/>
              <w:bottom w:color="000000" w:sz="4" w:val="single"/>
              <w:right w:color="000000" w:sz="4" w:val="single"/>
            </w:tcBorders>
            <w:vAlign w:val="center"/>
          </w:tcPr>
          <w:p w14:paraId="B3020000">
            <w:pPr>
              <w:ind/>
              <w:jc w:val="center"/>
              <w:rPr>
                <w:sz w:val="20"/>
              </w:rPr>
            </w:pPr>
            <w:r>
              <w:rPr>
                <w:sz w:val="20"/>
              </w:rPr>
              <w:t>0,020</w:t>
            </w:r>
          </w:p>
        </w:tc>
        <w:tc>
          <w:tcPr>
            <w:tcW w:type="dxa" w:w="1541"/>
            <w:tcBorders>
              <w:top w:color="000000" w:sz="4" w:val="single"/>
              <w:left w:color="000000" w:sz="4" w:val="single"/>
              <w:bottom w:color="000000" w:sz="4" w:val="single"/>
              <w:right w:color="000000" w:sz="4" w:val="single"/>
            </w:tcBorders>
            <w:vAlign w:val="center"/>
          </w:tcPr>
          <w:p w14:paraId="B4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B5020000">
            <w:pPr>
              <w:widowControl w:val="0"/>
              <w:spacing w:after="0" w:line="240" w:lineRule="auto"/>
              <w:ind/>
              <w:jc w:val="center"/>
              <w:rPr>
                <w:sz w:val="20"/>
              </w:rPr>
            </w:pPr>
            <w:r>
              <w:rPr>
                <w:sz w:val="20"/>
              </w:rPr>
              <w:t>0,019</w:t>
            </w:r>
          </w:p>
        </w:tc>
        <w:tc>
          <w:tcPr>
            <w:tcW w:type="dxa" w:w="1541"/>
            <w:tcBorders>
              <w:top w:sz="4" w:val="nil"/>
              <w:left w:color="000000" w:sz="4" w:val="single"/>
              <w:bottom w:color="000000" w:sz="4" w:val="single"/>
              <w:right w:color="000000" w:sz="4" w:val="single"/>
            </w:tcBorders>
            <w:vAlign w:val="center"/>
          </w:tcPr>
          <w:p w14:paraId="B6020000">
            <w:pPr>
              <w:ind/>
              <w:jc w:val="center"/>
              <w:rPr>
                <w:sz w:val="20"/>
              </w:rPr>
            </w:pPr>
            <w:r>
              <w:rPr>
                <w:sz w:val="20"/>
              </w:rPr>
              <w:t>0,020</w:t>
            </w:r>
          </w:p>
        </w:tc>
        <w:tc>
          <w:tcPr>
            <w:tcW w:type="dxa" w:w="1541"/>
            <w:tcBorders>
              <w:top w:sz="4" w:val="nil"/>
              <w:left w:color="000000" w:sz="4" w:val="single"/>
              <w:bottom w:color="000000" w:sz="4" w:val="single"/>
              <w:right w:color="000000" w:sz="4" w:val="single"/>
            </w:tcBorders>
            <w:vAlign w:val="center"/>
          </w:tcPr>
          <w:p w14:paraId="B7020000">
            <w:pPr>
              <w:widowControl w:val="0"/>
              <w:spacing w:after="0" w:line="240" w:lineRule="auto"/>
              <w:ind/>
              <w:jc w:val="center"/>
              <w:rPr>
                <w:sz w:val="20"/>
              </w:rPr>
            </w:pPr>
            <w:r>
              <w:rPr>
                <w:sz w:val="20"/>
              </w:rPr>
              <w:t>0,019</w:t>
            </w:r>
          </w:p>
        </w:tc>
      </w:tr>
      <w:tr>
        <w:tc>
          <w:tcPr>
            <w:tcW w:type="dxa" w:w="2103"/>
            <w:tcBorders>
              <w:top w:sz="4" w:val="nil"/>
              <w:left w:color="000000" w:sz="4" w:val="single"/>
              <w:bottom w:color="000000" w:sz="4" w:val="single"/>
              <w:right w:color="000000" w:sz="4" w:val="single"/>
            </w:tcBorders>
            <w:vAlign w:val="center"/>
          </w:tcPr>
          <w:p w14:paraId="B8020000">
            <w:pPr>
              <w:ind/>
              <w:jc w:val="center"/>
              <w:rPr>
                <w:sz w:val="20"/>
              </w:rPr>
            </w:pPr>
            <w:r>
              <w:rPr>
                <w:sz w:val="20"/>
              </w:rPr>
              <w:t>с. Куйбышево, ул. Миусская, 3</w:t>
            </w:r>
          </w:p>
        </w:tc>
        <w:tc>
          <w:tcPr>
            <w:tcW w:type="dxa" w:w="1541"/>
            <w:tcBorders>
              <w:top w:sz="4" w:val="nil"/>
              <w:left w:color="000000" w:sz="4" w:val="single"/>
              <w:bottom w:color="000000" w:sz="4" w:val="single"/>
              <w:right w:color="000000" w:sz="4" w:val="single"/>
            </w:tcBorders>
            <w:vAlign w:val="center"/>
          </w:tcPr>
          <w:p w14:paraId="B9020000">
            <w:pPr>
              <w:ind/>
              <w:jc w:val="center"/>
              <w:rPr>
                <w:sz w:val="20"/>
              </w:rPr>
            </w:pPr>
            <w:r>
              <w:rPr>
                <w:sz w:val="20"/>
              </w:rPr>
              <w:t>0,011</w:t>
            </w:r>
          </w:p>
        </w:tc>
        <w:tc>
          <w:tcPr>
            <w:tcW w:type="dxa" w:w="1541"/>
            <w:tcBorders>
              <w:top w:color="000000" w:sz="4" w:val="single"/>
              <w:left w:color="000000" w:sz="4" w:val="single"/>
              <w:bottom w:color="000000" w:sz="4" w:val="single"/>
              <w:right w:color="000000" w:sz="4" w:val="single"/>
            </w:tcBorders>
            <w:vAlign w:val="center"/>
          </w:tcPr>
          <w:p w14:paraId="BA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BB020000">
            <w:pPr>
              <w:widowControl w:val="0"/>
              <w:spacing w:after="0" w:line="240" w:lineRule="auto"/>
              <w:ind/>
              <w:jc w:val="center"/>
              <w:rPr>
                <w:sz w:val="20"/>
              </w:rPr>
            </w:pPr>
            <w:r>
              <w:rPr>
                <w:sz w:val="20"/>
              </w:rPr>
              <w:t>0,011</w:t>
            </w:r>
          </w:p>
        </w:tc>
        <w:tc>
          <w:tcPr>
            <w:tcW w:type="dxa" w:w="1541"/>
            <w:tcBorders>
              <w:top w:sz="4" w:val="nil"/>
              <w:left w:color="000000" w:sz="4" w:val="single"/>
              <w:bottom w:color="000000" w:sz="4" w:val="single"/>
              <w:right w:color="000000" w:sz="4" w:val="single"/>
            </w:tcBorders>
            <w:vAlign w:val="center"/>
          </w:tcPr>
          <w:p w14:paraId="BC020000">
            <w:pPr>
              <w:ind/>
              <w:jc w:val="center"/>
              <w:rPr>
                <w:sz w:val="20"/>
              </w:rPr>
            </w:pPr>
            <w:r>
              <w:rPr>
                <w:sz w:val="20"/>
              </w:rPr>
              <w:t>0,011</w:t>
            </w:r>
          </w:p>
        </w:tc>
        <w:tc>
          <w:tcPr>
            <w:tcW w:type="dxa" w:w="1541"/>
            <w:tcBorders>
              <w:top w:sz="4" w:val="nil"/>
              <w:left w:color="000000" w:sz="4" w:val="single"/>
              <w:bottom w:color="000000" w:sz="4" w:val="single"/>
              <w:right w:color="000000" w:sz="4" w:val="single"/>
            </w:tcBorders>
            <w:vAlign w:val="center"/>
          </w:tcPr>
          <w:p w14:paraId="BD020000">
            <w:pPr>
              <w:widowControl w:val="0"/>
              <w:spacing w:after="0" w:line="240" w:lineRule="auto"/>
              <w:ind/>
              <w:jc w:val="center"/>
              <w:rPr>
                <w:sz w:val="20"/>
              </w:rPr>
            </w:pPr>
            <w:r>
              <w:rPr>
                <w:sz w:val="20"/>
              </w:rPr>
              <w:t>0,011</w:t>
            </w:r>
          </w:p>
        </w:tc>
      </w:tr>
      <w:tr>
        <w:tc>
          <w:tcPr>
            <w:tcW w:type="dxa" w:w="2103"/>
            <w:tcBorders>
              <w:top w:sz="4" w:val="nil"/>
              <w:left w:color="000000" w:sz="4" w:val="single"/>
              <w:bottom w:color="000000" w:sz="4" w:val="single"/>
              <w:right w:color="000000" w:sz="4" w:val="single"/>
            </w:tcBorders>
            <w:vAlign w:val="center"/>
          </w:tcPr>
          <w:p w14:paraId="BE020000">
            <w:pPr>
              <w:ind/>
              <w:jc w:val="center"/>
              <w:rPr>
                <w:sz w:val="20"/>
              </w:rPr>
            </w:pPr>
            <w:r>
              <w:rPr>
                <w:sz w:val="20"/>
              </w:rPr>
              <w:t>с. Куйбышево, ул. Миусская, 3</w:t>
            </w:r>
          </w:p>
        </w:tc>
        <w:tc>
          <w:tcPr>
            <w:tcW w:type="dxa" w:w="1541"/>
            <w:tcBorders>
              <w:top w:sz="4" w:val="nil"/>
              <w:left w:color="000000" w:sz="4" w:val="single"/>
              <w:bottom w:color="000000" w:sz="4" w:val="single"/>
              <w:right w:color="000000" w:sz="4" w:val="single"/>
            </w:tcBorders>
            <w:vAlign w:val="center"/>
          </w:tcPr>
          <w:p w14:paraId="BF020000">
            <w:pPr>
              <w:ind/>
              <w:jc w:val="center"/>
              <w:rPr>
                <w:sz w:val="20"/>
              </w:rPr>
            </w:pPr>
            <w:r>
              <w:rPr>
                <w:sz w:val="20"/>
              </w:rPr>
              <w:t>0,027</w:t>
            </w:r>
          </w:p>
        </w:tc>
        <w:tc>
          <w:tcPr>
            <w:tcW w:type="dxa" w:w="1541"/>
            <w:tcBorders>
              <w:top w:color="000000" w:sz="4" w:val="single"/>
              <w:left w:color="000000" w:sz="4" w:val="single"/>
              <w:bottom w:color="000000" w:sz="4" w:val="single"/>
              <w:right w:color="000000" w:sz="4" w:val="single"/>
            </w:tcBorders>
            <w:vAlign w:val="center"/>
          </w:tcPr>
          <w:p w14:paraId="C0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C1020000">
            <w:pPr>
              <w:widowControl w:val="0"/>
              <w:spacing w:after="0" w:line="240" w:lineRule="auto"/>
              <w:ind/>
              <w:jc w:val="center"/>
              <w:rPr>
                <w:sz w:val="20"/>
              </w:rPr>
            </w:pPr>
            <w:r>
              <w:rPr>
                <w:sz w:val="20"/>
              </w:rPr>
              <w:t>0,010</w:t>
            </w:r>
          </w:p>
        </w:tc>
        <w:tc>
          <w:tcPr>
            <w:tcW w:type="dxa" w:w="1541"/>
            <w:tcBorders>
              <w:top w:sz="4" w:val="nil"/>
              <w:left w:color="000000" w:sz="4" w:val="single"/>
              <w:bottom w:color="000000" w:sz="4" w:val="single"/>
              <w:right w:color="000000" w:sz="4" w:val="single"/>
            </w:tcBorders>
            <w:vAlign w:val="center"/>
          </w:tcPr>
          <w:p w14:paraId="C2020000">
            <w:pPr>
              <w:ind/>
              <w:jc w:val="center"/>
              <w:rPr>
                <w:sz w:val="20"/>
              </w:rPr>
            </w:pPr>
            <w:r>
              <w:rPr>
                <w:sz w:val="20"/>
              </w:rPr>
              <w:t>0,027</w:t>
            </w:r>
          </w:p>
        </w:tc>
        <w:tc>
          <w:tcPr>
            <w:tcW w:type="dxa" w:w="1541"/>
            <w:tcBorders>
              <w:top w:sz="4" w:val="nil"/>
              <w:left w:color="000000" w:sz="4" w:val="single"/>
              <w:bottom w:color="000000" w:sz="4" w:val="single"/>
              <w:right w:color="000000" w:sz="4" w:val="single"/>
            </w:tcBorders>
            <w:vAlign w:val="center"/>
          </w:tcPr>
          <w:p w14:paraId="C3020000">
            <w:pPr>
              <w:widowControl w:val="0"/>
              <w:spacing w:after="0" w:line="240" w:lineRule="auto"/>
              <w:ind/>
              <w:jc w:val="center"/>
              <w:rPr>
                <w:sz w:val="20"/>
              </w:rPr>
            </w:pPr>
            <w:r>
              <w:rPr>
                <w:sz w:val="20"/>
              </w:rPr>
              <w:t>0,010</w:t>
            </w:r>
          </w:p>
        </w:tc>
      </w:tr>
      <w:tr>
        <w:tc>
          <w:tcPr>
            <w:tcW w:type="dxa" w:w="2103"/>
            <w:tcBorders>
              <w:top w:sz="4" w:val="nil"/>
              <w:left w:color="000000" w:sz="4" w:val="single"/>
              <w:bottom w:color="000000" w:sz="4" w:val="single"/>
              <w:right w:color="000000" w:sz="4" w:val="single"/>
            </w:tcBorders>
            <w:vAlign w:val="center"/>
          </w:tcPr>
          <w:p w14:paraId="C4020000">
            <w:pPr>
              <w:ind/>
              <w:jc w:val="center"/>
              <w:rPr>
                <w:sz w:val="20"/>
              </w:rPr>
            </w:pPr>
            <w:r>
              <w:rPr>
                <w:sz w:val="20"/>
              </w:rPr>
              <w:t>с. Куйбышево, ул. Миусская, 3</w:t>
            </w:r>
          </w:p>
        </w:tc>
        <w:tc>
          <w:tcPr>
            <w:tcW w:type="dxa" w:w="1541"/>
            <w:tcBorders>
              <w:top w:sz="4" w:val="nil"/>
              <w:left w:color="000000" w:sz="4" w:val="single"/>
              <w:bottom w:color="000000" w:sz="4" w:val="single"/>
              <w:right w:color="000000" w:sz="4" w:val="single"/>
            </w:tcBorders>
            <w:vAlign w:val="center"/>
          </w:tcPr>
          <w:p w14:paraId="C5020000">
            <w:pPr>
              <w:ind/>
              <w:jc w:val="center"/>
              <w:rPr>
                <w:sz w:val="20"/>
              </w:rPr>
            </w:pPr>
            <w:r>
              <w:rPr>
                <w:sz w:val="20"/>
              </w:rPr>
              <w:t>0,010</w:t>
            </w:r>
          </w:p>
        </w:tc>
        <w:tc>
          <w:tcPr>
            <w:tcW w:type="dxa" w:w="1541"/>
            <w:tcBorders>
              <w:top w:color="000000" w:sz="4" w:val="single"/>
              <w:left w:color="000000" w:sz="4" w:val="single"/>
              <w:bottom w:color="000000" w:sz="4" w:val="single"/>
              <w:right w:color="000000" w:sz="4" w:val="single"/>
            </w:tcBorders>
            <w:vAlign w:val="center"/>
          </w:tcPr>
          <w:p w14:paraId="C6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C7020000">
            <w:pPr>
              <w:widowControl w:val="0"/>
              <w:spacing w:after="0" w:line="240" w:lineRule="auto"/>
              <w:ind/>
              <w:jc w:val="center"/>
              <w:rPr>
                <w:sz w:val="20"/>
              </w:rPr>
            </w:pPr>
            <w:r>
              <w:rPr>
                <w:sz w:val="20"/>
              </w:rPr>
              <w:t>0,006</w:t>
            </w:r>
          </w:p>
        </w:tc>
        <w:tc>
          <w:tcPr>
            <w:tcW w:type="dxa" w:w="1541"/>
            <w:tcBorders>
              <w:top w:sz="4" w:val="nil"/>
              <w:left w:color="000000" w:sz="4" w:val="single"/>
              <w:bottom w:color="000000" w:sz="4" w:val="single"/>
              <w:right w:color="000000" w:sz="4" w:val="single"/>
            </w:tcBorders>
            <w:vAlign w:val="center"/>
          </w:tcPr>
          <w:p w14:paraId="C8020000">
            <w:pPr>
              <w:ind/>
              <w:jc w:val="center"/>
              <w:rPr>
                <w:sz w:val="20"/>
              </w:rPr>
            </w:pPr>
            <w:r>
              <w:rPr>
                <w:sz w:val="20"/>
              </w:rPr>
              <w:t>0,010</w:t>
            </w:r>
          </w:p>
        </w:tc>
        <w:tc>
          <w:tcPr>
            <w:tcW w:type="dxa" w:w="1541"/>
            <w:tcBorders>
              <w:top w:sz="4" w:val="nil"/>
              <w:left w:color="000000" w:sz="4" w:val="single"/>
              <w:bottom w:color="000000" w:sz="4" w:val="single"/>
              <w:right w:color="000000" w:sz="4" w:val="single"/>
            </w:tcBorders>
            <w:vAlign w:val="center"/>
          </w:tcPr>
          <w:p w14:paraId="C9020000">
            <w:pPr>
              <w:widowControl w:val="0"/>
              <w:spacing w:after="0" w:line="240" w:lineRule="auto"/>
              <w:ind/>
              <w:jc w:val="center"/>
              <w:rPr>
                <w:sz w:val="20"/>
              </w:rPr>
            </w:pPr>
            <w:r>
              <w:rPr>
                <w:sz w:val="20"/>
              </w:rPr>
              <w:t>0,006</w:t>
            </w:r>
          </w:p>
        </w:tc>
      </w:tr>
      <w:tr>
        <w:tc>
          <w:tcPr>
            <w:tcW w:type="dxa" w:w="2103"/>
            <w:tcBorders>
              <w:top w:sz="4" w:val="nil"/>
              <w:left w:color="000000" w:sz="4" w:val="single"/>
              <w:bottom w:color="000000" w:sz="4" w:val="single"/>
              <w:right w:color="000000" w:sz="4" w:val="single"/>
            </w:tcBorders>
            <w:vAlign w:val="center"/>
          </w:tcPr>
          <w:p w14:paraId="CA020000">
            <w:pPr>
              <w:ind/>
              <w:jc w:val="center"/>
              <w:rPr>
                <w:sz w:val="20"/>
              </w:rPr>
            </w:pPr>
            <w:r>
              <w:rPr>
                <w:sz w:val="20"/>
              </w:rPr>
              <w:t>с. Куйбышево, ул. Миусская, 3</w:t>
            </w:r>
          </w:p>
        </w:tc>
        <w:tc>
          <w:tcPr>
            <w:tcW w:type="dxa" w:w="1541"/>
            <w:tcBorders>
              <w:top w:sz="4" w:val="nil"/>
              <w:left w:color="000000" w:sz="4" w:val="single"/>
              <w:bottom w:color="000000" w:sz="4" w:val="single"/>
              <w:right w:color="000000" w:sz="4" w:val="single"/>
            </w:tcBorders>
            <w:vAlign w:val="center"/>
          </w:tcPr>
          <w:p w14:paraId="CB020000">
            <w:pPr>
              <w:ind/>
              <w:jc w:val="center"/>
              <w:rPr>
                <w:sz w:val="20"/>
              </w:rPr>
            </w:pPr>
            <w:r>
              <w:rPr>
                <w:sz w:val="20"/>
              </w:rPr>
              <w:t>0,017</w:t>
            </w:r>
          </w:p>
        </w:tc>
        <w:tc>
          <w:tcPr>
            <w:tcW w:type="dxa" w:w="1541"/>
            <w:tcBorders>
              <w:top w:color="000000" w:sz="4" w:val="single"/>
              <w:left w:color="000000" w:sz="4" w:val="single"/>
              <w:bottom w:color="000000" w:sz="4" w:val="single"/>
              <w:right w:color="000000" w:sz="4" w:val="single"/>
            </w:tcBorders>
            <w:vAlign w:val="center"/>
          </w:tcPr>
          <w:p w14:paraId="CC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CD020000">
            <w:pPr>
              <w:widowControl w:val="0"/>
              <w:spacing w:after="0" w:line="240" w:lineRule="auto"/>
              <w:ind/>
              <w:jc w:val="center"/>
              <w:rPr>
                <w:sz w:val="20"/>
              </w:rPr>
            </w:pPr>
            <w:r>
              <w:rPr>
                <w:sz w:val="20"/>
              </w:rPr>
              <w:t>0,017</w:t>
            </w:r>
          </w:p>
        </w:tc>
        <w:tc>
          <w:tcPr>
            <w:tcW w:type="dxa" w:w="1541"/>
            <w:tcBorders>
              <w:top w:sz="4" w:val="nil"/>
              <w:left w:color="000000" w:sz="4" w:val="single"/>
              <w:bottom w:color="000000" w:sz="4" w:val="single"/>
              <w:right w:color="000000" w:sz="4" w:val="single"/>
            </w:tcBorders>
            <w:vAlign w:val="center"/>
          </w:tcPr>
          <w:p w14:paraId="CE020000">
            <w:pPr>
              <w:ind/>
              <w:jc w:val="center"/>
              <w:rPr>
                <w:sz w:val="20"/>
              </w:rPr>
            </w:pPr>
            <w:r>
              <w:rPr>
                <w:sz w:val="20"/>
              </w:rPr>
              <w:t>0,017</w:t>
            </w:r>
          </w:p>
        </w:tc>
        <w:tc>
          <w:tcPr>
            <w:tcW w:type="dxa" w:w="1541"/>
            <w:tcBorders>
              <w:top w:sz="4" w:val="nil"/>
              <w:left w:color="000000" w:sz="4" w:val="single"/>
              <w:bottom w:color="000000" w:sz="4" w:val="single"/>
              <w:right w:color="000000" w:sz="4" w:val="single"/>
            </w:tcBorders>
            <w:vAlign w:val="center"/>
          </w:tcPr>
          <w:p w14:paraId="CF020000">
            <w:pPr>
              <w:widowControl w:val="0"/>
              <w:spacing w:after="0" w:line="240" w:lineRule="auto"/>
              <w:ind/>
              <w:jc w:val="center"/>
              <w:rPr>
                <w:sz w:val="20"/>
              </w:rPr>
            </w:pPr>
            <w:r>
              <w:rPr>
                <w:sz w:val="20"/>
              </w:rPr>
              <w:t>0,017</w:t>
            </w:r>
          </w:p>
        </w:tc>
      </w:tr>
      <w:tr>
        <w:tc>
          <w:tcPr>
            <w:tcW w:type="dxa" w:w="2103"/>
            <w:tcBorders>
              <w:top w:sz="4" w:val="nil"/>
              <w:left w:color="000000" w:sz="4" w:val="single"/>
              <w:bottom w:color="000000" w:sz="4" w:val="single"/>
              <w:right w:color="000000" w:sz="4" w:val="single"/>
            </w:tcBorders>
            <w:vAlign w:val="center"/>
          </w:tcPr>
          <w:p w14:paraId="D0020000">
            <w:pPr>
              <w:ind/>
              <w:jc w:val="center"/>
              <w:rPr>
                <w:sz w:val="20"/>
              </w:rPr>
            </w:pPr>
            <w:r>
              <w:rPr>
                <w:sz w:val="20"/>
              </w:rPr>
              <w:t>с. Куйбышево, ул. Миусская, 3</w:t>
            </w:r>
          </w:p>
        </w:tc>
        <w:tc>
          <w:tcPr>
            <w:tcW w:type="dxa" w:w="1541"/>
            <w:tcBorders>
              <w:top w:sz="4" w:val="nil"/>
              <w:left w:color="000000" w:sz="4" w:val="single"/>
              <w:bottom w:color="000000" w:sz="4" w:val="single"/>
              <w:right w:color="000000" w:sz="4" w:val="single"/>
            </w:tcBorders>
            <w:vAlign w:val="center"/>
          </w:tcPr>
          <w:p w14:paraId="D1020000">
            <w:pPr>
              <w:ind/>
              <w:jc w:val="center"/>
              <w:rPr>
                <w:sz w:val="20"/>
              </w:rPr>
            </w:pPr>
            <w:r>
              <w:rPr>
                <w:sz w:val="20"/>
              </w:rPr>
              <w:t>0,054</w:t>
            </w:r>
          </w:p>
        </w:tc>
        <w:tc>
          <w:tcPr>
            <w:tcW w:type="dxa" w:w="1541"/>
            <w:tcBorders>
              <w:top w:color="000000" w:sz="4" w:val="single"/>
              <w:left w:color="000000" w:sz="4" w:val="single"/>
              <w:bottom w:color="000000" w:sz="4" w:val="single"/>
              <w:right w:color="000000" w:sz="4" w:val="single"/>
            </w:tcBorders>
            <w:vAlign w:val="center"/>
          </w:tcPr>
          <w:p w14:paraId="D2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D3020000">
            <w:pPr>
              <w:widowControl w:val="0"/>
              <w:spacing w:after="0" w:line="240" w:lineRule="auto"/>
              <w:ind/>
              <w:jc w:val="center"/>
              <w:rPr>
                <w:sz w:val="20"/>
              </w:rPr>
            </w:pPr>
            <w:r>
              <w:rPr>
                <w:sz w:val="20"/>
              </w:rPr>
              <w:t>0,036</w:t>
            </w:r>
          </w:p>
        </w:tc>
        <w:tc>
          <w:tcPr>
            <w:tcW w:type="dxa" w:w="1541"/>
            <w:tcBorders>
              <w:top w:sz="4" w:val="nil"/>
              <w:left w:color="000000" w:sz="4" w:val="single"/>
              <w:bottom w:color="000000" w:sz="4" w:val="single"/>
              <w:right w:color="000000" w:sz="4" w:val="single"/>
            </w:tcBorders>
            <w:vAlign w:val="center"/>
          </w:tcPr>
          <w:p w14:paraId="D4020000">
            <w:pPr>
              <w:ind/>
              <w:jc w:val="center"/>
              <w:rPr>
                <w:sz w:val="20"/>
              </w:rPr>
            </w:pPr>
            <w:r>
              <w:rPr>
                <w:sz w:val="20"/>
              </w:rPr>
              <w:t>0,054</w:t>
            </w:r>
          </w:p>
        </w:tc>
        <w:tc>
          <w:tcPr>
            <w:tcW w:type="dxa" w:w="1541"/>
            <w:tcBorders>
              <w:top w:sz="4" w:val="nil"/>
              <w:left w:color="000000" w:sz="4" w:val="single"/>
              <w:bottom w:color="000000" w:sz="4" w:val="single"/>
              <w:right w:color="000000" w:sz="4" w:val="single"/>
            </w:tcBorders>
            <w:vAlign w:val="center"/>
          </w:tcPr>
          <w:p w14:paraId="D5020000">
            <w:pPr>
              <w:widowControl w:val="0"/>
              <w:spacing w:after="0" w:line="240" w:lineRule="auto"/>
              <w:ind/>
              <w:jc w:val="center"/>
              <w:rPr>
                <w:sz w:val="20"/>
              </w:rPr>
            </w:pPr>
            <w:r>
              <w:rPr>
                <w:sz w:val="20"/>
              </w:rPr>
              <w:t>0,036</w:t>
            </w:r>
          </w:p>
        </w:tc>
      </w:tr>
      <w:tr>
        <w:tc>
          <w:tcPr>
            <w:tcW w:type="dxa" w:w="2103"/>
            <w:tcBorders>
              <w:top w:sz="4" w:val="nil"/>
              <w:left w:color="000000" w:sz="4" w:val="single"/>
              <w:bottom w:color="000000" w:sz="4" w:val="single"/>
              <w:right w:color="000000" w:sz="4" w:val="single"/>
            </w:tcBorders>
            <w:vAlign w:val="center"/>
          </w:tcPr>
          <w:p w14:paraId="D6020000">
            <w:pPr>
              <w:ind/>
              <w:jc w:val="center"/>
              <w:rPr>
                <w:sz w:val="20"/>
              </w:rPr>
            </w:pPr>
            <w:r>
              <w:rPr>
                <w:sz w:val="20"/>
              </w:rPr>
              <w:t>с. Куйбышево, ул. Миусская, 3</w:t>
            </w:r>
          </w:p>
        </w:tc>
        <w:tc>
          <w:tcPr>
            <w:tcW w:type="dxa" w:w="1541"/>
            <w:tcBorders>
              <w:top w:sz="4" w:val="nil"/>
              <w:left w:color="000000" w:sz="4" w:val="single"/>
              <w:bottom w:color="000000" w:sz="4" w:val="single"/>
              <w:right w:color="000000" w:sz="4" w:val="single"/>
            </w:tcBorders>
            <w:vAlign w:val="center"/>
          </w:tcPr>
          <w:p w14:paraId="D7020000">
            <w:pPr>
              <w:ind/>
              <w:jc w:val="center"/>
              <w:rPr>
                <w:sz w:val="20"/>
              </w:rPr>
            </w:pPr>
            <w:r>
              <w:rPr>
                <w:sz w:val="20"/>
              </w:rPr>
              <w:t>0,036</w:t>
            </w:r>
          </w:p>
        </w:tc>
        <w:tc>
          <w:tcPr>
            <w:tcW w:type="dxa" w:w="1541"/>
            <w:tcBorders>
              <w:top w:color="000000" w:sz="4" w:val="single"/>
              <w:left w:color="000000" w:sz="4" w:val="single"/>
              <w:bottom w:color="000000" w:sz="4" w:val="single"/>
              <w:right w:color="000000" w:sz="4" w:val="single"/>
            </w:tcBorders>
            <w:vAlign w:val="center"/>
          </w:tcPr>
          <w:p w14:paraId="D8020000">
            <w:pPr>
              <w:widowControl w:val="0"/>
              <w:spacing w:after="0" w:line="240" w:lineRule="auto"/>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D9020000">
            <w:pPr>
              <w:widowControl w:val="0"/>
              <w:spacing w:after="0" w:line="240" w:lineRule="auto"/>
              <w:ind/>
              <w:jc w:val="center"/>
              <w:rPr>
                <w:sz w:val="20"/>
              </w:rPr>
            </w:pPr>
            <w:r>
              <w:rPr>
                <w:sz w:val="20"/>
              </w:rPr>
              <w:t>0,030</w:t>
            </w:r>
          </w:p>
        </w:tc>
        <w:tc>
          <w:tcPr>
            <w:tcW w:type="dxa" w:w="1541"/>
            <w:tcBorders>
              <w:top w:sz="4" w:val="nil"/>
              <w:left w:color="000000" w:sz="4" w:val="single"/>
              <w:bottom w:color="000000" w:sz="4" w:val="single"/>
              <w:right w:color="000000" w:sz="4" w:val="single"/>
            </w:tcBorders>
            <w:vAlign w:val="center"/>
          </w:tcPr>
          <w:p w14:paraId="DA020000">
            <w:pPr>
              <w:ind/>
              <w:jc w:val="center"/>
              <w:rPr>
                <w:sz w:val="20"/>
              </w:rPr>
            </w:pPr>
            <w:r>
              <w:rPr>
                <w:sz w:val="20"/>
              </w:rPr>
              <w:t>0,036</w:t>
            </w:r>
          </w:p>
        </w:tc>
        <w:tc>
          <w:tcPr>
            <w:tcW w:type="dxa" w:w="1541"/>
            <w:tcBorders>
              <w:top w:sz="4" w:val="nil"/>
              <w:left w:color="000000" w:sz="4" w:val="single"/>
              <w:bottom w:color="000000" w:sz="4" w:val="single"/>
              <w:right w:color="000000" w:sz="4" w:val="single"/>
            </w:tcBorders>
            <w:vAlign w:val="center"/>
          </w:tcPr>
          <w:p w14:paraId="DB020000">
            <w:pPr>
              <w:widowControl w:val="0"/>
              <w:spacing w:after="0" w:line="240" w:lineRule="auto"/>
              <w:ind/>
              <w:jc w:val="center"/>
              <w:rPr>
                <w:sz w:val="20"/>
              </w:rPr>
            </w:pPr>
            <w:r>
              <w:rPr>
                <w:sz w:val="20"/>
              </w:rPr>
              <w:t>0,030</w:t>
            </w:r>
          </w:p>
        </w:tc>
      </w:tr>
      <w:tr>
        <w:tc>
          <w:tcPr>
            <w:tcW w:type="dxa" w:w="2103"/>
            <w:tcBorders>
              <w:top w:color="000000" w:sz="4" w:val="single"/>
              <w:left w:color="000000" w:sz="4" w:val="single"/>
              <w:bottom w:color="000000" w:sz="4" w:val="single"/>
              <w:right w:color="000000" w:sz="4" w:val="single"/>
            </w:tcBorders>
            <w:vAlign w:val="center"/>
          </w:tcPr>
          <w:p w14:paraId="DC020000">
            <w:pPr>
              <w:ind/>
              <w:jc w:val="center"/>
              <w:rPr>
                <w:sz w:val="20"/>
              </w:rPr>
            </w:pPr>
            <w:r>
              <w:rPr>
                <w:sz w:val="20"/>
              </w:rPr>
              <w:t>ИТОГО</w:t>
            </w:r>
          </w:p>
        </w:tc>
        <w:tc>
          <w:tcPr>
            <w:tcW w:type="dxa" w:w="1541"/>
            <w:tcBorders>
              <w:top w:sz="4" w:val="nil"/>
              <w:left w:color="000000" w:sz="4" w:val="single"/>
              <w:bottom w:color="000000" w:sz="4" w:val="single"/>
              <w:right w:color="000000" w:sz="4" w:val="single"/>
            </w:tcBorders>
            <w:vAlign w:val="center"/>
          </w:tcPr>
          <w:p w14:paraId="DD020000">
            <w:pPr>
              <w:ind/>
              <w:jc w:val="center"/>
              <w:rPr>
                <w:sz w:val="20"/>
              </w:rPr>
            </w:pPr>
            <w:r>
              <w:rPr>
                <w:sz w:val="20"/>
              </w:rPr>
              <w:t>5,125</w:t>
            </w:r>
          </w:p>
        </w:tc>
        <w:tc>
          <w:tcPr>
            <w:tcW w:type="dxa" w:w="1541"/>
            <w:tcBorders>
              <w:top w:color="000000" w:sz="4" w:val="single"/>
              <w:left w:color="000000" w:sz="4" w:val="single"/>
              <w:bottom w:color="000000" w:sz="4" w:val="single"/>
              <w:right w:color="000000" w:sz="4" w:val="single"/>
            </w:tcBorders>
            <w:vAlign w:val="center"/>
          </w:tcPr>
          <w:p w14:paraId="DE020000">
            <w:pPr>
              <w:ind/>
              <w:jc w:val="center"/>
              <w:rPr>
                <w:sz w:val="20"/>
              </w:rPr>
            </w:pPr>
            <w:r>
              <w:rPr>
                <w:sz w:val="20"/>
              </w:rPr>
              <w:t>-</w:t>
            </w:r>
          </w:p>
        </w:tc>
        <w:tc>
          <w:tcPr>
            <w:tcW w:type="dxa" w:w="1262"/>
            <w:tcBorders>
              <w:top w:sz="4" w:val="nil"/>
              <w:left w:color="000000" w:sz="4" w:val="single"/>
              <w:bottom w:color="000000" w:sz="4" w:val="single"/>
              <w:right w:color="000000" w:sz="4" w:val="single"/>
            </w:tcBorders>
            <w:vAlign w:val="center"/>
          </w:tcPr>
          <w:p w14:paraId="DF020000">
            <w:pPr>
              <w:ind/>
              <w:jc w:val="center"/>
              <w:rPr>
                <w:sz w:val="20"/>
              </w:rPr>
            </w:pPr>
            <w:r>
              <w:rPr>
                <w:sz w:val="20"/>
              </w:rPr>
              <w:t>2,052</w:t>
            </w:r>
          </w:p>
        </w:tc>
        <w:tc>
          <w:tcPr>
            <w:tcW w:type="dxa" w:w="1541"/>
            <w:tcBorders>
              <w:top w:sz="4" w:val="nil"/>
              <w:left w:color="000000" w:sz="4" w:val="single"/>
              <w:bottom w:color="000000" w:sz="4" w:val="single"/>
              <w:right w:color="000000" w:sz="4" w:val="single"/>
            </w:tcBorders>
            <w:vAlign w:val="center"/>
          </w:tcPr>
          <w:p w14:paraId="E0020000">
            <w:pPr>
              <w:ind/>
              <w:jc w:val="center"/>
              <w:rPr>
                <w:sz w:val="20"/>
              </w:rPr>
            </w:pPr>
            <w:r>
              <w:rPr>
                <w:sz w:val="20"/>
              </w:rPr>
              <w:t>2,717</w:t>
            </w:r>
          </w:p>
        </w:tc>
        <w:tc>
          <w:tcPr>
            <w:tcW w:type="dxa" w:w="1541"/>
            <w:tcBorders>
              <w:top w:sz="4" w:val="nil"/>
              <w:left w:color="000000" w:sz="4" w:val="single"/>
              <w:bottom w:color="000000" w:sz="4" w:val="single"/>
              <w:right w:color="000000" w:sz="4" w:val="single"/>
            </w:tcBorders>
            <w:vAlign w:val="center"/>
          </w:tcPr>
          <w:p w14:paraId="E1020000">
            <w:pPr>
              <w:ind/>
              <w:jc w:val="center"/>
              <w:rPr>
                <w:sz w:val="20"/>
              </w:rPr>
            </w:pPr>
            <w:r>
              <w:rPr>
                <w:sz w:val="20"/>
              </w:rPr>
              <w:t>2,052</w:t>
            </w:r>
          </w:p>
        </w:tc>
      </w:tr>
    </w:tbl>
    <w:p w14:paraId="E2020000">
      <w:pPr>
        <w:spacing w:before="200" w:line="20" w:lineRule="atLeast"/>
        <w:ind w:firstLine="709" w:left="0"/>
        <w:jc w:val="both"/>
        <w:rPr>
          <w:b w:val="1"/>
          <w:sz w:val="28"/>
        </w:rPr>
      </w:pPr>
      <w:r>
        <w:rPr>
          <w:b w:val="1"/>
          <w:sz w:val="28"/>
        </w:rPr>
        <w:t xml:space="preserve">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w:t>
      </w:r>
      <w:bookmarkStart w:id="1" w:name="_Hlk141361941"/>
      <w:r>
        <w:rPr>
          <w:b w:val="1"/>
          <w:sz w:val="28"/>
        </w:rPr>
        <w:t>Куйбышевского</w:t>
      </w:r>
      <w:bookmarkEnd w:id="1"/>
      <w:r>
        <w:rPr>
          <w:b w:val="1"/>
          <w:sz w:val="28"/>
        </w:rPr>
        <w:t xml:space="preserve"> сельского поселения Куйбышевского района, с указанием вели</w:t>
      </w:r>
      <w:r>
        <w:rPr>
          <w:b w:val="1"/>
          <w:sz w:val="28"/>
        </w:rPr>
        <w:t>чины тепловой нагрузки для потребителей Куйбышевского сельского поселения Куйбышевского района</w:t>
      </w:r>
    </w:p>
    <w:p w14:paraId="E3020000">
      <w:pPr>
        <w:spacing w:after="0" w:line="20" w:lineRule="atLeast"/>
        <w:ind w:firstLine="709" w:left="0"/>
        <w:jc w:val="both"/>
        <w:rPr>
          <w:sz w:val="28"/>
        </w:rPr>
      </w:pPr>
      <w:r>
        <w:rPr>
          <w:sz w:val="28"/>
        </w:rPr>
        <w:t>Зона действия системы теплоснабжения Куйбышевского сельского поселения Куйбышевского района (далее – Куйбышевское сельское поселение) расположена в границах с. К</w:t>
      </w:r>
      <w:r>
        <w:rPr>
          <w:sz w:val="28"/>
        </w:rPr>
        <w:t>уйбышево, с. Русское, х. Новобахмутский, х. Свободный, х. Ольховский. Включает в себя зону источников теплоснабжения двух организаций ООО «Теплогарант» и ООО «Ростовтеплоэнерго», филиал общества с ограниченной ответственностью «Ростовтеплоэнерго» Куйбышевс</w:t>
      </w:r>
      <w:r>
        <w:rPr>
          <w:sz w:val="28"/>
        </w:rPr>
        <w:t>кого района Ростовской области (далее - Филиал ООО «Ростовтеплоэнерго» Куйбышевского района). Зона определяется по количеству теплоснабжающих организаций на рассматриваемой территории. Перспективные балансы тепловой мощности и тепловой нагрузки в системе т</w:t>
      </w:r>
      <w:r>
        <w:rPr>
          <w:sz w:val="28"/>
        </w:rPr>
        <w:t>еплоснабжения и зоне действия источников тепловой энергии определяют:</w:t>
      </w:r>
    </w:p>
    <w:p w14:paraId="E4020000">
      <w:pPr>
        <w:spacing w:after="0" w:line="20" w:lineRule="atLeast"/>
        <w:ind w:firstLine="709" w:left="0"/>
        <w:jc w:val="both"/>
        <w:rPr>
          <w:sz w:val="28"/>
        </w:rPr>
      </w:pPr>
      <w:r>
        <w:rPr>
          <w:sz w:val="28"/>
        </w:rPr>
        <w:t>а) существующие и перспективные значения установленной тепловой мощности основного оборудования источников тепловой энергии по таблице 5 схемы теплоснабжения;</w:t>
      </w:r>
    </w:p>
    <w:p w14:paraId="E5020000">
      <w:pPr>
        <w:spacing w:line="20" w:lineRule="atLeast"/>
        <w:ind w:firstLine="709" w:left="0"/>
        <w:jc w:val="both"/>
        <w:rPr>
          <w:sz w:val="28"/>
        </w:rPr>
      </w:pPr>
      <w:r>
        <w:rPr>
          <w:sz w:val="28"/>
        </w:rPr>
        <w:t xml:space="preserve">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определены в таблице 6 схемы теплоснабжения </w:t>
      </w:r>
    </w:p>
    <w:p w14:paraId="E6020000">
      <w:pPr>
        <w:spacing w:line="20" w:lineRule="atLeast"/>
        <w:ind w:firstLine="709" w:left="0"/>
        <w:jc w:val="both"/>
        <w:rPr>
          <w:sz w:val="28"/>
        </w:rPr>
      </w:pPr>
      <w:r>
        <w:rPr>
          <w:sz w:val="28"/>
        </w:rPr>
        <w:t>Таблица 6 Существующи</w:t>
      </w:r>
      <w:r>
        <w:rPr>
          <w:sz w:val="28"/>
        </w:rPr>
        <w:t xml:space="preserve">е и перспективные технические ограничения на использование  установленной тепловой мощности и значения располагаемой </w:t>
      </w:r>
    </w:p>
    <w:p w14:paraId="E7020000">
      <w:pPr>
        <w:spacing w:before="200" w:line="20" w:lineRule="atLeast"/>
        <w:ind/>
        <w:jc w:val="both"/>
        <w:rPr>
          <w:sz w:val="28"/>
        </w:rPr>
      </w:pPr>
      <w:r>
        <w:rPr>
          <w:sz w:val="28"/>
        </w:rPr>
        <w:t>мощности основного оборудования источников тепловой энергии</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7"/>
        <w:gridCol w:w="1418"/>
        <w:gridCol w:w="1134"/>
        <w:gridCol w:w="1493"/>
        <w:gridCol w:w="1767"/>
        <w:gridCol w:w="1843"/>
        <w:gridCol w:w="1417"/>
      </w:tblGrid>
      <w:tr>
        <w:tc>
          <w:tcPr>
            <w:tcW w:type="dxa" w:w="567"/>
            <w:tcBorders>
              <w:top w:color="000000" w:sz="4" w:val="single"/>
              <w:left w:color="000000" w:sz="4" w:val="single"/>
              <w:bottom w:color="000000" w:sz="4" w:val="single"/>
              <w:right w:color="000000" w:sz="4" w:val="single"/>
            </w:tcBorders>
            <w:vAlign w:val="center"/>
          </w:tcPr>
          <w:p w14:paraId="E8020000">
            <w:pPr>
              <w:spacing w:after="0" w:line="20" w:lineRule="atLeast"/>
              <w:ind/>
              <w:jc w:val="center"/>
              <w:rPr>
                <w:sz w:val="20"/>
              </w:rPr>
            </w:pPr>
            <w:r>
              <w:rPr>
                <w:sz w:val="20"/>
              </w:rPr>
              <w:t>№</w:t>
            </w:r>
          </w:p>
        </w:tc>
        <w:tc>
          <w:tcPr>
            <w:tcW w:type="dxa" w:w="4045"/>
            <w:gridSpan w:val="3"/>
            <w:tcBorders>
              <w:top w:color="000000" w:sz="4" w:val="single"/>
              <w:left w:color="000000" w:sz="4" w:val="single"/>
              <w:bottom w:color="000000" w:sz="4" w:val="single"/>
              <w:right w:color="000000" w:sz="4" w:val="single"/>
            </w:tcBorders>
            <w:vAlign w:val="center"/>
          </w:tcPr>
          <w:p w14:paraId="E9020000">
            <w:pPr>
              <w:spacing w:after="0" w:line="20" w:lineRule="atLeast"/>
              <w:ind/>
              <w:jc w:val="center"/>
              <w:rPr>
                <w:sz w:val="20"/>
              </w:rPr>
            </w:pPr>
            <w:r>
              <w:rPr>
                <w:sz w:val="20"/>
              </w:rPr>
              <w:t xml:space="preserve">технические ограничения на использование установленной тепловой мощности¸ </w:t>
            </w:r>
            <w:r>
              <w:rPr>
                <w:sz w:val="20"/>
              </w:rPr>
              <w:t>МВт/ч</w:t>
            </w:r>
          </w:p>
        </w:tc>
        <w:tc>
          <w:tcPr>
            <w:tcW w:type="dxa" w:w="5026"/>
            <w:gridSpan w:val="3"/>
            <w:tcBorders>
              <w:top w:color="000000" w:sz="4" w:val="single"/>
              <w:left w:color="000000" w:sz="4" w:val="single"/>
              <w:bottom w:color="000000" w:sz="4" w:val="single"/>
              <w:right w:color="000000" w:sz="4" w:val="single"/>
            </w:tcBorders>
            <w:vAlign w:val="center"/>
          </w:tcPr>
          <w:p w14:paraId="EA020000">
            <w:pPr>
              <w:spacing w:after="0" w:line="20" w:lineRule="atLeast"/>
              <w:ind/>
              <w:jc w:val="center"/>
              <w:rPr>
                <w:sz w:val="20"/>
              </w:rPr>
            </w:pPr>
            <w:r>
              <w:rPr>
                <w:sz w:val="20"/>
              </w:rPr>
              <w:t>значения располагаемой мощности основного оборудования источников тепловой энергии, Гкал/ч</w:t>
            </w:r>
          </w:p>
        </w:tc>
      </w:tr>
      <w:tr>
        <w:trPr>
          <w:trHeight w:hRule="atLeast" w:val="191"/>
        </w:trPr>
        <w:tc>
          <w:tcPr>
            <w:tcW w:type="dxa" w:w="567"/>
            <w:tcBorders>
              <w:top w:color="000000" w:sz="4" w:val="single"/>
              <w:left w:color="000000" w:sz="4" w:val="single"/>
              <w:bottom w:color="000000" w:sz="4" w:val="single"/>
              <w:right w:color="000000" w:sz="4" w:val="single"/>
            </w:tcBorders>
            <w:vAlign w:val="center"/>
          </w:tcPr>
          <w:p w14:paraId="EB020000">
            <w:pPr>
              <w:spacing w:after="0" w:line="20" w:lineRule="atLeast"/>
              <w:ind/>
              <w:jc w:val="center"/>
              <w:rPr>
                <w:sz w:val="20"/>
              </w:rPr>
            </w:pPr>
          </w:p>
        </w:tc>
        <w:tc>
          <w:tcPr>
            <w:tcW w:type="dxa" w:w="1418"/>
            <w:tcBorders>
              <w:top w:color="000000" w:sz="4" w:val="single"/>
              <w:left w:color="000000" w:sz="4" w:val="single"/>
              <w:bottom w:color="000000" w:sz="4" w:val="single"/>
              <w:right w:color="000000" w:sz="4" w:val="single"/>
            </w:tcBorders>
            <w:vAlign w:val="center"/>
          </w:tcPr>
          <w:p w14:paraId="EC020000">
            <w:pPr>
              <w:ind/>
              <w:jc w:val="center"/>
              <w:rPr>
                <w:sz w:val="20"/>
              </w:rPr>
            </w:pPr>
            <w:r>
              <w:rPr>
                <w:sz w:val="20"/>
              </w:rPr>
              <w:t>2023 год</w:t>
            </w:r>
          </w:p>
        </w:tc>
        <w:tc>
          <w:tcPr>
            <w:tcW w:type="dxa" w:w="1134"/>
            <w:tcBorders>
              <w:top w:color="000000" w:sz="4" w:val="single"/>
              <w:left w:color="000000" w:sz="4" w:val="single"/>
              <w:bottom w:color="000000" w:sz="4" w:val="single"/>
              <w:right w:color="000000" w:sz="4" w:val="single"/>
            </w:tcBorders>
            <w:vAlign w:val="center"/>
          </w:tcPr>
          <w:p w14:paraId="ED020000">
            <w:pPr>
              <w:ind/>
              <w:jc w:val="center"/>
              <w:rPr>
                <w:sz w:val="20"/>
              </w:rPr>
            </w:pPr>
            <w:r>
              <w:rPr>
                <w:sz w:val="20"/>
              </w:rPr>
              <w:t>2024 год*</w:t>
            </w:r>
          </w:p>
        </w:tc>
        <w:tc>
          <w:tcPr>
            <w:tcW w:type="dxa" w:w="1493"/>
            <w:tcBorders>
              <w:top w:color="000000" w:sz="4" w:val="single"/>
              <w:left w:color="000000" w:sz="4" w:val="single"/>
              <w:bottom w:color="000000" w:sz="4" w:val="single"/>
              <w:right w:color="000000" w:sz="4" w:val="single"/>
            </w:tcBorders>
            <w:vAlign w:val="center"/>
          </w:tcPr>
          <w:p w14:paraId="EE020000">
            <w:pPr>
              <w:pStyle w:val="Style_5"/>
              <w:widowControl w:val="1"/>
              <w:ind w:firstLine="0" w:left="0"/>
              <w:jc w:val="center"/>
              <w:rPr>
                <w:rFonts w:ascii="Times New Roman" w:hAnsi="Times New Roman"/>
              </w:rPr>
            </w:pPr>
            <w:r>
              <w:rPr>
                <w:rFonts w:ascii="Times New Roman" w:hAnsi="Times New Roman"/>
              </w:rPr>
              <w:t>2033 год</w:t>
            </w:r>
          </w:p>
        </w:tc>
        <w:tc>
          <w:tcPr>
            <w:tcW w:type="dxa" w:w="1767"/>
            <w:tcBorders>
              <w:top w:color="000000" w:sz="4" w:val="single"/>
              <w:left w:color="000000" w:sz="4" w:val="single"/>
              <w:bottom w:color="000000" w:sz="4" w:val="single"/>
              <w:right w:color="000000" w:sz="4" w:val="single"/>
            </w:tcBorders>
            <w:vAlign w:val="center"/>
          </w:tcPr>
          <w:p w14:paraId="EF020000">
            <w:pPr>
              <w:ind/>
              <w:jc w:val="center"/>
              <w:rPr>
                <w:sz w:val="20"/>
              </w:rPr>
            </w:pPr>
            <w:r>
              <w:rPr>
                <w:sz w:val="20"/>
              </w:rPr>
              <w:t>2023 год</w:t>
            </w:r>
          </w:p>
        </w:tc>
        <w:tc>
          <w:tcPr>
            <w:tcW w:type="dxa" w:w="1843"/>
            <w:tcBorders>
              <w:top w:color="000000" w:sz="4" w:val="single"/>
              <w:left w:color="000000" w:sz="4" w:val="single"/>
              <w:bottom w:color="000000" w:sz="4" w:val="single"/>
              <w:right w:color="000000" w:sz="4" w:val="single"/>
            </w:tcBorders>
            <w:vAlign w:val="center"/>
          </w:tcPr>
          <w:p w14:paraId="F0020000">
            <w:pPr>
              <w:ind/>
              <w:jc w:val="center"/>
              <w:rPr>
                <w:sz w:val="20"/>
              </w:rPr>
            </w:pPr>
            <w:r>
              <w:rPr>
                <w:sz w:val="20"/>
              </w:rPr>
              <w:t>2024 год*</w:t>
            </w:r>
          </w:p>
        </w:tc>
        <w:tc>
          <w:tcPr>
            <w:tcW w:type="dxa" w:w="1417"/>
            <w:tcBorders>
              <w:top w:color="000000" w:sz="4" w:val="single"/>
              <w:left w:color="000000" w:sz="4" w:val="single"/>
              <w:bottom w:color="000000" w:sz="4" w:val="single"/>
              <w:right w:color="000000" w:sz="4" w:val="single"/>
            </w:tcBorders>
            <w:vAlign w:val="center"/>
          </w:tcPr>
          <w:p w14:paraId="F1020000">
            <w:pPr>
              <w:pStyle w:val="Style_5"/>
              <w:widowControl w:val="1"/>
              <w:ind w:firstLine="0" w:left="0"/>
              <w:jc w:val="center"/>
              <w:rPr>
                <w:rFonts w:ascii="Times New Roman" w:hAnsi="Times New Roman"/>
              </w:rPr>
            </w:pPr>
            <w:r>
              <w:rPr>
                <w:rFonts w:ascii="Times New Roman" w:hAnsi="Times New Roman"/>
              </w:rPr>
              <w:t>2033 год</w:t>
            </w:r>
          </w:p>
        </w:tc>
      </w:tr>
      <w:tr>
        <w:tc>
          <w:tcPr>
            <w:tcW w:type="dxa" w:w="567"/>
            <w:tcBorders>
              <w:top w:color="000000" w:sz="4" w:val="single"/>
              <w:left w:color="000000" w:sz="4" w:val="single"/>
              <w:bottom w:color="000000" w:sz="4" w:val="single"/>
              <w:right w:color="000000" w:sz="4" w:val="single"/>
            </w:tcBorders>
            <w:vAlign w:val="center"/>
          </w:tcPr>
          <w:p w14:paraId="F2020000">
            <w:pPr>
              <w:spacing w:after="0" w:line="20" w:lineRule="atLeast"/>
              <w:ind/>
              <w:jc w:val="center"/>
              <w:rPr>
                <w:sz w:val="20"/>
              </w:rPr>
            </w:pPr>
            <w:r>
              <w:rPr>
                <w:sz w:val="20"/>
              </w:rPr>
              <w:t>1</w:t>
            </w:r>
          </w:p>
        </w:tc>
        <w:tc>
          <w:tcPr>
            <w:tcW w:type="dxa" w:w="1418"/>
            <w:tcBorders>
              <w:top w:color="000000" w:sz="4" w:val="single"/>
              <w:left w:color="000000" w:sz="4" w:val="single"/>
              <w:bottom w:color="000000" w:sz="4" w:val="single"/>
              <w:right w:color="000000" w:sz="4" w:val="single"/>
            </w:tcBorders>
            <w:vAlign w:val="center"/>
          </w:tcPr>
          <w:p w14:paraId="F3020000">
            <w:pPr>
              <w:spacing w:after="0" w:line="20" w:lineRule="atLeast"/>
              <w:ind/>
              <w:jc w:val="center"/>
              <w:rPr>
                <w:sz w:val="20"/>
              </w:rPr>
            </w:pPr>
            <w:r>
              <w:rPr>
                <w:sz w:val="20"/>
              </w:rPr>
              <w:t>0,0</w:t>
            </w:r>
          </w:p>
        </w:tc>
        <w:tc>
          <w:tcPr>
            <w:tcW w:type="dxa" w:w="1134"/>
            <w:tcBorders>
              <w:top w:color="000000" w:sz="4" w:val="single"/>
              <w:left w:color="000000" w:sz="4" w:val="single"/>
              <w:bottom w:color="000000" w:sz="4" w:val="single"/>
              <w:right w:color="000000" w:sz="4" w:val="single"/>
            </w:tcBorders>
            <w:vAlign w:val="center"/>
          </w:tcPr>
          <w:p w14:paraId="F4020000">
            <w:pPr>
              <w:spacing w:after="0" w:line="20" w:lineRule="atLeast"/>
              <w:ind/>
              <w:jc w:val="center"/>
              <w:rPr>
                <w:sz w:val="20"/>
              </w:rPr>
            </w:pPr>
            <w:r>
              <w:rPr>
                <w:sz w:val="20"/>
              </w:rPr>
              <w:t>0,0</w:t>
            </w:r>
          </w:p>
        </w:tc>
        <w:tc>
          <w:tcPr>
            <w:tcW w:type="dxa" w:w="1493"/>
            <w:tcBorders>
              <w:top w:color="000000" w:sz="4" w:val="single"/>
              <w:left w:color="000000" w:sz="4" w:val="single"/>
              <w:bottom w:color="000000" w:sz="4" w:val="single"/>
              <w:right w:color="000000" w:sz="4" w:val="single"/>
            </w:tcBorders>
            <w:vAlign w:val="center"/>
          </w:tcPr>
          <w:p w14:paraId="F5020000">
            <w:pPr>
              <w:spacing w:after="0" w:line="20" w:lineRule="atLeast"/>
              <w:ind/>
              <w:jc w:val="center"/>
              <w:rPr>
                <w:sz w:val="20"/>
              </w:rPr>
            </w:pPr>
            <w:r>
              <w:rPr>
                <w:sz w:val="20"/>
              </w:rPr>
              <w:t>0,0</w:t>
            </w:r>
          </w:p>
        </w:tc>
        <w:tc>
          <w:tcPr>
            <w:tcW w:type="dxa" w:w="1767"/>
            <w:tcBorders>
              <w:top w:color="000000" w:sz="4" w:val="single"/>
              <w:left w:color="000000" w:sz="4" w:val="single"/>
              <w:bottom w:color="000000" w:sz="4" w:val="single"/>
              <w:right w:color="000000" w:sz="4" w:val="single"/>
            </w:tcBorders>
            <w:vAlign w:val="center"/>
          </w:tcPr>
          <w:p w14:paraId="F6020000">
            <w:pPr>
              <w:ind/>
              <w:jc w:val="center"/>
              <w:rPr>
                <w:sz w:val="20"/>
              </w:rPr>
            </w:pPr>
            <w:r>
              <w:rPr>
                <w:sz w:val="20"/>
              </w:rPr>
              <w:t>5,125</w:t>
            </w:r>
          </w:p>
        </w:tc>
        <w:tc>
          <w:tcPr>
            <w:tcW w:type="dxa" w:w="1843"/>
            <w:tcBorders>
              <w:top w:color="000000" w:sz="4" w:val="single"/>
              <w:left w:color="000000" w:sz="4" w:val="single"/>
              <w:bottom w:color="000000" w:sz="4" w:val="single"/>
              <w:right w:color="000000" w:sz="4" w:val="single"/>
            </w:tcBorders>
            <w:vAlign w:val="center"/>
          </w:tcPr>
          <w:p w14:paraId="F7020000">
            <w:pPr>
              <w:ind/>
              <w:jc w:val="center"/>
              <w:rPr>
                <w:sz w:val="20"/>
              </w:rPr>
            </w:pPr>
            <w:r>
              <w:rPr>
                <w:sz w:val="20"/>
              </w:rPr>
              <w:t>5,125</w:t>
            </w:r>
          </w:p>
        </w:tc>
        <w:tc>
          <w:tcPr>
            <w:tcW w:type="dxa" w:w="1417"/>
            <w:tcBorders>
              <w:top w:color="000000" w:sz="4" w:val="single"/>
              <w:left w:color="000000" w:sz="4" w:val="single"/>
              <w:bottom w:color="000000" w:sz="4" w:val="single"/>
              <w:right w:color="000000" w:sz="4" w:val="single"/>
            </w:tcBorders>
            <w:vAlign w:val="center"/>
          </w:tcPr>
          <w:p w14:paraId="F8020000">
            <w:pPr>
              <w:ind/>
              <w:jc w:val="center"/>
              <w:rPr>
                <w:sz w:val="20"/>
              </w:rPr>
            </w:pPr>
            <w:r>
              <w:rPr>
                <w:sz w:val="20"/>
              </w:rPr>
              <w:t>2,717</w:t>
            </w:r>
          </w:p>
        </w:tc>
      </w:tr>
    </w:tbl>
    <w:p w14:paraId="F9020000">
      <w:pPr>
        <w:spacing w:line="20" w:lineRule="atLeast"/>
        <w:ind/>
        <w:jc w:val="both"/>
        <w:rPr>
          <w:sz w:val="20"/>
        </w:rPr>
      </w:pPr>
      <w:r>
        <w:rPr>
          <w:sz w:val="20"/>
        </w:rPr>
        <w:t>*годактуализации.</w:t>
      </w:r>
    </w:p>
    <w:p w14:paraId="FA020000">
      <w:pPr>
        <w:spacing w:line="20" w:lineRule="atLeast"/>
        <w:ind w:firstLine="709" w:left="0"/>
        <w:jc w:val="both"/>
        <w:rPr>
          <w:sz w:val="28"/>
        </w:rPr>
      </w:pPr>
      <w:r>
        <w:rPr>
          <w:sz w:val="28"/>
        </w:rPr>
        <w:t xml:space="preserve">в) существующие и перспективные затраты тепловой </w:t>
      </w:r>
      <w:r>
        <w:rPr>
          <w:sz w:val="28"/>
        </w:rPr>
        <w:t>мощности на собственные и хозяйственные нужды теплоснабжающей организации в отношении источников тепловой энергии определены в таблице 7 схемы теплоснабжения</w:t>
      </w:r>
    </w:p>
    <w:p w14:paraId="FB020000">
      <w:pPr>
        <w:spacing w:line="20" w:lineRule="atLeast"/>
        <w:ind/>
        <w:jc w:val="both"/>
        <w:rPr>
          <w:sz w:val="28"/>
        </w:rPr>
      </w:pPr>
      <w:r>
        <w:rPr>
          <w:sz w:val="28"/>
        </w:rPr>
        <w:t>Таблица 7 Существующие и перспективные затраты тепловой мощности на собственные и хозяйственные ну</w:t>
      </w:r>
      <w:r>
        <w:rPr>
          <w:sz w:val="28"/>
        </w:rPr>
        <w:t xml:space="preserve">жды </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02"/>
        <w:gridCol w:w="4469"/>
        <w:gridCol w:w="1576"/>
        <w:gridCol w:w="1682"/>
        <w:gridCol w:w="1401"/>
      </w:tblGrid>
      <w:tr>
        <w:tc>
          <w:tcPr>
            <w:tcW w:type="dxa" w:w="402"/>
            <w:tcBorders>
              <w:top w:color="000000" w:sz="4" w:val="single"/>
              <w:left w:color="000000" w:sz="4" w:val="single"/>
              <w:bottom w:color="000000" w:sz="4" w:val="single"/>
              <w:right w:color="000000" w:sz="4" w:val="single"/>
            </w:tcBorders>
            <w:vAlign w:val="center"/>
          </w:tcPr>
          <w:p w14:paraId="FC020000">
            <w:pPr>
              <w:spacing w:after="0" w:line="20" w:lineRule="atLeast"/>
              <w:ind/>
              <w:jc w:val="center"/>
              <w:rPr>
                <w:sz w:val="20"/>
              </w:rPr>
            </w:pPr>
            <w:r>
              <w:rPr>
                <w:sz w:val="20"/>
              </w:rPr>
              <w:t>№</w:t>
            </w:r>
          </w:p>
        </w:tc>
        <w:tc>
          <w:tcPr>
            <w:tcW w:type="dxa" w:w="4469"/>
            <w:tcBorders>
              <w:top w:color="000000" w:sz="4" w:val="single"/>
              <w:left w:color="000000" w:sz="4" w:val="single"/>
              <w:bottom w:color="000000" w:sz="4" w:val="single"/>
              <w:right w:color="000000" w:sz="4" w:val="single"/>
            </w:tcBorders>
            <w:vAlign w:val="center"/>
          </w:tcPr>
          <w:p w14:paraId="FD020000">
            <w:pPr>
              <w:spacing w:after="0" w:line="20" w:lineRule="atLeast"/>
              <w:ind/>
              <w:jc w:val="center"/>
              <w:rPr>
                <w:sz w:val="20"/>
              </w:rPr>
            </w:pPr>
            <w:r>
              <w:rPr>
                <w:sz w:val="20"/>
              </w:rPr>
              <w:t>Существующие затраты тепловой мощности на собственные и хозяйственные нужды, Гкал</w:t>
            </w:r>
          </w:p>
        </w:tc>
        <w:tc>
          <w:tcPr>
            <w:tcW w:type="dxa" w:w="4659"/>
            <w:gridSpan w:val="3"/>
            <w:tcBorders>
              <w:top w:color="000000" w:sz="4" w:val="single"/>
              <w:left w:color="000000" w:sz="4" w:val="single"/>
              <w:bottom w:color="000000" w:sz="4" w:val="single"/>
              <w:right w:color="000000" w:sz="4" w:val="single"/>
            </w:tcBorders>
            <w:vAlign w:val="center"/>
          </w:tcPr>
          <w:p w14:paraId="FE020000">
            <w:pPr>
              <w:spacing w:after="0" w:line="20" w:lineRule="atLeast"/>
              <w:ind/>
              <w:jc w:val="center"/>
              <w:rPr>
                <w:sz w:val="20"/>
              </w:rPr>
            </w:pPr>
            <w:r>
              <w:rPr>
                <w:sz w:val="20"/>
              </w:rPr>
              <w:t>перспективные затраты тепловой мощности на собственные и хозяйственные нужды, Гкал</w:t>
            </w:r>
          </w:p>
        </w:tc>
      </w:tr>
      <w:tr>
        <w:trPr>
          <w:trHeight w:hRule="atLeast" w:val="235"/>
        </w:trPr>
        <w:tc>
          <w:tcPr>
            <w:tcW w:type="dxa" w:w="402"/>
            <w:vMerge w:val="restart"/>
            <w:tcBorders>
              <w:top w:color="000000" w:sz="4" w:val="single"/>
              <w:left w:color="000000" w:sz="4" w:val="single"/>
              <w:bottom w:color="000000" w:sz="4" w:val="single"/>
              <w:right w:color="000000" w:sz="4" w:val="single"/>
            </w:tcBorders>
            <w:vAlign w:val="center"/>
          </w:tcPr>
          <w:p w14:paraId="FF020000">
            <w:pPr>
              <w:spacing w:after="0" w:line="20" w:lineRule="atLeast"/>
              <w:ind/>
              <w:jc w:val="center"/>
              <w:rPr>
                <w:sz w:val="20"/>
              </w:rPr>
            </w:pPr>
            <w:r>
              <w:rPr>
                <w:sz w:val="20"/>
              </w:rPr>
              <w:t>1</w:t>
            </w:r>
          </w:p>
        </w:tc>
        <w:tc>
          <w:tcPr>
            <w:tcW w:type="dxa" w:w="4469"/>
            <w:tcBorders>
              <w:top w:color="000000" w:sz="4" w:val="single"/>
              <w:left w:color="000000" w:sz="4" w:val="single"/>
              <w:bottom w:color="000000" w:sz="4" w:val="single"/>
              <w:right w:color="000000" w:sz="4" w:val="single"/>
            </w:tcBorders>
            <w:vAlign w:val="center"/>
          </w:tcPr>
          <w:p w14:paraId="00030000">
            <w:pPr>
              <w:ind/>
              <w:jc w:val="center"/>
              <w:rPr>
                <w:sz w:val="20"/>
              </w:rPr>
            </w:pPr>
            <w:r>
              <w:rPr>
                <w:sz w:val="20"/>
              </w:rPr>
              <w:t>2022 год</w:t>
            </w:r>
          </w:p>
        </w:tc>
        <w:tc>
          <w:tcPr>
            <w:tcW w:type="dxa" w:w="1576"/>
            <w:tcBorders>
              <w:top w:color="000000" w:sz="4" w:val="single"/>
              <w:left w:color="000000" w:sz="4" w:val="single"/>
              <w:bottom w:color="000000" w:sz="4" w:val="single"/>
              <w:right w:color="000000" w:sz="4" w:val="single"/>
            </w:tcBorders>
            <w:vAlign w:val="center"/>
          </w:tcPr>
          <w:p w14:paraId="01030000">
            <w:pPr>
              <w:ind/>
              <w:jc w:val="center"/>
              <w:rPr>
                <w:sz w:val="20"/>
              </w:rPr>
            </w:pPr>
            <w:r>
              <w:rPr>
                <w:sz w:val="20"/>
              </w:rPr>
              <w:t>2023 год</w:t>
            </w:r>
          </w:p>
        </w:tc>
        <w:tc>
          <w:tcPr>
            <w:tcW w:type="dxa" w:w="1682"/>
            <w:tcBorders>
              <w:top w:color="000000" w:sz="4" w:val="single"/>
              <w:left w:color="000000" w:sz="4" w:val="single"/>
              <w:bottom w:color="000000" w:sz="4" w:val="single"/>
              <w:right w:color="000000" w:sz="4" w:val="single"/>
            </w:tcBorders>
            <w:vAlign w:val="center"/>
          </w:tcPr>
          <w:p w14:paraId="02030000">
            <w:pPr>
              <w:ind/>
              <w:jc w:val="center"/>
              <w:rPr>
                <w:sz w:val="20"/>
              </w:rPr>
            </w:pPr>
            <w:r>
              <w:rPr>
                <w:sz w:val="20"/>
              </w:rPr>
              <w:t>2024 год</w:t>
            </w:r>
          </w:p>
        </w:tc>
        <w:tc>
          <w:tcPr>
            <w:tcW w:type="dxa" w:w="1401"/>
            <w:tcBorders>
              <w:top w:color="000000" w:sz="4" w:val="single"/>
              <w:left w:color="000000" w:sz="4" w:val="single"/>
              <w:bottom w:color="000000" w:sz="4" w:val="single"/>
              <w:right w:color="000000" w:sz="4" w:val="single"/>
            </w:tcBorders>
            <w:vAlign w:val="center"/>
          </w:tcPr>
          <w:p w14:paraId="03030000">
            <w:pPr>
              <w:pStyle w:val="Style_5"/>
              <w:widowControl w:val="1"/>
              <w:ind w:firstLine="0" w:left="0"/>
              <w:jc w:val="center"/>
              <w:rPr>
                <w:rFonts w:ascii="Times New Roman" w:hAnsi="Times New Roman"/>
              </w:rPr>
            </w:pPr>
            <w:r>
              <w:rPr>
                <w:rFonts w:ascii="Times New Roman" w:hAnsi="Times New Roman"/>
              </w:rPr>
              <w:t>2033 год</w:t>
            </w:r>
          </w:p>
        </w:tc>
      </w:tr>
      <w:tr>
        <w:trPr>
          <w:trHeight w:hRule="atLeast" w:val="185"/>
        </w:trPr>
        <w:tc>
          <w:tcPr>
            <w:tcW w:type="dxa" w:w="402"/>
            <w:gridSpan w:val="1"/>
            <w:vMerge w:val="continue"/>
            <w:tcBorders>
              <w:top w:color="000000" w:sz="4" w:val="single"/>
              <w:left w:color="000000" w:sz="4" w:val="single"/>
              <w:bottom w:color="000000" w:sz="4" w:val="single"/>
              <w:right w:color="000000" w:sz="4" w:val="single"/>
            </w:tcBorders>
            <w:vAlign w:val="center"/>
          </w:tcPr>
          <w:p/>
        </w:tc>
        <w:tc>
          <w:tcPr>
            <w:tcW w:type="dxa" w:w="4469"/>
            <w:tcBorders>
              <w:top w:color="000000" w:sz="4" w:val="single"/>
              <w:left w:color="000000" w:sz="4" w:val="single"/>
              <w:bottom w:color="000000" w:sz="4" w:val="single"/>
              <w:right w:color="000000" w:sz="4" w:val="single"/>
            </w:tcBorders>
          </w:tcPr>
          <w:p w14:paraId="04030000">
            <w:pPr>
              <w:spacing w:line="20" w:lineRule="atLeast"/>
              <w:ind/>
              <w:jc w:val="center"/>
              <w:rPr>
                <w:color w:val="FF0000"/>
                <w:sz w:val="20"/>
              </w:rPr>
            </w:pPr>
            <w:r>
              <w:rPr>
                <w:sz w:val="20"/>
              </w:rPr>
              <w:t xml:space="preserve">141,618 </w:t>
            </w:r>
          </w:p>
        </w:tc>
        <w:tc>
          <w:tcPr>
            <w:tcW w:type="dxa" w:w="1576"/>
            <w:tcBorders>
              <w:top w:color="000000" w:sz="4" w:val="single"/>
              <w:left w:color="000000" w:sz="4" w:val="single"/>
              <w:bottom w:color="000000" w:sz="4" w:val="single"/>
              <w:right w:color="000000" w:sz="4" w:val="single"/>
            </w:tcBorders>
          </w:tcPr>
          <w:p w14:paraId="05030000">
            <w:pPr>
              <w:spacing w:line="20" w:lineRule="atLeast"/>
              <w:ind/>
              <w:jc w:val="center"/>
              <w:rPr>
                <w:sz w:val="20"/>
              </w:rPr>
            </w:pPr>
            <w:r>
              <w:rPr>
                <w:sz w:val="20"/>
              </w:rPr>
              <w:t xml:space="preserve">141,618 </w:t>
            </w:r>
          </w:p>
        </w:tc>
        <w:tc>
          <w:tcPr>
            <w:tcW w:type="dxa" w:w="1682"/>
            <w:tcBorders>
              <w:top w:color="000000" w:sz="4" w:val="single"/>
              <w:left w:color="000000" w:sz="4" w:val="single"/>
              <w:bottom w:color="000000" w:sz="4" w:val="single"/>
              <w:right w:color="000000" w:sz="4" w:val="single"/>
            </w:tcBorders>
          </w:tcPr>
          <w:p w14:paraId="06030000">
            <w:pPr>
              <w:spacing w:line="20" w:lineRule="atLeast"/>
              <w:ind/>
              <w:jc w:val="center"/>
              <w:rPr>
                <w:sz w:val="20"/>
              </w:rPr>
            </w:pPr>
            <w:r>
              <w:rPr>
                <w:sz w:val="20"/>
              </w:rPr>
              <w:t xml:space="preserve">149,218 </w:t>
            </w:r>
          </w:p>
        </w:tc>
        <w:tc>
          <w:tcPr>
            <w:tcW w:type="dxa" w:w="1401"/>
            <w:tcBorders>
              <w:top w:color="000000" w:sz="4" w:val="single"/>
              <w:left w:color="000000" w:sz="4" w:val="single"/>
              <w:bottom w:color="000000" w:sz="4" w:val="single"/>
              <w:right w:color="000000" w:sz="4" w:val="single"/>
            </w:tcBorders>
          </w:tcPr>
          <w:p w14:paraId="07030000">
            <w:pPr>
              <w:spacing w:line="20" w:lineRule="atLeast"/>
              <w:ind/>
              <w:jc w:val="center"/>
              <w:rPr>
                <w:sz w:val="20"/>
              </w:rPr>
            </w:pPr>
            <w:r>
              <w:rPr>
                <w:sz w:val="20"/>
              </w:rPr>
              <w:t>149,218</w:t>
            </w:r>
          </w:p>
        </w:tc>
      </w:tr>
    </w:tbl>
    <w:p w14:paraId="08030000">
      <w:pPr>
        <w:spacing w:before="200" w:line="20" w:lineRule="atLeast"/>
        <w:ind w:firstLine="709" w:left="0"/>
        <w:jc w:val="both"/>
        <w:rPr>
          <w:sz w:val="28"/>
        </w:rPr>
      </w:pPr>
      <w:r>
        <w:rPr>
          <w:sz w:val="28"/>
        </w:rPr>
        <w:t xml:space="preserve">г) </w:t>
      </w:r>
      <w:r>
        <w:rPr>
          <w:sz w:val="28"/>
        </w:rPr>
        <w:t>значения существующей и перспективной тепловой мощности источников тепловой энергии нетто. Существующая тепловая мощность источников тепловой энергии нетто равняется 5,108 Гкал/ч.Перспективная тепловая мощность на 2033 год источников тепловой энергии нетто</w:t>
      </w:r>
      <w:r>
        <w:rPr>
          <w:sz w:val="28"/>
        </w:rPr>
        <w:t xml:space="preserve"> равняется 2,717 Гкал/ч, за вычетом затрат на собственные и хозяйственные нужды. </w:t>
      </w:r>
    </w:p>
    <w:p w14:paraId="09030000">
      <w:pPr>
        <w:spacing w:before="200" w:line="20" w:lineRule="atLeast"/>
        <w:ind w:firstLine="709" w:left="0"/>
        <w:jc w:val="both"/>
        <w:rPr>
          <w:sz w:val="28"/>
        </w:rPr>
      </w:pPr>
      <w:r>
        <w:rPr>
          <w:sz w:val="28"/>
        </w:rPr>
        <w:t>д) 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w:t>
      </w:r>
      <w:r>
        <w:rPr>
          <w:sz w:val="28"/>
        </w:rPr>
        <w:t>оизоляционные конструкции теплопроводов и потери теплоносителя, с указанием затрат теплоносителя на компенсацию этих потерь определены в таблице 8 схемы теплоснабжения</w:t>
      </w:r>
    </w:p>
    <w:p w14:paraId="0A030000">
      <w:pPr>
        <w:spacing w:before="200" w:line="20" w:lineRule="atLeast"/>
        <w:ind w:firstLine="709" w:left="0"/>
        <w:jc w:val="both"/>
        <w:rPr>
          <w:sz w:val="28"/>
        </w:rPr>
      </w:pPr>
      <w:r>
        <w:rPr>
          <w:sz w:val="28"/>
        </w:rPr>
        <w:t>По данным теплоснабжающей организации филиал ООО «Ростовтеплоэнерго» Куйбышевского район</w:t>
      </w:r>
      <w:r>
        <w:rPr>
          <w:sz w:val="28"/>
        </w:rPr>
        <w:t xml:space="preserve">а, потери тепловой энергии за 2022 </w:t>
      </w:r>
      <w:r>
        <w:rPr>
          <w:sz w:val="28"/>
        </w:rPr>
        <w:t>год не установлены. В связи с планируемой передачей тепловых сетей от котельной, расположенной по адресу с. Куйбышево, ул. Пролетарская, 7 концессионеру с 2024 года, значения существующих потерь в 2023 году не определяютс</w:t>
      </w:r>
      <w:r>
        <w:rPr>
          <w:sz w:val="28"/>
        </w:rPr>
        <w:t>я, значения перспективных потерь тепловой энергии при её передаче по тепловым сетям, от данной котельной определены в размере 226,633 Гкал в 2024-2025 годах, в размере 198,72 Гкал в 2026 году, и до 2033 года 156,8 Гкал в год. Существующие и перспективные б</w:t>
      </w:r>
      <w:r>
        <w:rPr>
          <w:sz w:val="28"/>
        </w:rPr>
        <w:t>алансы тепловой мощности и тепловой нагрузки по пару (расчёт потерь теплоносителя) не составлялись, ввиду отсутствия выработки и потребления пара от систем централизованных тепловых установок, в том числе генеральным планом вышеуказанные мероприятия не пре</w:t>
      </w:r>
      <w:r>
        <w:rPr>
          <w:sz w:val="28"/>
        </w:rPr>
        <w:t xml:space="preserve">дусмотрены. </w:t>
      </w:r>
    </w:p>
    <w:p w14:paraId="0B030000">
      <w:pPr>
        <w:spacing w:before="200" w:line="20" w:lineRule="atLeast"/>
        <w:ind w:firstLine="709" w:left="0"/>
        <w:jc w:val="both"/>
        <w:rPr>
          <w:sz w:val="28"/>
        </w:rPr>
      </w:pPr>
      <w:r>
        <w:rPr>
          <w:sz w:val="28"/>
        </w:rPr>
        <w:t>е) затраты существующей и перспективной тепловой мощности на хозяйственные нужды теплоснабжающей (теплосетевой) организации в отношении тепловых сетей включены в значения показателей таблицы 7 Схемы теплоснабжения;</w:t>
      </w:r>
    </w:p>
    <w:p w14:paraId="0C030000">
      <w:pPr>
        <w:spacing w:line="20" w:lineRule="atLeast"/>
        <w:ind w:firstLine="709" w:left="0"/>
        <w:jc w:val="both"/>
        <w:rPr>
          <w:sz w:val="28"/>
        </w:rPr>
      </w:pPr>
      <w:r>
        <w:rPr>
          <w:sz w:val="28"/>
        </w:rPr>
        <w:t xml:space="preserve">ж) значения существующей и </w:t>
      </w:r>
      <w:r>
        <w:rPr>
          <w:sz w:val="28"/>
        </w:rPr>
        <w:t>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w:t>
      </w:r>
      <w:r>
        <w:rPr>
          <w:sz w:val="28"/>
        </w:rPr>
        <w:t>оворам на поддержание резервной тепловой мощности</w:t>
      </w:r>
    </w:p>
    <w:p w14:paraId="0D030000">
      <w:pPr>
        <w:spacing w:line="20" w:lineRule="atLeast"/>
        <w:ind w:firstLine="709" w:left="0"/>
        <w:jc w:val="both"/>
        <w:rPr>
          <w:sz w:val="28"/>
        </w:rPr>
      </w:pPr>
      <w:r>
        <w:rPr>
          <w:sz w:val="28"/>
        </w:rPr>
        <w:t>Перспективные балансы тепловой мощности и тепловой нагрузки в перспективных зонах действия источника тепловой энергии отражены в таблице 5 схемы теплоснабжения. В настоящее время в Куйбышевском сельском пос</w:t>
      </w:r>
      <w:r>
        <w:rPr>
          <w:sz w:val="28"/>
        </w:rPr>
        <w:t>елении отсутствует информация: о наличии долгосрочных договоров на теплоснабжение по регулируемой цене, о наличии перспективного потребления тепловой энергии отдельными категориями потребителей, в том числе социально значимых, для которых устанавливаются л</w:t>
      </w:r>
      <w:r>
        <w:rPr>
          <w:sz w:val="28"/>
        </w:rPr>
        <w:t xml:space="preserve">ьготные тарифы на тепловую энергию (мощность), о наличии свободных долгосрочных договорах на теплоснабжение. В виду отсутствия договоров на поддержание резервной тепловой мощности, аварийный резерв и резерв по договорам не предусматривается. </w:t>
      </w:r>
    </w:p>
    <w:p w14:paraId="0E030000">
      <w:pPr>
        <w:spacing w:line="20" w:lineRule="atLeast"/>
        <w:ind w:firstLine="709" w:left="0"/>
        <w:jc w:val="both"/>
        <w:rPr>
          <w:sz w:val="28"/>
        </w:rPr>
      </w:pPr>
      <w:r>
        <w:rPr>
          <w:sz w:val="28"/>
        </w:rPr>
        <w:t>з) значения с</w:t>
      </w:r>
      <w:r>
        <w:rPr>
          <w:sz w:val="28"/>
        </w:rPr>
        <w:t xml:space="preserve">уществующей и перспективной тепловой нагрузки потребителей, устанавливаемые с учётом расчётной тепловой нагрузки, определены в таблице 5 схемы теплоснабжения. </w:t>
      </w:r>
    </w:p>
    <w:p w14:paraId="0F030000">
      <w:pPr>
        <w:spacing w:line="20" w:lineRule="atLeast"/>
        <w:ind w:firstLine="709" w:left="0"/>
        <w:jc w:val="both"/>
        <w:rPr>
          <w:b w:val="1"/>
          <w:sz w:val="28"/>
        </w:rPr>
      </w:pPr>
      <w:r>
        <w:rPr>
          <w:b w:val="1"/>
          <w:sz w:val="28"/>
        </w:rPr>
        <w:t>2.5 Радиус эффективного теплоснабжения, определяемый в соответствии с методическими указаниями п</w:t>
      </w:r>
      <w:r>
        <w:rPr>
          <w:b w:val="1"/>
          <w:sz w:val="28"/>
        </w:rPr>
        <w:t>о разработке схем теплоснабжения</w:t>
      </w:r>
    </w:p>
    <w:p w14:paraId="10030000">
      <w:pPr>
        <w:spacing w:line="20" w:lineRule="atLeast"/>
        <w:ind w:firstLine="709" w:left="0"/>
        <w:jc w:val="both"/>
        <w:rPr>
          <w:sz w:val="28"/>
        </w:rPr>
      </w:pPr>
      <w:r>
        <w:rPr>
          <w:sz w:val="28"/>
        </w:rPr>
        <w:t xml:space="preserve">Подключение новой нагрузки к централизованным системам теплоснабжения требует постоянной проработки вариантов их развития. </w:t>
      </w:r>
      <w:r>
        <w:rPr>
          <w:sz w:val="28"/>
        </w:rPr>
        <w:t>Оптимальный вариант должен определяться по общей цели развития - обеспечению наиболее экономичным сп</w:t>
      </w:r>
      <w:r>
        <w:rPr>
          <w:sz w:val="28"/>
        </w:rPr>
        <w:t xml:space="preserve">особом качественного и надёжного теплоснабжения с учётом экологических требований. Расширение радиусов действия тепловых сетей по существующим котельным не планируется. В силу Постановления Правительства Российской Федерации № 154 от 22.02.2012 года (изм. </w:t>
      </w:r>
      <w:r>
        <w:rPr>
          <w:sz w:val="28"/>
        </w:rPr>
        <w:t>10.01.2023 года) расчёт радиуса эффективного теплоснабжения не производится.</w:t>
      </w:r>
    </w:p>
    <w:p w14:paraId="11030000">
      <w:pPr>
        <w:spacing w:line="20" w:lineRule="atLeast"/>
        <w:ind w:firstLine="709" w:left="0"/>
        <w:jc w:val="both"/>
        <w:rPr>
          <w:sz w:val="28"/>
        </w:rPr>
      </w:pPr>
      <w:r>
        <w:rPr>
          <w:b w:val="1"/>
          <w:sz w:val="28"/>
        </w:rPr>
        <w:t xml:space="preserve">РАЗДЕЛ 3. СУЩЕСТВУЮЩИЕ И ПЕРСПЕКТИВНЫЕ БАЛАНСЫ </w:t>
      </w:r>
    </w:p>
    <w:p w14:paraId="12030000">
      <w:pPr>
        <w:spacing w:before="200" w:line="20" w:lineRule="atLeast"/>
        <w:ind/>
        <w:jc w:val="both"/>
        <w:rPr>
          <w:b w:val="1"/>
          <w:sz w:val="28"/>
        </w:rPr>
      </w:pPr>
      <w:r>
        <w:rPr>
          <w:b w:val="1"/>
          <w:sz w:val="28"/>
        </w:rPr>
        <w:t>ТЕПЛОНОСИТЕЛЯ КУЙБЫШЕВСКОГО СЕЛЬСКОГО ПОСЕЛЕНИЯ КУЙБЫШЕВСКОГО РАЙОНА</w:t>
      </w:r>
    </w:p>
    <w:p w14:paraId="13030000">
      <w:pPr>
        <w:spacing w:line="20" w:lineRule="atLeast"/>
        <w:ind w:firstLine="709" w:left="0"/>
        <w:jc w:val="both"/>
        <w:rPr>
          <w:b w:val="1"/>
          <w:sz w:val="28"/>
        </w:rPr>
      </w:pPr>
      <w:r>
        <w:rPr>
          <w:b w:val="1"/>
          <w:sz w:val="28"/>
        </w:rPr>
        <w:t xml:space="preserve">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14:paraId="14030000">
      <w:pPr>
        <w:spacing w:line="20" w:lineRule="atLeast"/>
        <w:ind/>
        <w:jc w:val="both"/>
        <w:rPr>
          <w:sz w:val="28"/>
        </w:rPr>
      </w:pPr>
      <w:r>
        <w:rPr>
          <w:sz w:val="28"/>
        </w:rPr>
        <w:t>Таблица 8 Существующие и перспективные балансы производительности водоподготов</w:t>
      </w:r>
      <w:r>
        <w:rPr>
          <w:sz w:val="28"/>
        </w:rPr>
        <w:t>ительных установок (далее – ВПУ) и максимального потребления теплоносителя теплопотребляющими установками потребителей</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11"/>
        <w:gridCol w:w="3336"/>
        <w:gridCol w:w="1981"/>
        <w:gridCol w:w="1981"/>
        <w:gridCol w:w="1821"/>
      </w:tblGrid>
      <w:tr>
        <w:trPr>
          <w:trHeight w:hRule="atLeast" w:val="1040"/>
        </w:trPr>
        <w:tc>
          <w:tcPr>
            <w:tcW w:type="dxa" w:w="411"/>
            <w:tcBorders>
              <w:top w:color="000000" w:sz="4" w:val="single"/>
              <w:left w:color="000000" w:sz="4" w:val="single"/>
              <w:bottom w:color="000000" w:sz="4" w:val="single"/>
              <w:right w:color="000000" w:sz="4" w:val="single"/>
            </w:tcBorders>
            <w:vAlign w:val="center"/>
          </w:tcPr>
          <w:p w14:paraId="15030000">
            <w:pPr>
              <w:spacing w:line="20" w:lineRule="atLeast"/>
              <w:ind/>
              <w:jc w:val="center"/>
              <w:rPr>
                <w:sz w:val="20"/>
              </w:rPr>
            </w:pPr>
            <w:r>
              <w:rPr>
                <w:sz w:val="20"/>
              </w:rPr>
              <w:t>№</w:t>
            </w:r>
          </w:p>
        </w:tc>
        <w:tc>
          <w:tcPr>
            <w:tcW w:type="dxa" w:w="3336"/>
            <w:tcBorders>
              <w:top w:color="000000" w:sz="4" w:val="single"/>
              <w:left w:color="000000" w:sz="4" w:val="single"/>
              <w:bottom w:color="000000" w:sz="4" w:val="single"/>
              <w:right w:color="000000" w:sz="4" w:val="single"/>
            </w:tcBorders>
            <w:vAlign w:val="center"/>
          </w:tcPr>
          <w:p w14:paraId="16030000">
            <w:pPr>
              <w:spacing w:line="20" w:lineRule="atLeast"/>
              <w:ind/>
              <w:jc w:val="center"/>
              <w:rPr>
                <w:sz w:val="20"/>
              </w:rPr>
            </w:pPr>
            <w:r>
              <w:rPr>
                <w:sz w:val="20"/>
              </w:rPr>
              <w:t>Котельная, где установлены ВПУ</w:t>
            </w:r>
          </w:p>
        </w:tc>
        <w:tc>
          <w:tcPr>
            <w:tcW w:type="dxa" w:w="1981"/>
            <w:tcBorders>
              <w:top w:color="000000" w:sz="4" w:val="single"/>
              <w:left w:color="000000" w:sz="4" w:val="single"/>
              <w:bottom w:color="000000" w:sz="4" w:val="single"/>
              <w:right w:color="000000" w:sz="4" w:val="single"/>
            </w:tcBorders>
            <w:vAlign w:val="center"/>
          </w:tcPr>
          <w:p w14:paraId="17030000">
            <w:pPr>
              <w:spacing w:line="20" w:lineRule="atLeast"/>
              <w:ind/>
              <w:jc w:val="center"/>
              <w:rPr>
                <w:sz w:val="20"/>
              </w:rPr>
            </w:pPr>
            <w:r>
              <w:rPr>
                <w:sz w:val="20"/>
              </w:rPr>
              <w:t>Существующая производительность, м</w:t>
            </w:r>
            <w:r>
              <w:rPr>
                <w:sz w:val="20"/>
                <w:vertAlign w:val="superscript"/>
              </w:rPr>
              <w:t xml:space="preserve">3 </w:t>
            </w:r>
            <w:r>
              <w:rPr>
                <w:sz w:val="20"/>
              </w:rPr>
              <w:t>/ч</w:t>
            </w:r>
          </w:p>
        </w:tc>
        <w:tc>
          <w:tcPr>
            <w:tcW w:type="dxa" w:w="1981"/>
            <w:tcBorders>
              <w:top w:color="000000" w:sz="4" w:val="single"/>
              <w:left w:color="000000" w:sz="4" w:val="single"/>
              <w:bottom w:color="000000" w:sz="4" w:val="single"/>
              <w:right w:color="000000" w:sz="4" w:val="single"/>
            </w:tcBorders>
            <w:vAlign w:val="center"/>
          </w:tcPr>
          <w:p w14:paraId="18030000">
            <w:pPr>
              <w:spacing w:line="20" w:lineRule="atLeast"/>
              <w:ind/>
              <w:jc w:val="center"/>
              <w:rPr>
                <w:sz w:val="20"/>
              </w:rPr>
            </w:pPr>
            <w:r>
              <w:rPr>
                <w:sz w:val="20"/>
              </w:rPr>
              <w:t>Перспективная производительность, м</w:t>
            </w:r>
            <w:r>
              <w:rPr>
                <w:sz w:val="20"/>
                <w:vertAlign w:val="superscript"/>
              </w:rPr>
              <w:t xml:space="preserve">3 </w:t>
            </w:r>
            <w:r>
              <w:rPr>
                <w:sz w:val="20"/>
              </w:rPr>
              <w:t>/ч</w:t>
            </w:r>
          </w:p>
        </w:tc>
        <w:tc>
          <w:tcPr>
            <w:tcW w:type="dxa" w:w="1821"/>
            <w:tcBorders>
              <w:top w:color="000000" w:sz="4" w:val="single"/>
              <w:left w:color="000000" w:sz="4" w:val="single"/>
              <w:bottom w:color="000000" w:sz="4" w:val="single"/>
              <w:right w:color="000000" w:sz="4" w:val="single"/>
            </w:tcBorders>
            <w:vAlign w:val="center"/>
          </w:tcPr>
          <w:p w14:paraId="19030000">
            <w:pPr>
              <w:spacing w:line="20" w:lineRule="atLeast"/>
              <w:ind/>
              <w:jc w:val="center"/>
              <w:rPr>
                <w:sz w:val="20"/>
              </w:rPr>
            </w:pPr>
            <w:r>
              <w:rPr>
                <w:sz w:val="20"/>
              </w:rPr>
              <w:t xml:space="preserve">Максимальное потребление </w:t>
            </w:r>
            <w:r>
              <w:rPr>
                <w:sz w:val="20"/>
              </w:rPr>
              <w:t>теплоносителя, т/ч</w:t>
            </w:r>
          </w:p>
        </w:tc>
      </w:tr>
      <w:tr>
        <w:tc>
          <w:tcPr>
            <w:tcW w:type="dxa" w:w="411"/>
            <w:tcBorders>
              <w:top w:color="000000" w:sz="4" w:val="single"/>
              <w:left w:color="000000" w:sz="4" w:val="single"/>
              <w:bottom w:color="000000" w:sz="4" w:val="single"/>
              <w:right w:color="000000" w:sz="4" w:val="single"/>
            </w:tcBorders>
            <w:vAlign w:val="center"/>
          </w:tcPr>
          <w:p w14:paraId="1A030000">
            <w:pPr>
              <w:spacing w:line="20" w:lineRule="atLeast"/>
              <w:ind/>
              <w:jc w:val="center"/>
              <w:rPr>
                <w:sz w:val="20"/>
              </w:rPr>
            </w:pPr>
            <w:r>
              <w:rPr>
                <w:sz w:val="20"/>
              </w:rPr>
              <w:t>1</w:t>
            </w:r>
          </w:p>
        </w:tc>
        <w:tc>
          <w:tcPr>
            <w:tcW w:type="dxa" w:w="3336"/>
            <w:tcBorders>
              <w:top w:color="000000" w:sz="4" w:val="single"/>
              <w:left w:color="000000" w:sz="4" w:val="single"/>
              <w:bottom w:color="000000" w:sz="4" w:val="single"/>
              <w:right w:color="000000" w:sz="4" w:val="single"/>
            </w:tcBorders>
            <w:vAlign w:val="center"/>
          </w:tcPr>
          <w:p w14:paraId="1B030000">
            <w:pPr>
              <w:ind/>
              <w:jc w:val="center"/>
              <w:rPr>
                <w:sz w:val="20"/>
              </w:rPr>
            </w:pPr>
            <w:r>
              <w:rPr>
                <w:sz w:val="20"/>
              </w:rPr>
              <w:t>с. Куйбышево. ул. Пролетарская, 7</w:t>
            </w:r>
          </w:p>
        </w:tc>
        <w:tc>
          <w:tcPr>
            <w:tcW w:type="dxa" w:w="1981"/>
            <w:tcBorders>
              <w:top w:color="000000" w:sz="4" w:val="single"/>
              <w:left w:color="000000" w:sz="4" w:val="single"/>
              <w:bottom w:color="000000" w:sz="4" w:val="single"/>
              <w:right w:color="000000" w:sz="4" w:val="single"/>
            </w:tcBorders>
            <w:vAlign w:val="center"/>
          </w:tcPr>
          <w:p w14:paraId="1C030000">
            <w:pPr>
              <w:ind/>
              <w:jc w:val="center"/>
              <w:rPr>
                <w:sz w:val="20"/>
              </w:rPr>
            </w:pPr>
            <w:r>
              <w:rPr>
                <w:sz w:val="20"/>
              </w:rPr>
              <w:t>1,0</w:t>
            </w:r>
          </w:p>
        </w:tc>
        <w:tc>
          <w:tcPr>
            <w:tcW w:type="dxa" w:w="1981"/>
            <w:tcBorders>
              <w:top w:color="000000" w:sz="4" w:val="single"/>
              <w:left w:color="000000" w:sz="4" w:val="single"/>
              <w:bottom w:color="000000" w:sz="4" w:val="single"/>
              <w:right w:color="000000" w:sz="4" w:val="single"/>
            </w:tcBorders>
            <w:vAlign w:val="center"/>
          </w:tcPr>
          <w:p w14:paraId="1D030000">
            <w:pPr>
              <w:ind/>
              <w:jc w:val="center"/>
              <w:rPr>
                <w:sz w:val="20"/>
              </w:rPr>
            </w:pPr>
            <w:r>
              <w:rPr>
                <w:sz w:val="20"/>
              </w:rPr>
              <w:t>1,0</w:t>
            </w:r>
          </w:p>
        </w:tc>
        <w:tc>
          <w:tcPr>
            <w:tcW w:type="dxa" w:w="1821"/>
            <w:tcBorders>
              <w:top w:color="000000" w:sz="4" w:val="single"/>
              <w:left w:color="000000" w:sz="4" w:val="single"/>
              <w:bottom w:color="000000" w:sz="4" w:val="single"/>
              <w:right w:color="000000" w:sz="4" w:val="single"/>
            </w:tcBorders>
            <w:vAlign w:val="center"/>
          </w:tcPr>
          <w:p w14:paraId="1E030000">
            <w:pPr>
              <w:ind/>
              <w:jc w:val="center"/>
              <w:rPr>
                <w:sz w:val="20"/>
              </w:rPr>
            </w:pPr>
            <w:r>
              <w:rPr>
                <w:sz w:val="20"/>
              </w:rPr>
              <w:t>0,001</w:t>
            </w:r>
          </w:p>
        </w:tc>
      </w:tr>
    </w:tbl>
    <w:p w14:paraId="1F030000">
      <w:pPr>
        <w:spacing w:before="200" w:line="20" w:lineRule="atLeast"/>
        <w:ind w:firstLine="709" w:left="0"/>
        <w:jc w:val="both"/>
        <w:rPr>
          <w:b w:val="1"/>
          <w:sz w:val="28"/>
        </w:rPr>
      </w:pPr>
      <w:r>
        <w:rPr>
          <w:b w:val="1"/>
          <w:sz w:val="28"/>
        </w:rPr>
        <w:t xml:space="preserve">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w:t>
      </w:r>
      <w:r>
        <w:rPr>
          <w:b w:val="1"/>
          <w:sz w:val="28"/>
        </w:rPr>
        <w:t>систем теплоснабжения</w:t>
      </w:r>
    </w:p>
    <w:p w14:paraId="20030000">
      <w:pPr>
        <w:spacing w:before="200" w:line="20" w:lineRule="atLeast"/>
        <w:ind w:firstLine="709" w:left="0"/>
        <w:jc w:val="both"/>
        <w:rPr>
          <w:sz w:val="28"/>
        </w:rPr>
      </w:pPr>
      <w:r>
        <w:rPr>
          <w:sz w:val="28"/>
        </w:rPr>
        <w:t>Существующая мощность ВПУ обеспечивает аварийную подпитку. Дополнительные мероприятия по повышению объёмов аварийной подпитки не требуются.</w:t>
      </w:r>
    </w:p>
    <w:p w14:paraId="21030000">
      <w:pPr>
        <w:spacing w:before="200" w:line="20" w:lineRule="atLeast"/>
        <w:ind w:firstLine="709" w:left="0"/>
        <w:jc w:val="both"/>
        <w:rPr>
          <w:sz w:val="28"/>
        </w:rPr>
      </w:pPr>
      <w:r>
        <w:rPr>
          <w:b w:val="1"/>
          <w:sz w:val="28"/>
        </w:rPr>
        <w:t>РАЗДЕЛ 4. ОСНОВНЫЕ ПОЛОЖЕНИЯ МАСТЕР – ПЛАНА СИСТЕМ ТЕПЛОСНАБЖЕНИЯ КУЙБЫШЕВСКОГО СЕЛЬСКОГО ПОСЕ</w:t>
      </w:r>
      <w:r>
        <w:rPr>
          <w:b w:val="1"/>
          <w:sz w:val="28"/>
        </w:rPr>
        <w:t>ЛЕНИЯ КУЙБЫШЕВСКОГО РАЙОНА</w:t>
      </w:r>
    </w:p>
    <w:p w14:paraId="22030000">
      <w:pPr>
        <w:spacing w:before="200" w:line="20" w:lineRule="atLeast"/>
        <w:ind w:firstLine="709" w:left="0"/>
        <w:jc w:val="both"/>
        <w:rPr>
          <w:b w:val="1"/>
          <w:sz w:val="28"/>
        </w:rPr>
      </w:pPr>
      <w:r>
        <w:rPr>
          <w:b w:val="1"/>
          <w:sz w:val="28"/>
        </w:rPr>
        <w:t xml:space="preserve">4.1 Описание сценариев развития теплоснабжения Куйбышевского сельского поселения Куйбышевского района </w:t>
      </w:r>
    </w:p>
    <w:p w14:paraId="23030000">
      <w:pPr>
        <w:spacing w:before="200" w:line="20" w:lineRule="atLeast"/>
        <w:ind w:firstLine="709" w:left="0"/>
        <w:jc w:val="both"/>
        <w:rPr>
          <w:sz w:val="28"/>
        </w:rPr>
      </w:pPr>
      <w:r>
        <w:rPr>
          <w:sz w:val="28"/>
        </w:rPr>
        <w:t>По сценарию развития генерального плана теплоснабжение объектов предлагается от существующих котельных, а также от автоматичес</w:t>
      </w:r>
      <w:r>
        <w:rPr>
          <w:sz w:val="28"/>
        </w:rPr>
        <w:t xml:space="preserve">ких газовых отопительных котлов. Для проектируемых отдельно-стоящих котельных предусматривается санитарно-защитная зона 50 метров. В соответствии с </w:t>
      </w:r>
      <w:r>
        <w:rPr>
          <w:sz w:val="28"/>
        </w:rPr>
        <w:t>действующими нормативными документами расход тепла на отопление и вентиляцию проектируемых жилых зданий прин</w:t>
      </w:r>
      <w:r>
        <w:rPr>
          <w:sz w:val="28"/>
        </w:rPr>
        <w:t xml:space="preserve">ят по типовым проектам в соответствии с действующими нормативными документами.  </w:t>
      </w:r>
    </w:p>
    <w:p w14:paraId="24030000">
      <w:pPr>
        <w:spacing w:line="20" w:lineRule="atLeast"/>
        <w:ind w:firstLine="709" w:left="0"/>
        <w:jc w:val="both"/>
        <w:rPr>
          <w:sz w:val="28"/>
        </w:rPr>
      </w:pPr>
      <w:r>
        <w:rPr>
          <w:b w:val="1"/>
          <w:sz w:val="28"/>
        </w:rPr>
        <w:t>4.2 Обоснование выбора приоритетного сценария развития теплоснабжения Куйбышевского сельского поселения Куйбышевского района</w:t>
      </w:r>
    </w:p>
    <w:p w14:paraId="25030000">
      <w:pPr>
        <w:spacing w:line="240" w:lineRule="auto"/>
        <w:ind w:firstLine="709" w:left="0"/>
        <w:jc w:val="both"/>
        <w:rPr>
          <w:sz w:val="28"/>
        </w:rPr>
      </w:pPr>
      <w:r>
        <w:rPr>
          <w:sz w:val="28"/>
        </w:rPr>
        <w:t>С учётом прогнозируемого дальнейшего ежегодного повышения цен на органическое топливо в пределах 15 %, приоритетным сценарием развития теплоснабжения является сохранение существующей системы теплоснабжения Куйбышевского сельского поселения. В Генеральном п</w:t>
      </w:r>
      <w:r>
        <w:rPr>
          <w:sz w:val="28"/>
        </w:rPr>
        <w:t>лане предполагается, что территории будут застраиваться малоэтажной индивидуальной жилой застройкой с возможностью ведения личного подсобного хозяйства, на участке площадью до 0,5 га. Данный тип застройки отапливается преимущественно от автономного теплосн</w:t>
      </w:r>
      <w:r>
        <w:rPr>
          <w:sz w:val="28"/>
        </w:rPr>
        <w:t>абжения (газовые котлы с автоматическим регулированием). Здания культурно – бытового обслуживания (детские сады, школы, учреждения культуры и спорта и т.п.) планируется отапливать от существующих котельных либо от источников автономного теплоснабжения (ста</w:t>
      </w:r>
      <w:r>
        <w:rPr>
          <w:sz w:val="28"/>
        </w:rPr>
        <w:t xml:space="preserve">ционарные котельные, газовые котлы и так далее). </w:t>
      </w:r>
    </w:p>
    <w:p w14:paraId="26030000">
      <w:pPr>
        <w:spacing w:line="20" w:lineRule="atLeast"/>
        <w:ind w:firstLine="709" w:left="0"/>
        <w:jc w:val="both"/>
        <w:rPr>
          <w:b w:val="1"/>
          <w:sz w:val="28"/>
        </w:rPr>
      </w:pPr>
      <w:r>
        <w:rPr>
          <w:b w:val="1"/>
          <w:sz w:val="28"/>
        </w:rPr>
        <w:t>РАЗДЕЛ 5. ПРЕДЛОЖЕНИЯ ПО СТРОИТЕЛЬСТВУ, РЕКОНСТРУКЦИИ, ТЕХНИЧЕСКОМУ ПЕРЕВООРУЖЕНИЮ И (ИЛИ) МОДЕРНИЗАЦИИ ИСТОЧНИКОВ ТЕПЛОВОЙ ЭНЕРГИИ КУЙБЫШЕВСКОГО СЕЛЬСКОГО ПОСЕЛЕНИЯ КУЙБЫШЕВСКОГО РАЙОНА</w:t>
      </w:r>
    </w:p>
    <w:p w14:paraId="27030000">
      <w:pPr>
        <w:spacing w:line="20" w:lineRule="atLeast"/>
        <w:ind w:firstLine="709" w:left="0"/>
        <w:jc w:val="both"/>
        <w:rPr>
          <w:sz w:val="28"/>
        </w:rPr>
      </w:pPr>
      <w:r>
        <w:rPr>
          <w:b w:val="1"/>
          <w:sz w:val="28"/>
        </w:rPr>
        <w:t xml:space="preserve">5.1 Предложения по </w:t>
      </w:r>
      <w:r>
        <w:rPr>
          <w:b w:val="1"/>
          <w:sz w:val="28"/>
        </w:rPr>
        <w:t>строительству источников тепловой энергии, обеспечивающих перспективную тепловую нагрузку на осваиваемых территориях Куйбышевского сельского поселения Куйбышевского района, для которых отсутствует возможность и (или) целесообразность передачи тепловой энер</w:t>
      </w:r>
      <w:r>
        <w:rPr>
          <w:b w:val="1"/>
          <w:sz w:val="28"/>
        </w:rPr>
        <w:t>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w:t>
      </w:r>
      <w:r>
        <w:rPr>
          <w:b w:val="1"/>
          <w:sz w:val="28"/>
        </w:rPr>
        <w:t>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Куйбышевского сельского поселения К</w:t>
      </w:r>
      <w:r>
        <w:rPr>
          <w:b w:val="1"/>
          <w:sz w:val="28"/>
        </w:rPr>
        <w:t>уйбышевского района,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w:t>
      </w:r>
      <w:r>
        <w:rPr>
          <w:b w:val="1"/>
          <w:sz w:val="28"/>
        </w:rPr>
        <w:t>адиуса эффективного теплоснабжения</w:t>
      </w:r>
    </w:p>
    <w:p w14:paraId="28030000">
      <w:pPr>
        <w:spacing w:line="20" w:lineRule="atLeast"/>
        <w:ind w:firstLine="709" w:left="0"/>
        <w:jc w:val="both"/>
        <w:rPr>
          <w:sz w:val="28"/>
        </w:rPr>
      </w:pPr>
      <w:r>
        <w:rPr>
          <w:sz w:val="28"/>
        </w:rPr>
        <w:t>Предложения по строительству источников тепловой энергии, обеспечивающих перспективную тепловую нагрузку на осваиваемых территориях Куйбышевского сельского поселения, для которых отсутствует возможность и (или) целесообра</w:t>
      </w:r>
      <w:r>
        <w:rPr>
          <w:sz w:val="28"/>
        </w:rPr>
        <w:t xml:space="preserve">зность передачи тепловой энергии от существующих или реконструируемых источников тепловой энергии, отсутствуют.  </w:t>
      </w:r>
    </w:p>
    <w:p w14:paraId="29030000">
      <w:pPr>
        <w:spacing w:line="20" w:lineRule="atLeast"/>
        <w:ind w:firstLine="709" w:left="0"/>
        <w:jc w:val="both"/>
        <w:rPr>
          <w:b w:val="1"/>
          <w:sz w:val="28"/>
        </w:rPr>
      </w:pPr>
      <w:r>
        <w:rPr>
          <w:b w:val="1"/>
          <w:sz w:val="28"/>
        </w:rPr>
        <w:t xml:space="preserve">5.2 Предложения по реконструкции источников тепловой энергии, обеспечивающих перспективную тепловую нагрузку в существующих и </w:t>
      </w:r>
    </w:p>
    <w:p w14:paraId="2A030000">
      <w:pPr>
        <w:spacing w:before="200" w:line="20" w:lineRule="atLeast"/>
        <w:ind w:firstLine="709" w:left="0"/>
        <w:jc w:val="both"/>
        <w:rPr>
          <w:b w:val="1"/>
          <w:sz w:val="28"/>
        </w:rPr>
      </w:pPr>
      <w:r>
        <w:rPr>
          <w:b w:val="1"/>
          <w:sz w:val="28"/>
        </w:rPr>
        <w:t>расширяемых зон</w:t>
      </w:r>
      <w:r>
        <w:rPr>
          <w:b w:val="1"/>
          <w:sz w:val="28"/>
        </w:rPr>
        <w:t xml:space="preserve">ах действия источников тепловой энергии </w:t>
      </w:r>
    </w:p>
    <w:p w14:paraId="2B030000">
      <w:pPr>
        <w:spacing w:before="200" w:line="20" w:lineRule="atLeast"/>
        <w:ind w:firstLine="709" w:left="0"/>
        <w:jc w:val="both"/>
        <w:rPr>
          <w:sz w:val="28"/>
        </w:rPr>
      </w:pPr>
      <w:r>
        <w:rPr>
          <w:sz w:val="28"/>
        </w:rPr>
        <w:t>Предложения по реконструкции источников тепловой энергии, обеспечивающих перспективную тепловую нагрузку существующих и расширяемых зонах действия источников тепловой энергии, не предусмотрены.</w:t>
      </w:r>
    </w:p>
    <w:p w14:paraId="2C030000">
      <w:pPr>
        <w:spacing w:before="200" w:line="20" w:lineRule="atLeast"/>
        <w:ind w:firstLine="709" w:left="0"/>
        <w:jc w:val="both"/>
        <w:rPr>
          <w:b w:val="1"/>
          <w:sz w:val="28"/>
        </w:rPr>
      </w:pPr>
      <w:r>
        <w:rPr>
          <w:b w:val="1"/>
          <w:sz w:val="28"/>
        </w:rPr>
        <w:t>5.3 Предложения по те</w:t>
      </w:r>
      <w:r>
        <w:rPr>
          <w:b w:val="1"/>
          <w:sz w:val="28"/>
        </w:rPr>
        <w:t>хническому перевооружению и (или)модернизации источников тепловой энергии, с целью повышения, эффективности работы систем теплоснабжения</w:t>
      </w:r>
    </w:p>
    <w:p w14:paraId="2D030000">
      <w:pPr>
        <w:spacing w:after="0" w:line="20" w:lineRule="atLeast"/>
        <w:ind w:firstLine="709" w:left="0"/>
        <w:jc w:val="both"/>
        <w:rPr>
          <w:sz w:val="28"/>
        </w:rPr>
      </w:pPr>
      <w:r>
        <w:rPr>
          <w:sz w:val="28"/>
        </w:rPr>
        <w:t>Теплоснабжающие организации филиал ООО «Ростовтеплоэнерго» Куйбышевского района и ООО «Теплогарант» вносят следующие пр</w:t>
      </w:r>
      <w:r>
        <w:rPr>
          <w:sz w:val="28"/>
        </w:rPr>
        <w:t xml:space="preserve">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w:t>
      </w:r>
    </w:p>
    <w:p w14:paraId="2E030000">
      <w:pPr>
        <w:spacing w:after="0" w:line="20" w:lineRule="atLeast"/>
        <w:ind w:firstLine="709" w:left="0"/>
        <w:jc w:val="both"/>
        <w:rPr>
          <w:sz w:val="28"/>
        </w:rPr>
      </w:pPr>
      <w:r>
        <w:rPr>
          <w:sz w:val="28"/>
        </w:rPr>
        <w:t>В связи с тем, что газопотребляющее, теплотехническое и насосное оборудование котельной в с. Куйбышев</w:t>
      </w:r>
      <w:r>
        <w:rPr>
          <w:sz w:val="28"/>
        </w:rPr>
        <w:t>о, ул. Пролетарская, 7 морально устарело и физически изношено, планируется разработка проектной документации на техническое перевооружение котельной (газовая часть, тепловая часть, замена УУГ)и техническое перевооружение котельной с заменой морально устаре</w:t>
      </w:r>
      <w:r>
        <w:rPr>
          <w:sz w:val="28"/>
        </w:rPr>
        <w:t>вшего и физически изношенного газопотребляющего, теплотехнического и насосного оборудования новым, более производительным с целью оптимизации установленной мощности котельной: с заменой 4 котлов марки ФАКЕЛ-Г общей мощностью 4 МВт на 6 газовых котлов марки</w:t>
      </w:r>
      <w:r>
        <w:rPr>
          <w:sz w:val="28"/>
        </w:rPr>
        <w:t xml:space="preserve"> ROSSEN PSA-200 общей мощностью 1,2 МВт.</w:t>
      </w:r>
    </w:p>
    <w:p w14:paraId="2F030000">
      <w:pPr>
        <w:spacing w:after="0" w:line="20" w:lineRule="atLeast"/>
        <w:ind w:firstLine="709" w:left="0"/>
        <w:jc w:val="both"/>
        <w:rPr>
          <w:sz w:val="28"/>
        </w:rPr>
      </w:pPr>
      <w:r>
        <w:rPr>
          <w:sz w:val="28"/>
        </w:rPr>
        <w:t>В котельной по адресу: с. Русское, ул. Красноармейская,8-а (МБОУ Русская СОШ им. Героя Советского союза М. Н. Алексеева) планируется замена котла марки КЧМ-5 (9 секций), замена вычислительного комплекса СГ-ТК-Д25, з</w:t>
      </w:r>
      <w:r>
        <w:rPr>
          <w:sz w:val="28"/>
        </w:rPr>
        <w:t xml:space="preserve">амена циркуляционного насоса Grundfos UPS 60-180F, замена окна, замена двери ремонт кровли.  </w:t>
      </w:r>
    </w:p>
    <w:p w14:paraId="30030000">
      <w:pPr>
        <w:spacing w:after="0" w:line="20" w:lineRule="atLeast"/>
        <w:ind w:firstLine="709" w:left="0"/>
        <w:jc w:val="both"/>
        <w:rPr>
          <w:sz w:val="28"/>
        </w:rPr>
      </w:pPr>
      <w:r>
        <w:rPr>
          <w:sz w:val="28"/>
        </w:rPr>
        <w:t xml:space="preserve">В котельной по адресу: с. Русское, ул. Героя Советского Союза М. П. Алексеева, 8 (МБОУ Русская СОШ им. Героя Советского союза М. Н. Алексеева) планируется замена </w:t>
      </w:r>
      <w:r>
        <w:rPr>
          <w:sz w:val="28"/>
        </w:rPr>
        <w:t xml:space="preserve">котла марки КСГВ-31,5, замена циркуляционного насоса UPS 32-60, замена счетчика газа Metrix G6T, замена котла марки Атон КСГ-30, замена окна на пластиковое, ремонт кровли. </w:t>
      </w:r>
    </w:p>
    <w:p w14:paraId="31030000">
      <w:pPr>
        <w:spacing w:after="0" w:line="20" w:lineRule="atLeast"/>
        <w:ind w:firstLine="709" w:left="0"/>
        <w:jc w:val="both"/>
        <w:rPr>
          <w:sz w:val="28"/>
        </w:rPr>
      </w:pPr>
      <w:r>
        <w:rPr>
          <w:sz w:val="28"/>
        </w:rPr>
        <w:t>В котельной по адресу: с. Куйбышево, ул. Театральная, 72 (Здание МБОУ ДОД ЦДОД 1 ка</w:t>
      </w:r>
      <w:r>
        <w:rPr>
          <w:sz w:val="28"/>
        </w:rPr>
        <w:t>тегории) планируется замена котлов марки КСТГ 31,5 в количестве 2 шт., замена счетчика газа Metrix G6T, замена циркуляционного насоса Grundfos UPS 32-60.</w:t>
      </w:r>
    </w:p>
    <w:p w14:paraId="32030000">
      <w:pPr>
        <w:spacing w:after="0" w:line="20" w:lineRule="atLeast"/>
        <w:ind w:firstLine="709" w:left="0"/>
        <w:jc w:val="both"/>
        <w:rPr>
          <w:sz w:val="28"/>
        </w:rPr>
      </w:pPr>
      <w:r>
        <w:rPr>
          <w:sz w:val="28"/>
        </w:rPr>
        <w:t>В котельной по адресу: с. Куйбышево, ул. Пролетарская, 2 а (МБОУ ДОД ЦДОД 1 категории ул. Пролетарская</w:t>
      </w:r>
      <w:r>
        <w:rPr>
          <w:sz w:val="28"/>
        </w:rPr>
        <w:t xml:space="preserve"> 2а) планируется замена котла АОГВ-50, замена котла Protherm-50, замена счетчика газа Metrix G10T на измерительный комплекс СГ-ТК-Д16, замена циркуляционного насоса Grundfos UPS 32-80, замена окна на пластиковое, ремонт кровли, замена двери. </w:t>
      </w:r>
    </w:p>
    <w:p w14:paraId="33030000">
      <w:pPr>
        <w:spacing w:after="0" w:line="20" w:lineRule="atLeast"/>
        <w:ind w:firstLine="709" w:left="0"/>
        <w:jc w:val="both"/>
        <w:rPr>
          <w:sz w:val="28"/>
        </w:rPr>
      </w:pPr>
      <w:r>
        <w:rPr>
          <w:sz w:val="28"/>
        </w:rPr>
        <w:t>В котельной по адресу: с. Куйбышево, ул. Кузьменко, 3 а (МБДОУ ДС комбинированного вида «Алёнушка») планируется замена котлов в количестве 2 шт., замена счетчика газа на комплекс СГ-ТК-Д25, замена циркуляционного насоса Wilo 30/10, замена подпиточного насо</w:t>
      </w:r>
      <w:r>
        <w:rPr>
          <w:sz w:val="28"/>
        </w:rPr>
        <w:t xml:space="preserve">са Aquamotor ARQB60, ремонт крыши, замена дверей в количестве 2 шт., замена окон в количестве 9 шт. на металлопластиковые, текущий ремонт здания котельной. </w:t>
      </w:r>
    </w:p>
    <w:p w14:paraId="34030000">
      <w:pPr>
        <w:spacing w:after="0" w:line="20" w:lineRule="atLeast"/>
        <w:ind w:firstLine="709" w:left="0"/>
        <w:jc w:val="both"/>
        <w:rPr>
          <w:sz w:val="28"/>
        </w:rPr>
      </w:pPr>
      <w:r>
        <w:rPr>
          <w:sz w:val="28"/>
        </w:rPr>
        <w:t xml:space="preserve">В котельной по адресу: с. Куйбышево, ул. Пролетарская, 5 (РМБУК </w:t>
      </w:r>
    </w:p>
    <w:p w14:paraId="35030000">
      <w:pPr>
        <w:spacing w:after="0" w:line="20" w:lineRule="atLeast"/>
        <w:ind/>
        <w:jc w:val="both"/>
        <w:rPr>
          <w:sz w:val="28"/>
        </w:rPr>
      </w:pPr>
      <w:r>
        <w:rPr>
          <w:sz w:val="28"/>
        </w:rPr>
        <w:t>«КРМЦБ») планируется замена циркул</w:t>
      </w:r>
      <w:r>
        <w:rPr>
          <w:sz w:val="28"/>
        </w:rPr>
        <w:t xml:space="preserve">яционного насоса Wilo  Top-rl 30/6,5, замена котла КСТГВ-20 в количестве 2 шт., замена счетчика газа Metrix G6T. </w:t>
      </w:r>
    </w:p>
    <w:p w14:paraId="36030000">
      <w:pPr>
        <w:spacing w:after="0" w:line="20" w:lineRule="atLeast"/>
        <w:ind w:firstLine="709" w:left="0"/>
        <w:jc w:val="both"/>
        <w:rPr>
          <w:sz w:val="28"/>
        </w:rPr>
      </w:pPr>
      <w:r>
        <w:rPr>
          <w:sz w:val="28"/>
        </w:rPr>
        <w:t xml:space="preserve">В котельной по адресу: с. Куйбышево, ул. Театральная, 22 (МБУК «РДК») планируется замена циркуляционного насоса Grundfos UPS 32-80, установка </w:t>
      </w:r>
      <w:r>
        <w:rPr>
          <w:sz w:val="28"/>
        </w:rPr>
        <w:t xml:space="preserve">резервного циркуляционного насоса Grundfos UPS 32-80, замена котла КЧМ-5 (9 секций), замена вычислительного комплекса СГ-ТК-Д25, замена окна на пластиковое, ремонт кровли. </w:t>
      </w:r>
    </w:p>
    <w:p w14:paraId="37030000">
      <w:pPr>
        <w:spacing w:after="0" w:line="20" w:lineRule="atLeast"/>
        <w:ind w:firstLine="709" w:left="0"/>
        <w:jc w:val="both"/>
        <w:rPr>
          <w:sz w:val="28"/>
        </w:rPr>
      </w:pPr>
      <w:r>
        <w:rPr>
          <w:sz w:val="28"/>
        </w:rPr>
        <w:t xml:space="preserve">В котельной по адресу: х. Свободный, ул. Победы, 29 (Свободнинский СК) планируются </w:t>
      </w:r>
      <w:r>
        <w:rPr>
          <w:sz w:val="28"/>
        </w:rPr>
        <w:t xml:space="preserve">проектные работы, замена котла Гефест КСГ-16 – 1 шт. - 1 шт., замена счетчика газа, замена окна на металлопластиковое, замена двери. </w:t>
      </w:r>
    </w:p>
    <w:p w14:paraId="38030000">
      <w:pPr>
        <w:spacing w:after="0" w:line="20" w:lineRule="atLeast"/>
        <w:ind w:firstLine="709" w:left="0"/>
        <w:jc w:val="both"/>
        <w:rPr>
          <w:sz w:val="28"/>
        </w:rPr>
      </w:pPr>
      <w:r>
        <w:rPr>
          <w:sz w:val="28"/>
        </w:rPr>
        <w:t>В котельной по адресу: х. Новобахмутский, ул. Широкая, 89 а (Новобахмутский СК) планируются проектные работы, замена котла</w:t>
      </w:r>
      <w:r>
        <w:rPr>
          <w:sz w:val="28"/>
        </w:rPr>
        <w:t xml:space="preserve"> Гефест КСГ-16 – 1 шт., замена счетчика газа, замена окна на металлопластиковое, замена двери. </w:t>
      </w:r>
    </w:p>
    <w:p w14:paraId="39030000">
      <w:pPr>
        <w:spacing w:after="0" w:line="20" w:lineRule="atLeast"/>
        <w:ind w:firstLine="709" w:left="0"/>
        <w:jc w:val="both"/>
        <w:rPr>
          <w:sz w:val="28"/>
        </w:rPr>
      </w:pPr>
      <w:r>
        <w:rPr>
          <w:sz w:val="28"/>
        </w:rPr>
        <w:t xml:space="preserve">В котельной по адресу: с. Русское, ул. Красноармейская, 1 (Русский СК) запланированы проектные работы, замена котла марки «Beretta» NOVELLA  MAXIMA 99 - 1 шт., </w:t>
      </w:r>
      <w:r>
        <w:rPr>
          <w:sz w:val="28"/>
        </w:rPr>
        <w:t xml:space="preserve">замена счетчика газа на комплекс по учету расхода газа, замена окна на металлопластиковое, замена двери. </w:t>
      </w:r>
    </w:p>
    <w:p w14:paraId="3A030000">
      <w:pPr>
        <w:spacing w:after="0" w:line="20" w:lineRule="atLeast"/>
        <w:ind w:firstLine="709" w:left="0"/>
        <w:jc w:val="both"/>
        <w:rPr>
          <w:sz w:val="28"/>
        </w:rPr>
      </w:pPr>
      <w:r>
        <w:rPr>
          <w:sz w:val="28"/>
        </w:rPr>
        <w:t>В котельной по адресу: с. Куйбышево, ул. Цветаева, 31 (МБУ ЦСО) планируется замена циркуляционного насоса Grundfos UPS 25-40, замена котла КСГ-20, зам</w:t>
      </w:r>
      <w:r>
        <w:rPr>
          <w:sz w:val="28"/>
        </w:rPr>
        <w:t>ена счетчика газа Metrix G6T.</w:t>
      </w:r>
    </w:p>
    <w:p w14:paraId="3B030000">
      <w:pPr>
        <w:spacing w:after="0" w:line="20" w:lineRule="atLeast"/>
        <w:ind w:firstLine="709" w:left="0"/>
        <w:jc w:val="both"/>
        <w:rPr>
          <w:sz w:val="28"/>
        </w:rPr>
      </w:pPr>
      <w:r>
        <w:rPr>
          <w:sz w:val="28"/>
        </w:rPr>
        <w:t>В котельной по адресу: с. Куйбышево, ул. Куйбышевская, 24 (Администрация Куйбышевского района) планируется замена циркуляционного насоса Wilo TOP-S 30/10, замена циркуляционного насоса Wilo TOP-S 30/10, замена вычислительного комплекса СГ-ТК-Д25, замена ко</w:t>
      </w:r>
      <w:r>
        <w:rPr>
          <w:sz w:val="28"/>
        </w:rPr>
        <w:t xml:space="preserve">тла КЧМ-5 (9 секций). </w:t>
      </w:r>
    </w:p>
    <w:p w14:paraId="3C030000">
      <w:pPr>
        <w:spacing w:after="0" w:line="20" w:lineRule="atLeast"/>
        <w:ind w:firstLine="709" w:left="0"/>
        <w:jc w:val="both"/>
        <w:rPr>
          <w:sz w:val="28"/>
        </w:rPr>
      </w:pPr>
      <w:r>
        <w:rPr>
          <w:sz w:val="28"/>
        </w:rPr>
        <w:t xml:space="preserve">В котельной по адресу: с. Куйбышево, ул. Куйбышевская, 20 (Администрация Куйбышевского района) планируется замена котла КСГВ – 31,5, установка циркуляционного насоса с заменой запорной арматуры и трубопроводов, замена счетчика газа. </w:t>
      </w:r>
      <w:r>
        <w:rPr>
          <w:sz w:val="28"/>
        </w:rPr>
        <w:t xml:space="preserve"> </w:t>
      </w:r>
    </w:p>
    <w:p w14:paraId="3D030000">
      <w:pPr>
        <w:spacing w:after="0" w:line="20" w:lineRule="atLeast"/>
        <w:ind w:firstLine="709" w:left="0"/>
        <w:jc w:val="both"/>
        <w:rPr>
          <w:sz w:val="28"/>
        </w:rPr>
      </w:pPr>
      <w:r>
        <w:rPr>
          <w:sz w:val="28"/>
        </w:rPr>
        <w:t>В котельной по адресу: с. Куйбышево, ул. Миусская, 3 (ГБУ РО "ЦРБ" (стационар)</w:t>
      </w:r>
      <w:r>
        <w:rPr>
          <w:sz w:val="28"/>
        </w:rPr>
        <w:tab/>
      </w:r>
      <w:r>
        <w:rPr>
          <w:sz w:val="28"/>
        </w:rPr>
        <w:t xml:space="preserve"> планируется замена котла марки "КЧМ-5" 9 сек., замена циркуляционного насоса Wilo Top-s 30/10, замена счетчика газа, замена окна  на пластиковое, замена двери, ремонт кровли.</w:t>
      </w:r>
      <w:r>
        <w:rPr>
          <w:sz w:val="28"/>
        </w:rPr>
        <w:t xml:space="preserve"> </w:t>
      </w:r>
    </w:p>
    <w:p w14:paraId="3E030000">
      <w:pPr>
        <w:spacing w:after="0" w:line="20" w:lineRule="atLeast"/>
        <w:ind w:firstLine="709" w:left="0"/>
        <w:jc w:val="both"/>
        <w:rPr>
          <w:sz w:val="28"/>
        </w:rPr>
      </w:pPr>
      <w:r>
        <w:rPr>
          <w:sz w:val="28"/>
        </w:rPr>
        <w:t xml:space="preserve">В котельной по адресу: с. Куйбышево, ул. Миусская, 3 (ГБУ РО "ЦРБ" (поликлиника) планируется замена котла марки "КЧМ-5" 7 сек., замена циркуляционного насоса Wilo Top-rl 30/6,5, замена окна на пластиковое, замена двери, ремонт кровли. </w:t>
      </w:r>
    </w:p>
    <w:p w14:paraId="3F030000">
      <w:pPr>
        <w:spacing w:after="0" w:line="20" w:lineRule="atLeast"/>
        <w:ind w:firstLine="709" w:left="0"/>
        <w:jc w:val="both"/>
        <w:rPr>
          <w:sz w:val="28"/>
        </w:rPr>
      </w:pPr>
      <w:r>
        <w:rPr>
          <w:sz w:val="28"/>
        </w:rPr>
        <w:t>В котельной по адр</w:t>
      </w:r>
      <w:r>
        <w:rPr>
          <w:sz w:val="28"/>
        </w:rPr>
        <w:t xml:space="preserve">есу: с. Куйбышево, ул. Миусская, 3 (ГБУ РО "ЦРБ" (административный корпус) планируется замена котла марки КСГ -20МН, замена циркуляционного насоса Aquario AC254-180. </w:t>
      </w:r>
    </w:p>
    <w:p w14:paraId="40030000">
      <w:pPr>
        <w:spacing w:after="0" w:line="20" w:lineRule="atLeast"/>
        <w:ind w:firstLine="709" w:left="0"/>
        <w:jc w:val="both"/>
        <w:rPr>
          <w:sz w:val="28"/>
        </w:rPr>
      </w:pPr>
      <w:r>
        <w:rPr>
          <w:sz w:val="28"/>
        </w:rPr>
        <w:t>В котельной по адресу: с. Куйбышево, ул. Миусская, 3 (ГБУ РО "ЦРБ" (административно-хозяй</w:t>
      </w:r>
      <w:r>
        <w:rPr>
          <w:sz w:val="28"/>
        </w:rPr>
        <w:t>ственный корпус) планируется замена котла марки КСГ – 20, замена циркуляционного насоса Aquario AC254-180.</w:t>
      </w:r>
    </w:p>
    <w:p w14:paraId="41030000">
      <w:pPr>
        <w:spacing w:after="0" w:line="20" w:lineRule="atLeast"/>
        <w:ind w:firstLine="709" w:left="0"/>
        <w:jc w:val="both"/>
        <w:rPr>
          <w:sz w:val="28"/>
        </w:rPr>
      </w:pPr>
      <w:r>
        <w:rPr>
          <w:sz w:val="28"/>
        </w:rPr>
        <w:t xml:space="preserve">В котельной по адресу: с. Куйбышево, ул. Миусская, 3 (ГБУ РО "ЦРБ" (кухня) планируется замена котла марки КСГ 12,5. </w:t>
      </w:r>
    </w:p>
    <w:p w14:paraId="42030000">
      <w:pPr>
        <w:spacing w:after="0" w:line="20" w:lineRule="atLeast"/>
        <w:ind w:firstLine="709" w:left="0"/>
        <w:jc w:val="both"/>
        <w:rPr>
          <w:sz w:val="28"/>
        </w:rPr>
      </w:pPr>
      <w:r>
        <w:rPr>
          <w:sz w:val="28"/>
        </w:rPr>
        <w:t>В котельной по адресу: с. Куйбыш</w:t>
      </w:r>
      <w:r>
        <w:rPr>
          <w:sz w:val="28"/>
        </w:rPr>
        <w:t>ево, ул. Миусская, 3 (ГБУ РО "ЦРБ" (гараж) планируется замена котла марки КСТГВ -31,5.</w:t>
      </w:r>
    </w:p>
    <w:p w14:paraId="43030000">
      <w:pPr>
        <w:spacing w:after="0" w:line="20" w:lineRule="atLeast"/>
        <w:ind w:firstLine="709" w:left="0"/>
        <w:jc w:val="both"/>
        <w:rPr>
          <w:sz w:val="28"/>
        </w:rPr>
      </w:pPr>
      <w:r>
        <w:rPr>
          <w:sz w:val="28"/>
        </w:rPr>
        <w:t xml:space="preserve">В котельной по адресу: с. Куйбышево, ул. Миусская, 3 (ГБУ РО «ЦРБ» (флюрографический кабинет) планируется замена котла марки КСГ-10. </w:t>
      </w:r>
    </w:p>
    <w:p w14:paraId="44030000">
      <w:pPr>
        <w:spacing w:after="0" w:line="20" w:lineRule="atLeast"/>
        <w:ind w:firstLine="709" w:left="0"/>
        <w:jc w:val="both"/>
        <w:rPr>
          <w:sz w:val="28"/>
        </w:rPr>
      </w:pPr>
      <w:r>
        <w:rPr>
          <w:sz w:val="28"/>
        </w:rPr>
        <w:t>В котельной по адресу: с. Куйбышево</w:t>
      </w:r>
      <w:r>
        <w:rPr>
          <w:sz w:val="28"/>
        </w:rPr>
        <w:t xml:space="preserve">, ул. Миусская, 3 (ГБУ РО "ЦРБ" </w:t>
      </w:r>
    </w:p>
    <w:p w14:paraId="45030000">
      <w:pPr>
        <w:spacing w:after="0" w:line="20" w:lineRule="atLeast"/>
        <w:ind/>
        <w:jc w:val="both"/>
        <w:rPr>
          <w:sz w:val="28"/>
        </w:rPr>
      </w:pPr>
      <w:r>
        <w:rPr>
          <w:sz w:val="28"/>
        </w:rPr>
        <w:t>(лаборатория) планируется замена котла марки КСГВ -20М, замена циркуляционного насоса Aquario AC254-180.</w:t>
      </w:r>
    </w:p>
    <w:p w14:paraId="46030000">
      <w:pPr>
        <w:spacing w:after="0" w:line="20" w:lineRule="atLeast"/>
        <w:ind w:firstLine="709" w:left="0"/>
        <w:jc w:val="both"/>
        <w:rPr>
          <w:sz w:val="28"/>
        </w:rPr>
      </w:pPr>
      <w:r>
        <w:rPr>
          <w:sz w:val="28"/>
        </w:rPr>
        <w:t>В котельной по адресу: с. Куйбышево, ул. Миусская, 3 (ГБУ РО "ЦРБ"</w:t>
      </w:r>
    </w:p>
    <w:p w14:paraId="47030000">
      <w:pPr>
        <w:spacing w:after="0" w:line="20" w:lineRule="atLeast"/>
        <w:ind/>
        <w:jc w:val="both"/>
        <w:rPr>
          <w:sz w:val="28"/>
        </w:rPr>
      </w:pPr>
      <w:r>
        <w:rPr>
          <w:sz w:val="28"/>
        </w:rPr>
        <w:t xml:space="preserve">(роддом) планируется замена котла марки КСТГ-31,5, </w:t>
      </w:r>
      <w:r>
        <w:rPr>
          <w:sz w:val="28"/>
        </w:rPr>
        <w:t xml:space="preserve">замена котла марки КСГ-30, замена циркуляционного насоса Wilo RL 30/7,5, замена окна на пластиковое, замена двери, ремонт кровли. </w:t>
      </w:r>
    </w:p>
    <w:p w14:paraId="48030000">
      <w:pPr>
        <w:spacing w:after="0" w:line="20" w:lineRule="atLeast"/>
        <w:ind w:firstLine="709" w:left="0"/>
        <w:jc w:val="both"/>
        <w:rPr>
          <w:sz w:val="28"/>
        </w:rPr>
      </w:pPr>
      <w:r>
        <w:rPr>
          <w:sz w:val="28"/>
        </w:rPr>
        <w:t>В котельной по адресу: с. Куйбышево, ул. Миусская, 3 (ГБУ РО "ЦРБ" (прачечная)</w:t>
      </w:r>
      <w:r>
        <w:rPr>
          <w:sz w:val="28"/>
        </w:rPr>
        <w:tab/>
      </w:r>
      <w:r>
        <w:rPr>
          <w:sz w:val="28"/>
        </w:rPr>
        <w:t xml:space="preserve"> планируется замена котла марки КСГ -10. </w:t>
      </w:r>
    </w:p>
    <w:p w14:paraId="49030000">
      <w:pPr>
        <w:spacing w:before="200" w:line="20" w:lineRule="atLeast"/>
        <w:ind w:firstLine="709" w:left="0"/>
        <w:jc w:val="both"/>
        <w:rPr>
          <w:sz w:val="28"/>
        </w:rPr>
      </w:pPr>
      <w:r>
        <w:rPr>
          <w:b w:val="1"/>
          <w:sz w:val="28"/>
        </w:rPr>
        <w:t xml:space="preserve">5.4 </w:t>
      </w:r>
      <w:r>
        <w:rPr>
          <w:b w:val="1"/>
          <w:sz w:val="28"/>
        </w:rPr>
        <w:t xml:space="preserve">Графики совместной работы источников тепловой энергии, функционирующих в режиме комбинированной выработки электрическойи тепловой энергии и котельных </w:t>
      </w:r>
    </w:p>
    <w:p w14:paraId="4A030000">
      <w:pPr>
        <w:spacing w:before="200" w:line="20" w:lineRule="atLeast"/>
        <w:ind w:firstLine="709" w:left="0"/>
        <w:jc w:val="both"/>
        <w:rPr>
          <w:sz w:val="28"/>
        </w:rPr>
      </w:pPr>
      <w:r>
        <w:rPr>
          <w:sz w:val="28"/>
        </w:rPr>
        <w:t>Для обеспечения перспективных тепловых нагрузок строительство источников тепловой энергии с комбинированн</w:t>
      </w:r>
      <w:r>
        <w:rPr>
          <w:sz w:val="28"/>
        </w:rPr>
        <w:t xml:space="preserve">ой выработкой тепловой и электрической энергии не требуется. Источников тепловой энергии с комбинированной выработкой тепловой и электрической энергии нет. </w:t>
      </w:r>
    </w:p>
    <w:p w14:paraId="4B030000">
      <w:pPr>
        <w:spacing w:before="200" w:line="20" w:lineRule="atLeast"/>
        <w:ind w:firstLine="709" w:left="0"/>
        <w:jc w:val="both"/>
        <w:rPr>
          <w:b w:val="1"/>
          <w:sz w:val="28"/>
        </w:rPr>
      </w:pPr>
      <w:r>
        <w:rPr>
          <w:b w:val="1"/>
          <w:sz w:val="28"/>
        </w:rPr>
        <w:t>5.5 Меры по выводу из эксплуатации, консервации и демонтажу избыточных источников тепловой энергии,</w:t>
      </w:r>
      <w:r>
        <w:rPr>
          <w:b w:val="1"/>
          <w:sz w:val="28"/>
        </w:rPr>
        <w:t xml:space="preserve">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w:t>
      </w:r>
    </w:p>
    <w:p w14:paraId="4C030000">
      <w:pPr>
        <w:spacing w:line="20" w:lineRule="atLeast"/>
        <w:ind w:firstLine="709" w:left="0"/>
        <w:jc w:val="both"/>
        <w:rPr>
          <w:sz w:val="28"/>
        </w:rPr>
      </w:pPr>
      <w:r>
        <w:rPr>
          <w:sz w:val="28"/>
        </w:rPr>
        <w:t>На 2024 год актуализации схемы теплоснабжения меры по выводу из эксплуатации, консервац</w:t>
      </w:r>
      <w:r>
        <w:rPr>
          <w:sz w:val="28"/>
        </w:rPr>
        <w:t xml:space="preserve">ии и демонтажу избыточных источников тепловой энергии, а также источников тепловой энергии, выработавших нормативный срок службы, при условии, что продление срока технически невозможно или экономически нецелесообразно, не требуются. </w:t>
      </w:r>
    </w:p>
    <w:p w14:paraId="4D030000">
      <w:pPr>
        <w:spacing w:before="200" w:line="20" w:lineRule="atLeast"/>
        <w:ind w:firstLine="709" w:left="0"/>
        <w:jc w:val="both"/>
        <w:rPr>
          <w:sz w:val="28"/>
        </w:rPr>
      </w:pPr>
      <w:r>
        <w:rPr>
          <w:b w:val="1"/>
          <w:sz w:val="28"/>
        </w:rPr>
        <w:t>5.6 Меры по переоборуд</w:t>
      </w:r>
      <w:r>
        <w:rPr>
          <w:b w:val="1"/>
          <w:sz w:val="28"/>
        </w:rPr>
        <w:t>ованию котельных в источники тепловой энергии, функционирующие в режиме комбинированной выработки электрической и тепловой энергии</w:t>
      </w:r>
    </w:p>
    <w:p w14:paraId="4E030000">
      <w:pPr>
        <w:spacing w:before="200" w:line="20" w:lineRule="atLeast"/>
        <w:ind w:firstLine="709" w:left="0"/>
        <w:jc w:val="both"/>
        <w:rPr>
          <w:sz w:val="28"/>
        </w:rPr>
      </w:pPr>
      <w:r>
        <w:rPr>
          <w:sz w:val="28"/>
        </w:rPr>
        <w:t>Меры по переоборудованию котельных в источники комбинированной выработки электрической и тепловой энергии для каждого этапа н</w:t>
      </w:r>
      <w:r>
        <w:rPr>
          <w:sz w:val="28"/>
        </w:rPr>
        <w:t>е требуются.</w:t>
      </w:r>
    </w:p>
    <w:p w14:paraId="4F030000">
      <w:pPr>
        <w:spacing w:before="200" w:line="20" w:lineRule="atLeast"/>
        <w:ind w:firstLine="709" w:left="0"/>
        <w:jc w:val="both"/>
        <w:rPr>
          <w:b w:val="1"/>
          <w:sz w:val="28"/>
        </w:rPr>
      </w:pPr>
      <w:r>
        <w:rPr>
          <w:b w:val="1"/>
          <w:sz w:val="28"/>
        </w:rPr>
        <w:t xml:space="preserve">5.7 Меры по переводу котельных, размещённых в существующих и </w:t>
      </w:r>
    </w:p>
    <w:p w14:paraId="50030000">
      <w:pPr>
        <w:spacing w:before="200" w:line="20" w:lineRule="atLeast"/>
        <w:ind/>
        <w:jc w:val="both"/>
        <w:rPr>
          <w:sz w:val="28"/>
        </w:rPr>
      </w:pPr>
      <w:r>
        <w:rPr>
          <w:b w:val="1"/>
          <w:sz w:val="28"/>
        </w:rPr>
        <w:t>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w:t>
      </w:r>
      <w:r>
        <w:rPr>
          <w:b w:val="1"/>
          <w:sz w:val="28"/>
        </w:rPr>
        <w:t xml:space="preserve">х из эксплуатации </w:t>
      </w:r>
    </w:p>
    <w:p w14:paraId="51030000">
      <w:pPr>
        <w:spacing w:before="200" w:line="20" w:lineRule="atLeast"/>
        <w:ind w:firstLine="709" w:left="0"/>
        <w:jc w:val="both"/>
        <w:rPr>
          <w:sz w:val="28"/>
        </w:rPr>
      </w:pPr>
      <w:r>
        <w:rPr>
          <w:sz w:val="28"/>
        </w:rPr>
        <w:t xml:space="preserve">Меры по переводу котельных, размещённых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не </w:t>
      </w:r>
      <w:r>
        <w:rPr>
          <w:sz w:val="28"/>
        </w:rPr>
        <w:t>требуются.</w:t>
      </w:r>
    </w:p>
    <w:p w14:paraId="52030000">
      <w:pPr>
        <w:spacing w:before="200" w:line="20" w:lineRule="atLeast"/>
        <w:ind w:firstLine="709" w:left="0"/>
        <w:jc w:val="both"/>
        <w:rPr>
          <w:sz w:val="28"/>
        </w:rPr>
      </w:pPr>
      <w:r>
        <w:rPr>
          <w:b w:val="1"/>
          <w:sz w:val="28"/>
        </w:rPr>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w:t>
      </w:r>
    </w:p>
    <w:p w14:paraId="53030000">
      <w:pPr>
        <w:spacing w:line="20" w:lineRule="atLeast"/>
        <w:ind w:firstLine="709" w:left="0"/>
        <w:jc w:val="both"/>
        <w:rPr>
          <w:sz w:val="28"/>
        </w:rPr>
      </w:pPr>
      <w:r>
        <w:rPr>
          <w:sz w:val="28"/>
        </w:rPr>
        <w:t>Минима</w:t>
      </w:r>
      <w:r>
        <w:rPr>
          <w:sz w:val="28"/>
        </w:rPr>
        <w:t xml:space="preserve">льная температура наружного воздуха для Куйбышевского сельского поселения принимается -33 </w:t>
      </w:r>
      <w:r>
        <w:rPr>
          <w:sz w:val="28"/>
          <w:vertAlign w:val="superscript"/>
        </w:rPr>
        <w:t>0</w:t>
      </w:r>
      <w:r>
        <w:rPr>
          <w:sz w:val="28"/>
        </w:rPr>
        <w:t xml:space="preserve">С. В соответствии с </w:t>
      </w:r>
      <w:r>
        <w:rPr>
          <w:sz w:val="28"/>
          <w:highlight w:val="white"/>
        </w:rPr>
        <w:t>СП 124.13330.2012 р</w:t>
      </w:r>
      <w:r>
        <w:rPr>
          <w:sz w:val="28"/>
        </w:rPr>
        <w:t>егулирование отпуска теплоты от источников тепловой энергии предусматривается качественное по нагрузке отопления согласно граф</w:t>
      </w:r>
      <w:r>
        <w:rPr>
          <w:sz w:val="28"/>
        </w:rPr>
        <w:t>ику изменения температуры воды в зависимости от температуры наружного воздуха. Режим работы систем централизованного теплоснабжения Куйбышевского сельского поселения построен по температурным графикам на отопление - 95/70 ºС, на нужды ГВС по нормативу – 70</w:t>
      </w:r>
      <w:r>
        <w:rPr>
          <w:sz w:val="28"/>
        </w:rPr>
        <w:t xml:space="preserve">/40 </w:t>
      </w:r>
      <w:r>
        <w:rPr>
          <w:sz w:val="28"/>
          <w:vertAlign w:val="superscript"/>
        </w:rPr>
        <w:t>о</w:t>
      </w:r>
      <w:r>
        <w:rPr>
          <w:sz w:val="28"/>
        </w:rPr>
        <w:t xml:space="preserve">С. Вид реализуемого температурного графика зависит от типа установленного </w:t>
      </w:r>
      <w:r>
        <w:rPr>
          <w:sz w:val="28"/>
        </w:rPr>
        <w:t>котельного оборудования и вида потребителей. Изменения такой температурный график не требует.</w:t>
      </w:r>
    </w:p>
    <w:p w14:paraId="54030000">
      <w:pPr>
        <w:spacing w:line="20" w:lineRule="atLeast"/>
        <w:ind w:firstLine="709" w:left="0"/>
        <w:jc w:val="both"/>
        <w:rPr>
          <w:b w:val="1"/>
          <w:sz w:val="28"/>
        </w:rPr>
      </w:pPr>
      <w:r>
        <w:rPr>
          <w:b w:val="1"/>
          <w:sz w:val="28"/>
        </w:rPr>
        <w:t xml:space="preserve">5.9 Предложения по перспективной установленной тепловой мощности каждого источника </w:t>
      </w:r>
      <w:r>
        <w:rPr>
          <w:b w:val="1"/>
          <w:sz w:val="28"/>
        </w:rPr>
        <w:t>тепловой энергии с предложениями по сроку ввода в эксплуатацию новых мощностей</w:t>
      </w:r>
    </w:p>
    <w:p w14:paraId="55030000">
      <w:pPr>
        <w:spacing w:before="200" w:line="20" w:lineRule="atLeast"/>
        <w:ind/>
        <w:jc w:val="both"/>
        <w:rPr>
          <w:sz w:val="28"/>
        </w:rPr>
      </w:pPr>
      <w:r>
        <w:rPr>
          <w:sz w:val="28"/>
        </w:rPr>
        <w:t>Таблица 9 Предложения по перспективной установленной тепловой мощности каждого источника тепловой энергии</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283"/>
        <w:gridCol w:w="1415"/>
        <w:gridCol w:w="2748"/>
      </w:tblGrid>
      <w:tr>
        <w:trPr>
          <w:trHeight w:hRule="atLeast" w:val="70"/>
        </w:trPr>
        <w:tc>
          <w:tcPr>
            <w:tcW w:type="dxa" w:w="5283"/>
            <w:tcBorders>
              <w:top w:color="000000" w:sz="4" w:val="single"/>
              <w:left w:color="000000" w:sz="4" w:val="single"/>
              <w:bottom w:color="000000" w:sz="4" w:val="single"/>
              <w:right w:color="000000" w:sz="4" w:val="single"/>
            </w:tcBorders>
            <w:vAlign w:val="center"/>
          </w:tcPr>
          <w:p w14:paraId="56030000">
            <w:pPr>
              <w:spacing w:after="0" w:line="240" w:lineRule="auto"/>
              <w:ind/>
              <w:jc w:val="center"/>
              <w:rPr>
                <w:sz w:val="20"/>
              </w:rPr>
            </w:pPr>
            <w:r>
              <w:rPr>
                <w:sz w:val="20"/>
              </w:rPr>
              <w:t>Адрес котельных</w:t>
            </w:r>
          </w:p>
        </w:tc>
        <w:tc>
          <w:tcPr>
            <w:tcW w:type="dxa" w:w="1415"/>
            <w:tcBorders>
              <w:top w:color="000000" w:sz="4" w:val="single"/>
              <w:left w:color="000000" w:sz="4" w:val="single"/>
              <w:bottom w:color="000000" w:sz="4" w:val="single"/>
              <w:right w:color="000000" w:sz="4" w:val="single"/>
            </w:tcBorders>
            <w:vAlign w:val="center"/>
          </w:tcPr>
          <w:p w14:paraId="57030000">
            <w:pPr>
              <w:spacing w:after="0" w:line="240" w:lineRule="auto"/>
              <w:ind/>
              <w:rPr>
                <w:sz w:val="20"/>
              </w:rPr>
            </w:pPr>
            <w:r>
              <w:rPr>
                <w:sz w:val="20"/>
              </w:rPr>
              <w:t xml:space="preserve">Актуализация </w:t>
            </w:r>
          </w:p>
        </w:tc>
        <w:tc>
          <w:tcPr>
            <w:tcW w:type="dxa" w:w="2748"/>
            <w:tcBorders>
              <w:top w:color="000000" w:sz="4" w:val="single"/>
              <w:left w:color="000000" w:sz="4" w:val="single"/>
              <w:bottom w:color="000000" w:sz="4" w:val="single"/>
              <w:right w:color="000000" w:sz="4" w:val="single"/>
            </w:tcBorders>
            <w:vAlign w:val="center"/>
          </w:tcPr>
          <w:p w14:paraId="58030000">
            <w:pPr>
              <w:spacing w:after="0" w:line="240" w:lineRule="auto"/>
              <w:ind/>
              <w:jc w:val="center"/>
              <w:rPr>
                <w:sz w:val="20"/>
              </w:rPr>
            </w:pPr>
            <w:r>
              <w:rPr>
                <w:sz w:val="20"/>
              </w:rPr>
              <w:t>Перспективная мощность источника, Гкал/ча</w:t>
            </w:r>
            <w:r>
              <w:rPr>
                <w:sz w:val="20"/>
              </w:rPr>
              <w:t>с</w:t>
            </w:r>
          </w:p>
        </w:tc>
      </w:tr>
      <w:tr>
        <w:trPr>
          <w:trHeight w:hRule="atLeast" w:val="70"/>
        </w:trPr>
        <w:tc>
          <w:tcPr>
            <w:tcW w:type="dxa" w:w="5283"/>
            <w:tcBorders>
              <w:top w:color="000000" w:sz="4" w:val="single"/>
              <w:left w:color="000000" w:sz="4" w:val="single"/>
              <w:bottom w:color="000000" w:sz="4" w:val="single"/>
              <w:right w:color="000000" w:sz="4" w:val="single"/>
            </w:tcBorders>
            <w:vAlign w:val="center"/>
          </w:tcPr>
          <w:p w14:paraId="59030000">
            <w:pPr>
              <w:spacing w:after="0" w:line="240" w:lineRule="auto"/>
              <w:ind/>
              <w:jc w:val="center"/>
              <w:rPr>
                <w:sz w:val="20"/>
              </w:rPr>
            </w:pPr>
            <w:r>
              <w:rPr>
                <w:sz w:val="20"/>
              </w:rPr>
              <w:t>с. Куйбышево, ул. Пролетарская, 7</w:t>
            </w:r>
          </w:p>
        </w:tc>
        <w:tc>
          <w:tcPr>
            <w:tcW w:type="dxa" w:w="1415"/>
            <w:tcBorders>
              <w:top w:color="000000" w:sz="4" w:val="single"/>
              <w:left w:color="000000" w:sz="4" w:val="single"/>
              <w:bottom w:color="000000" w:sz="4" w:val="single"/>
              <w:right w:color="000000" w:sz="4" w:val="single"/>
            </w:tcBorders>
            <w:vAlign w:val="center"/>
          </w:tcPr>
          <w:p w14:paraId="5A030000">
            <w:pPr>
              <w:spacing w:after="0" w:line="240" w:lineRule="auto"/>
              <w:ind/>
              <w:jc w:val="center"/>
              <w:rPr>
                <w:sz w:val="20"/>
              </w:rPr>
            </w:pPr>
            <w:r>
              <w:rPr>
                <w:sz w:val="20"/>
              </w:rPr>
              <w:t>2025</w:t>
            </w:r>
          </w:p>
        </w:tc>
        <w:tc>
          <w:tcPr>
            <w:tcW w:type="dxa" w:w="2748"/>
            <w:tcBorders>
              <w:top w:color="000000" w:sz="4" w:val="single"/>
              <w:left w:color="000000" w:sz="4" w:val="single"/>
              <w:bottom w:color="000000" w:sz="4" w:val="single"/>
              <w:right w:color="000000" w:sz="4" w:val="single"/>
            </w:tcBorders>
            <w:vAlign w:val="center"/>
          </w:tcPr>
          <w:p w14:paraId="5B030000">
            <w:pPr>
              <w:spacing w:after="0" w:line="240" w:lineRule="auto"/>
              <w:ind/>
              <w:jc w:val="center"/>
              <w:rPr>
                <w:sz w:val="20"/>
              </w:rPr>
            </w:pPr>
            <w:r>
              <w:rPr>
                <w:sz w:val="20"/>
              </w:rPr>
              <w:t>1,032</w:t>
            </w:r>
          </w:p>
        </w:tc>
      </w:tr>
      <w:tr>
        <w:trPr>
          <w:trHeight w:hRule="atLeast" w:val="70"/>
        </w:trPr>
        <w:tc>
          <w:tcPr>
            <w:tcW w:type="dxa" w:w="5283"/>
            <w:tcBorders>
              <w:top w:color="000000" w:sz="4" w:val="single"/>
              <w:left w:color="000000" w:sz="4" w:val="single"/>
              <w:bottom w:color="000000" w:sz="4" w:val="single"/>
              <w:right w:color="000000" w:sz="4" w:val="single"/>
            </w:tcBorders>
            <w:vAlign w:val="center"/>
          </w:tcPr>
          <w:p w14:paraId="5C030000">
            <w:pPr>
              <w:spacing w:after="0" w:line="240" w:lineRule="auto"/>
              <w:ind/>
              <w:jc w:val="center"/>
              <w:rPr>
                <w:sz w:val="20"/>
              </w:rPr>
            </w:pPr>
            <w:r>
              <w:rPr>
                <w:sz w:val="20"/>
              </w:rPr>
              <w:t>с. Русское, ул. Красноармейская,8-а</w:t>
            </w:r>
          </w:p>
        </w:tc>
        <w:tc>
          <w:tcPr>
            <w:tcW w:type="dxa" w:w="1415"/>
            <w:tcBorders>
              <w:top w:color="000000" w:sz="4" w:val="single"/>
              <w:left w:color="000000" w:sz="4" w:val="single"/>
              <w:bottom w:color="000000" w:sz="4" w:val="single"/>
              <w:right w:color="000000" w:sz="4" w:val="single"/>
            </w:tcBorders>
            <w:vAlign w:val="center"/>
          </w:tcPr>
          <w:p w14:paraId="5D030000">
            <w:pPr>
              <w:spacing w:after="0" w:line="240" w:lineRule="auto"/>
              <w:ind/>
              <w:jc w:val="center"/>
              <w:rPr>
                <w:sz w:val="20"/>
              </w:rPr>
            </w:pPr>
            <w:r>
              <w:rPr>
                <w:sz w:val="20"/>
              </w:rPr>
              <w:t>2024</w:t>
            </w:r>
          </w:p>
        </w:tc>
        <w:tc>
          <w:tcPr>
            <w:tcW w:type="dxa" w:w="2748"/>
            <w:tcBorders>
              <w:top w:color="000000" w:sz="4" w:val="single"/>
              <w:left w:color="000000" w:sz="4" w:val="single"/>
              <w:bottom w:color="000000" w:sz="4" w:val="single"/>
              <w:right w:color="000000" w:sz="4" w:val="single"/>
            </w:tcBorders>
            <w:vAlign w:val="center"/>
          </w:tcPr>
          <w:p w14:paraId="5E030000">
            <w:pPr>
              <w:spacing w:after="0" w:line="240" w:lineRule="auto"/>
              <w:ind/>
              <w:jc w:val="center"/>
              <w:rPr>
                <w:sz w:val="20"/>
              </w:rPr>
            </w:pPr>
            <w:r>
              <w:rPr>
                <w:sz w:val="20"/>
              </w:rPr>
              <w:t>0,165</w:t>
            </w:r>
          </w:p>
        </w:tc>
      </w:tr>
      <w:tr>
        <w:trPr>
          <w:trHeight w:hRule="atLeast" w:val="70"/>
        </w:trPr>
        <w:tc>
          <w:tcPr>
            <w:tcW w:type="dxa" w:w="5283"/>
            <w:tcBorders>
              <w:top w:color="000000" w:sz="4" w:val="single"/>
              <w:left w:color="000000" w:sz="4" w:val="single"/>
              <w:bottom w:color="000000" w:sz="4" w:val="single"/>
              <w:right w:color="000000" w:sz="4" w:val="single"/>
            </w:tcBorders>
            <w:vAlign w:val="center"/>
          </w:tcPr>
          <w:p w14:paraId="5F030000">
            <w:pPr>
              <w:spacing w:after="0" w:line="240" w:lineRule="auto"/>
              <w:ind/>
              <w:jc w:val="center"/>
              <w:rPr>
                <w:sz w:val="20"/>
              </w:rPr>
            </w:pPr>
            <w:r>
              <w:rPr>
                <w:sz w:val="20"/>
              </w:rPr>
              <w:t>с. Русское, ул. Героя Советского Союза М. П. Алексеева, 8</w:t>
            </w:r>
          </w:p>
        </w:tc>
        <w:tc>
          <w:tcPr>
            <w:tcW w:type="dxa" w:w="1415"/>
            <w:tcBorders>
              <w:top w:color="000000" w:sz="4" w:val="single"/>
              <w:left w:color="000000" w:sz="4" w:val="single"/>
              <w:bottom w:color="000000" w:sz="4" w:val="single"/>
              <w:right w:color="000000" w:sz="4" w:val="single"/>
            </w:tcBorders>
            <w:vAlign w:val="center"/>
          </w:tcPr>
          <w:p w14:paraId="60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61030000">
            <w:pPr>
              <w:spacing w:after="0" w:line="240" w:lineRule="auto"/>
              <w:ind/>
              <w:jc w:val="center"/>
              <w:rPr>
                <w:sz w:val="20"/>
              </w:rPr>
            </w:pPr>
            <w:r>
              <w:rPr>
                <w:sz w:val="20"/>
              </w:rPr>
              <w:t>0,054</w:t>
            </w:r>
          </w:p>
        </w:tc>
      </w:tr>
      <w:tr>
        <w:trPr>
          <w:trHeight w:hRule="atLeast" w:val="243"/>
        </w:trPr>
        <w:tc>
          <w:tcPr>
            <w:tcW w:type="dxa" w:w="5283"/>
            <w:tcBorders>
              <w:top w:color="000000" w:sz="4" w:val="single"/>
              <w:left w:color="000000" w:sz="4" w:val="single"/>
              <w:bottom w:color="000000" w:sz="4" w:val="single"/>
              <w:right w:color="000000" w:sz="4" w:val="single"/>
            </w:tcBorders>
            <w:vAlign w:val="center"/>
          </w:tcPr>
          <w:p w14:paraId="62030000">
            <w:pPr>
              <w:spacing w:after="0" w:line="240" w:lineRule="auto"/>
              <w:ind/>
              <w:jc w:val="center"/>
              <w:rPr>
                <w:sz w:val="20"/>
              </w:rPr>
            </w:pPr>
            <w:r>
              <w:rPr>
                <w:sz w:val="20"/>
              </w:rPr>
              <w:t>с. Куйбышево, ул. Театральная, 72</w:t>
            </w:r>
          </w:p>
        </w:tc>
        <w:tc>
          <w:tcPr>
            <w:tcW w:type="dxa" w:w="1415"/>
            <w:tcBorders>
              <w:top w:color="000000" w:sz="4" w:val="single"/>
              <w:left w:color="000000" w:sz="4" w:val="single"/>
              <w:bottom w:color="000000" w:sz="4" w:val="single"/>
              <w:right w:color="000000" w:sz="4" w:val="single"/>
            </w:tcBorders>
            <w:vAlign w:val="center"/>
          </w:tcPr>
          <w:p w14:paraId="63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64030000">
            <w:pPr>
              <w:spacing w:after="0" w:line="240" w:lineRule="auto"/>
              <w:ind/>
              <w:jc w:val="center"/>
              <w:rPr>
                <w:sz w:val="20"/>
              </w:rPr>
            </w:pPr>
            <w:r>
              <w:rPr>
                <w:sz w:val="20"/>
              </w:rPr>
              <w:t>0,054</w:t>
            </w:r>
          </w:p>
        </w:tc>
      </w:tr>
      <w:tr>
        <w:trPr>
          <w:trHeight w:hRule="atLeast" w:val="134"/>
        </w:trPr>
        <w:tc>
          <w:tcPr>
            <w:tcW w:type="dxa" w:w="5283"/>
            <w:tcBorders>
              <w:top w:color="000000" w:sz="4" w:val="single"/>
              <w:left w:color="000000" w:sz="4" w:val="single"/>
              <w:bottom w:color="000000" w:sz="4" w:val="single"/>
              <w:right w:color="000000" w:sz="4" w:val="single"/>
            </w:tcBorders>
            <w:vAlign w:val="center"/>
          </w:tcPr>
          <w:p w14:paraId="65030000">
            <w:pPr>
              <w:spacing w:after="0" w:line="240" w:lineRule="auto"/>
              <w:ind/>
              <w:jc w:val="center"/>
              <w:rPr>
                <w:sz w:val="20"/>
              </w:rPr>
            </w:pPr>
            <w:r>
              <w:rPr>
                <w:sz w:val="20"/>
              </w:rPr>
              <w:t>с. Куйбышево, ул. Пролетарская, 2 а</w:t>
            </w:r>
          </w:p>
        </w:tc>
        <w:tc>
          <w:tcPr>
            <w:tcW w:type="dxa" w:w="1415"/>
            <w:tcBorders>
              <w:top w:color="000000" w:sz="4" w:val="single"/>
              <w:left w:color="000000" w:sz="4" w:val="single"/>
              <w:bottom w:color="000000" w:sz="4" w:val="single"/>
              <w:right w:color="000000" w:sz="4" w:val="single"/>
            </w:tcBorders>
            <w:vAlign w:val="center"/>
          </w:tcPr>
          <w:p w14:paraId="66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67030000">
            <w:pPr>
              <w:spacing w:after="0" w:line="240" w:lineRule="auto"/>
              <w:ind/>
              <w:jc w:val="center"/>
              <w:rPr>
                <w:sz w:val="20"/>
              </w:rPr>
            </w:pPr>
            <w:r>
              <w:rPr>
                <w:sz w:val="20"/>
              </w:rPr>
              <w:t>0,086</w:t>
            </w:r>
          </w:p>
        </w:tc>
      </w:tr>
      <w:tr>
        <w:trPr>
          <w:trHeight w:hRule="atLeast" w:val="179"/>
        </w:trPr>
        <w:tc>
          <w:tcPr>
            <w:tcW w:type="dxa" w:w="5283"/>
            <w:tcBorders>
              <w:top w:color="000000" w:sz="4" w:val="single"/>
              <w:left w:color="000000" w:sz="4" w:val="single"/>
              <w:bottom w:color="000000" w:sz="4" w:val="single"/>
              <w:right w:color="000000" w:sz="4" w:val="single"/>
            </w:tcBorders>
            <w:vAlign w:val="center"/>
          </w:tcPr>
          <w:p w14:paraId="68030000">
            <w:pPr>
              <w:spacing w:after="0" w:line="240" w:lineRule="auto"/>
              <w:ind/>
              <w:jc w:val="center"/>
              <w:rPr>
                <w:sz w:val="20"/>
              </w:rPr>
            </w:pPr>
            <w:r>
              <w:rPr>
                <w:sz w:val="20"/>
              </w:rPr>
              <w:t>с. Куйбышево, ул. Кузьменко, 3 а</w:t>
            </w:r>
          </w:p>
        </w:tc>
        <w:tc>
          <w:tcPr>
            <w:tcW w:type="dxa" w:w="1415"/>
            <w:tcBorders>
              <w:top w:color="000000" w:sz="4" w:val="single"/>
              <w:left w:color="000000" w:sz="4" w:val="single"/>
              <w:bottom w:color="000000" w:sz="4" w:val="single"/>
              <w:right w:color="000000" w:sz="4" w:val="single"/>
            </w:tcBorders>
            <w:vAlign w:val="center"/>
          </w:tcPr>
          <w:p w14:paraId="69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6A030000">
            <w:pPr>
              <w:spacing w:after="0" w:line="240" w:lineRule="auto"/>
              <w:ind/>
              <w:jc w:val="center"/>
              <w:rPr>
                <w:sz w:val="20"/>
              </w:rPr>
            </w:pPr>
            <w:r>
              <w:rPr>
                <w:sz w:val="20"/>
              </w:rPr>
              <w:t>0,172</w:t>
            </w:r>
          </w:p>
        </w:tc>
      </w:tr>
      <w:tr>
        <w:trPr>
          <w:trHeight w:hRule="atLeast" w:val="212"/>
        </w:trPr>
        <w:tc>
          <w:tcPr>
            <w:tcW w:type="dxa" w:w="5283"/>
            <w:tcBorders>
              <w:top w:color="000000" w:sz="4" w:val="single"/>
              <w:left w:color="000000" w:sz="4" w:val="single"/>
              <w:bottom w:color="000000" w:sz="4" w:val="single"/>
              <w:right w:color="000000" w:sz="4" w:val="single"/>
            </w:tcBorders>
            <w:vAlign w:val="center"/>
          </w:tcPr>
          <w:p w14:paraId="6B030000">
            <w:pPr>
              <w:spacing w:after="0" w:line="240" w:lineRule="auto"/>
              <w:ind/>
              <w:jc w:val="center"/>
              <w:rPr>
                <w:sz w:val="20"/>
              </w:rPr>
            </w:pPr>
            <w:r>
              <w:rPr>
                <w:sz w:val="20"/>
              </w:rPr>
              <w:t>х. Свободный, ул. Молодёжная, 8</w:t>
            </w:r>
          </w:p>
        </w:tc>
        <w:tc>
          <w:tcPr>
            <w:tcW w:type="dxa" w:w="1415"/>
            <w:tcBorders>
              <w:top w:color="000000" w:sz="4" w:val="single"/>
              <w:left w:color="000000" w:sz="4" w:val="single"/>
              <w:bottom w:color="000000" w:sz="4" w:val="single"/>
              <w:right w:color="000000" w:sz="4" w:val="single"/>
            </w:tcBorders>
            <w:vAlign w:val="center"/>
          </w:tcPr>
          <w:p w14:paraId="6C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6D030000">
            <w:pPr>
              <w:spacing w:after="0" w:line="240" w:lineRule="auto"/>
              <w:ind/>
              <w:jc w:val="center"/>
              <w:rPr>
                <w:sz w:val="20"/>
              </w:rPr>
            </w:pPr>
            <w:r>
              <w:rPr>
                <w:sz w:val="20"/>
              </w:rPr>
              <w:t>0,126</w:t>
            </w:r>
          </w:p>
        </w:tc>
      </w:tr>
      <w:tr>
        <w:trPr>
          <w:trHeight w:hRule="atLeast" w:val="257"/>
        </w:trPr>
        <w:tc>
          <w:tcPr>
            <w:tcW w:type="dxa" w:w="5283"/>
            <w:tcBorders>
              <w:top w:color="000000" w:sz="4" w:val="single"/>
              <w:left w:color="000000" w:sz="4" w:val="single"/>
              <w:bottom w:color="000000" w:sz="4" w:val="single"/>
              <w:right w:color="000000" w:sz="4" w:val="single"/>
            </w:tcBorders>
            <w:vAlign w:val="center"/>
          </w:tcPr>
          <w:p w14:paraId="6E030000">
            <w:pPr>
              <w:spacing w:after="0" w:line="240" w:lineRule="auto"/>
              <w:ind/>
              <w:jc w:val="center"/>
              <w:rPr>
                <w:sz w:val="20"/>
              </w:rPr>
            </w:pPr>
            <w:r>
              <w:rPr>
                <w:sz w:val="20"/>
              </w:rPr>
              <w:t>х. Ольховский, ул. Центральная, 3 а</w:t>
            </w:r>
          </w:p>
        </w:tc>
        <w:tc>
          <w:tcPr>
            <w:tcW w:type="dxa" w:w="1415"/>
            <w:tcBorders>
              <w:top w:color="000000" w:sz="4" w:val="single"/>
              <w:left w:color="000000" w:sz="4" w:val="single"/>
              <w:bottom w:color="000000" w:sz="4" w:val="single"/>
              <w:right w:color="000000" w:sz="4" w:val="single"/>
            </w:tcBorders>
            <w:vAlign w:val="center"/>
          </w:tcPr>
          <w:p w14:paraId="6F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70030000">
            <w:pPr>
              <w:spacing w:after="0" w:line="240" w:lineRule="auto"/>
              <w:ind/>
              <w:jc w:val="center"/>
              <w:rPr>
                <w:sz w:val="20"/>
              </w:rPr>
            </w:pPr>
            <w:r>
              <w:rPr>
                <w:sz w:val="20"/>
              </w:rPr>
              <w:t>0,052</w:t>
            </w:r>
          </w:p>
        </w:tc>
      </w:tr>
      <w:tr>
        <w:trPr>
          <w:trHeight w:hRule="atLeast" w:val="134"/>
        </w:trPr>
        <w:tc>
          <w:tcPr>
            <w:tcW w:type="dxa" w:w="5283"/>
            <w:tcBorders>
              <w:top w:color="000000" w:sz="4" w:val="single"/>
              <w:left w:color="000000" w:sz="4" w:val="single"/>
              <w:bottom w:color="000000" w:sz="4" w:val="single"/>
              <w:right w:color="000000" w:sz="4" w:val="single"/>
            </w:tcBorders>
            <w:vAlign w:val="center"/>
          </w:tcPr>
          <w:p w14:paraId="71030000">
            <w:pPr>
              <w:spacing w:after="0" w:line="240" w:lineRule="auto"/>
              <w:ind/>
              <w:jc w:val="center"/>
              <w:rPr>
                <w:sz w:val="20"/>
              </w:rPr>
            </w:pPr>
            <w:r>
              <w:rPr>
                <w:sz w:val="20"/>
              </w:rPr>
              <w:t>с. Куйбышево, ул. Пролетарская, 5</w:t>
            </w:r>
          </w:p>
        </w:tc>
        <w:tc>
          <w:tcPr>
            <w:tcW w:type="dxa" w:w="1415"/>
            <w:tcBorders>
              <w:top w:color="000000" w:sz="4" w:val="single"/>
              <w:left w:color="000000" w:sz="4" w:val="single"/>
              <w:bottom w:color="000000" w:sz="4" w:val="single"/>
              <w:right w:color="000000" w:sz="4" w:val="single"/>
            </w:tcBorders>
            <w:vAlign w:val="center"/>
          </w:tcPr>
          <w:p w14:paraId="72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73030000">
            <w:pPr>
              <w:spacing w:after="0" w:line="240" w:lineRule="auto"/>
              <w:ind/>
              <w:jc w:val="center"/>
              <w:rPr>
                <w:sz w:val="20"/>
              </w:rPr>
            </w:pPr>
            <w:r>
              <w:rPr>
                <w:sz w:val="20"/>
              </w:rPr>
              <w:t>0,034</w:t>
            </w:r>
          </w:p>
        </w:tc>
      </w:tr>
      <w:tr>
        <w:trPr>
          <w:trHeight w:hRule="atLeast" w:val="180"/>
        </w:trPr>
        <w:tc>
          <w:tcPr>
            <w:tcW w:type="dxa" w:w="5283"/>
            <w:tcBorders>
              <w:top w:color="000000" w:sz="4" w:val="single"/>
              <w:left w:color="000000" w:sz="4" w:val="single"/>
              <w:bottom w:color="000000" w:sz="4" w:val="single"/>
              <w:right w:color="000000" w:sz="4" w:val="single"/>
            </w:tcBorders>
            <w:vAlign w:val="center"/>
          </w:tcPr>
          <w:p w14:paraId="74030000">
            <w:pPr>
              <w:spacing w:after="0" w:line="240" w:lineRule="auto"/>
              <w:ind/>
              <w:jc w:val="center"/>
              <w:rPr>
                <w:sz w:val="20"/>
              </w:rPr>
            </w:pPr>
            <w:r>
              <w:rPr>
                <w:sz w:val="20"/>
              </w:rPr>
              <w:t>с. Куйбышево, ул. Театральная, 22</w:t>
            </w:r>
          </w:p>
        </w:tc>
        <w:tc>
          <w:tcPr>
            <w:tcW w:type="dxa" w:w="1415"/>
            <w:tcBorders>
              <w:top w:color="000000" w:sz="4" w:val="single"/>
              <w:left w:color="000000" w:sz="4" w:val="single"/>
              <w:bottom w:color="000000" w:sz="4" w:val="single"/>
              <w:right w:color="000000" w:sz="4" w:val="single"/>
            </w:tcBorders>
            <w:vAlign w:val="center"/>
          </w:tcPr>
          <w:p w14:paraId="75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76030000">
            <w:pPr>
              <w:spacing w:after="0" w:line="240" w:lineRule="auto"/>
              <w:ind/>
              <w:jc w:val="center"/>
              <w:rPr>
                <w:sz w:val="20"/>
              </w:rPr>
            </w:pPr>
            <w:r>
              <w:rPr>
                <w:sz w:val="20"/>
              </w:rPr>
              <w:t>0,165</w:t>
            </w:r>
          </w:p>
        </w:tc>
      </w:tr>
      <w:tr>
        <w:trPr>
          <w:trHeight w:hRule="atLeast" w:val="225"/>
        </w:trPr>
        <w:tc>
          <w:tcPr>
            <w:tcW w:type="dxa" w:w="5283"/>
            <w:tcBorders>
              <w:top w:color="000000" w:sz="4" w:val="single"/>
              <w:left w:color="000000" w:sz="4" w:val="single"/>
              <w:bottom w:color="000000" w:sz="4" w:val="single"/>
              <w:right w:color="000000" w:sz="4" w:val="single"/>
            </w:tcBorders>
            <w:vAlign w:val="center"/>
          </w:tcPr>
          <w:p w14:paraId="77030000">
            <w:pPr>
              <w:spacing w:after="0" w:line="240" w:lineRule="auto"/>
              <w:ind/>
              <w:jc w:val="center"/>
              <w:rPr>
                <w:sz w:val="20"/>
              </w:rPr>
            </w:pPr>
            <w:r>
              <w:rPr>
                <w:sz w:val="20"/>
              </w:rPr>
              <w:t xml:space="preserve">х. Свободный, ул. </w:t>
            </w:r>
            <w:r>
              <w:rPr>
                <w:sz w:val="20"/>
              </w:rPr>
              <w:t>Победы, 29</w:t>
            </w:r>
          </w:p>
        </w:tc>
        <w:tc>
          <w:tcPr>
            <w:tcW w:type="dxa" w:w="1415"/>
            <w:tcBorders>
              <w:top w:color="000000" w:sz="4" w:val="single"/>
              <w:left w:color="000000" w:sz="4" w:val="single"/>
              <w:bottom w:color="000000" w:sz="4" w:val="single"/>
              <w:right w:color="000000" w:sz="4" w:val="single"/>
            </w:tcBorders>
            <w:vAlign w:val="center"/>
          </w:tcPr>
          <w:p w14:paraId="78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79030000">
            <w:pPr>
              <w:spacing w:after="0" w:line="240" w:lineRule="auto"/>
              <w:ind/>
              <w:jc w:val="center"/>
              <w:rPr>
                <w:sz w:val="20"/>
              </w:rPr>
            </w:pPr>
            <w:r>
              <w:rPr>
                <w:sz w:val="20"/>
              </w:rPr>
              <w:t>0,014</w:t>
            </w:r>
          </w:p>
        </w:tc>
      </w:tr>
      <w:tr>
        <w:trPr>
          <w:trHeight w:hRule="atLeast" w:val="258"/>
        </w:trPr>
        <w:tc>
          <w:tcPr>
            <w:tcW w:type="dxa" w:w="5283"/>
            <w:tcBorders>
              <w:top w:color="000000" w:sz="4" w:val="single"/>
              <w:left w:color="000000" w:sz="4" w:val="single"/>
              <w:bottom w:color="000000" w:sz="4" w:val="single"/>
              <w:right w:color="000000" w:sz="4" w:val="single"/>
            </w:tcBorders>
            <w:vAlign w:val="center"/>
          </w:tcPr>
          <w:p w14:paraId="7A030000">
            <w:pPr>
              <w:spacing w:after="0" w:line="240" w:lineRule="auto"/>
              <w:ind/>
              <w:jc w:val="center"/>
              <w:rPr>
                <w:sz w:val="20"/>
              </w:rPr>
            </w:pPr>
            <w:r>
              <w:rPr>
                <w:sz w:val="20"/>
              </w:rPr>
              <w:t>х. Новобахмутский, ул. Широкая, 89 а</w:t>
            </w:r>
          </w:p>
        </w:tc>
        <w:tc>
          <w:tcPr>
            <w:tcW w:type="dxa" w:w="1415"/>
            <w:tcBorders>
              <w:top w:color="000000" w:sz="4" w:val="single"/>
              <w:left w:color="000000" w:sz="4" w:val="single"/>
              <w:bottom w:color="000000" w:sz="4" w:val="single"/>
              <w:right w:color="000000" w:sz="4" w:val="single"/>
            </w:tcBorders>
            <w:vAlign w:val="center"/>
          </w:tcPr>
          <w:p w14:paraId="7B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7C030000">
            <w:pPr>
              <w:spacing w:after="0" w:line="240" w:lineRule="auto"/>
              <w:ind/>
              <w:jc w:val="center"/>
              <w:rPr>
                <w:sz w:val="20"/>
              </w:rPr>
            </w:pPr>
            <w:r>
              <w:rPr>
                <w:sz w:val="20"/>
              </w:rPr>
              <w:t>0,014</w:t>
            </w:r>
          </w:p>
        </w:tc>
      </w:tr>
      <w:tr>
        <w:trPr>
          <w:trHeight w:hRule="atLeast" w:val="133"/>
        </w:trPr>
        <w:tc>
          <w:tcPr>
            <w:tcW w:type="dxa" w:w="5283"/>
            <w:tcBorders>
              <w:top w:color="000000" w:sz="4" w:val="single"/>
              <w:left w:color="000000" w:sz="4" w:val="single"/>
              <w:bottom w:color="000000" w:sz="4" w:val="single"/>
              <w:right w:color="000000" w:sz="4" w:val="single"/>
            </w:tcBorders>
            <w:vAlign w:val="center"/>
          </w:tcPr>
          <w:p w14:paraId="7D030000">
            <w:pPr>
              <w:spacing w:after="0" w:line="240" w:lineRule="auto"/>
              <w:ind/>
              <w:jc w:val="center"/>
              <w:rPr>
                <w:sz w:val="20"/>
              </w:rPr>
            </w:pPr>
            <w:r>
              <w:rPr>
                <w:sz w:val="20"/>
              </w:rPr>
              <w:t>с. Русское, ул. Красноармейская, 1</w:t>
            </w:r>
          </w:p>
        </w:tc>
        <w:tc>
          <w:tcPr>
            <w:tcW w:type="dxa" w:w="1415"/>
            <w:tcBorders>
              <w:top w:color="000000" w:sz="4" w:val="single"/>
              <w:left w:color="000000" w:sz="4" w:val="single"/>
              <w:bottom w:color="000000" w:sz="4" w:val="single"/>
              <w:right w:color="000000" w:sz="4" w:val="single"/>
            </w:tcBorders>
            <w:vAlign w:val="center"/>
          </w:tcPr>
          <w:p w14:paraId="7E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7F030000">
            <w:pPr>
              <w:spacing w:after="0" w:line="240" w:lineRule="auto"/>
              <w:ind/>
              <w:jc w:val="center"/>
              <w:rPr>
                <w:sz w:val="20"/>
              </w:rPr>
            </w:pPr>
            <w:r>
              <w:rPr>
                <w:sz w:val="20"/>
              </w:rPr>
              <w:t>0,094</w:t>
            </w:r>
          </w:p>
        </w:tc>
      </w:tr>
      <w:tr>
        <w:trPr>
          <w:trHeight w:hRule="atLeast" w:val="180"/>
        </w:trPr>
        <w:tc>
          <w:tcPr>
            <w:tcW w:type="dxa" w:w="5283"/>
            <w:tcBorders>
              <w:top w:color="000000" w:sz="4" w:val="single"/>
              <w:left w:color="000000" w:sz="4" w:val="single"/>
              <w:bottom w:color="000000" w:sz="4" w:val="single"/>
              <w:right w:color="000000" w:sz="4" w:val="single"/>
            </w:tcBorders>
            <w:vAlign w:val="center"/>
          </w:tcPr>
          <w:p w14:paraId="80030000">
            <w:pPr>
              <w:spacing w:after="0" w:line="240" w:lineRule="auto"/>
              <w:ind/>
              <w:jc w:val="center"/>
              <w:rPr>
                <w:sz w:val="20"/>
              </w:rPr>
            </w:pPr>
            <w:r>
              <w:rPr>
                <w:sz w:val="20"/>
              </w:rPr>
              <w:t>с. Куйбышево, ул. Цветаева, 31</w:t>
            </w:r>
          </w:p>
        </w:tc>
        <w:tc>
          <w:tcPr>
            <w:tcW w:type="dxa" w:w="1415"/>
            <w:tcBorders>
              <w:top w:color="000000" w:sz="4" w:val="single"/>
              <w:left w:color="000000" w:sz="4" w:val="single"/>
              <w:bottom w:color="000000" w:sz="4" w:val="single"/>
              <w:right w:color="000000" w:sz="4" w:val="single"/>
            </w:tcBorders>
            <w:vAlign w:val="center"/>
          </w:tcPr>
          <w:p w14:paraId="81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82030000">
            <w:pPr>
              <w:spacing w:after="0" w:line="240" w:lineRule="auto"/>
              <w:ind/>
              <w:jc w:val="center"/>
              <w:rPr>
                <w:sz w:val="20"/>
              </w:rPr>
            </w:pPr>
            <w:r>
              <w:rPr>
                <w:sz w:val="20"/>
              </w:rPr>
              <w:t>0,020</w:t>
            </w:r>
          </w:p>
        </w:tc>
      </w:tr>
      <w:tr>
        <w:trPr>
          <w:trHeight w:hRule="atLeast" w:val="226"/>
        </w:trPr>
        <w:tc>
          <w:tcPr>
            <w:tcW w:type="dxa" w:w="5283"/>
            <w:tcBorders>
              <w:top w:color="000000" w:sz="4" w:val="single"/>
              <w:left w:color="000000" w:sz="4" w:val="single"/>
              <w:bottom w:color="000000" w:sz="4" w:val="single"/>
              <w:right w:color="000000" w:sz="4" w:val="single"/>
            </w:tcBorders>
            <w:vAlign w:val="center"/>
          </w:tcPr>
          <w:p w14:paraId="83030000">
            <w:pPr>
              <w:spacing w:after="0" w:line="240" w:lineRule="auto"/>
              <w:ind/>
              <w:jc w:val="center"/>
              <w:rPr>
                <w:sz w:val="20"/>
              </w:rPr>
            </w:pPr>
            <w:r>
              <w:rPr>
                <w:sz w:val="20"/>
              </w:rPr>
              <w:t>с. Куйбышево, ул. Куйбышевская, 24</w:t>
            </w:r>
          </w:p>
        </w:tc>
        <w:tc>
          <w:tcPr>
            <w:tcW w:type="dxa" w:w="1415"/>
            <w:tcBorders>
              <w:top w:color="000000" w:sz="4" w:val="single"/>
              <w:left w:color="000000" w:sz="4" w:val="single"/>
              <w:bottom w:color="000000" w:sz="4" w:val="single"/>
              <w:right w:color="000000" w:sz="4" w:val="single"/>
            </w:tcBorders>
            <w:vAlign w:val="center"/>
          </w:tcPr>
          <w:p w14:paraId="84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85030000">
            <w:pPr>
              <w:spacing w:after="0" w:line="240" w:lineRule="auto"/>
              <w:ind/>
              <w:jc w:val="center"/>
              <w:rPr>
                <w:sz w:val="20"/>
              </w:rPr>
            </w:pPr>
            <w:r>
              <w:rPr>
                <w:sz w:val="20"/>
              </w:rPr>
              <w:t>0,165</w:t>
            </w:r>
          </w:p>
        </w:tc>
      </w:tr>
      <w:tr>
        <w:trPr>
          <w:trHeight w:hRule="atLeast" w:val="258"/>
        </w:trPr>
        <w:tc>
          <w:tcPr>
            <w:tcW w:type="dxa" w:w="5283"/>
            <w:tcBorders>
              <w:top w:color="000000" w:sz="4" w:val="single"/>
              <w:left w:color="000000" w:sz="4" w:val="single"/>
              <w:bottom w:color="000000" w:sz="4" w:val="single"/>
              <w:right w:color="000000" w:sz="4" w:val="single"/>
            </w:tcBorders>
            <w:vAlign w:val="center"/>
          </w:tcPr>
          <w:p w14:paraId="86030000">
            <w:pPr>
              <w:spacing w:after="0" w:line="240" w:lineRule="auto"/>
              <w:ind/>
              <w:jc w:val="center"/>
              <w:rPr>
                <w:sz w:val="20"/>
              </w:rPr>
            </w:pPr>
            <w:r>
              <w:rPr>
                <w:sz w:val="20"/>
              </w:rPr>
              <w:t>с. Куйбышево, ул. Куйбышевская, 20</w:t>
            </w:r>
          </w:p>
        </w:tc>
        <w:tc>
          <w:tcPr>
            <w:tcW w:type="dxa" w:w="1415"/>
            <w:tcBorders>
              <w:top w:color="000000" w:sz="4" w:val="single"/>
              <w:left w:color="000000" w:sz="4" w:val="single"/>
              <w:bottom w:color="000000" w:sz="4" w:val="single"/>
              <w:right w:color="000000" w:sz="4" w:val="single"/>
            </w:tcBorders>
            <w:vAlign w:val="center"/>
          </w:tcPr>
          <w:p w14:paraId="87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88030000">
            <w:pPr>
              <w:spacing w:after="0" w:line="240" w:lineRule="auto"/>
              <w:ind/>
              <w:jc w:val="center"/>
              <w:rPr>
                <w:sz w:val="20"/>
              </w:rPr>
            </w:pPr>
            <w:r>
              <w:rPr>
                <w:sz w:val="20"/>
              </w:rPr>
              <w:t>0,027</w:t>
            </w:r>
          </w:p>
        </w:tc>
      </w:tr>
      <w:tr>
        <w:trPr>
          <w:trHeight w:hRule="atLeast" w:val="290"/>
        </w:trPr>
        <w:tc>
          <w:tcPr>
            <w:tcW w:type="dxa" w:w="5283"/>
            <w:tcBorders>
              <w:top w:color="000000" w:sz="4" w:val="single"/>
              <w:left w:color="000000" w:sz="4" w:val="single"/>
              <w:bottom w:color="000000" w:sz="4" w:val="single"/>
              <w:right w:color="000000" w:sz="4" w:val="single"/>
            </w:tcBorders>
            <w:vAlign w:val="center"/>
          </w:tcPr>
          <w:p w14:paraId="89030000">
            <w:pPr>
              <w:spacing w:after="0" w:line="240" w:lineRule="auto"/>
              <w:ind/>
              <w:jc w:val="center"/>
              <w:rPr>
                <w:sz w:val="20"/>
              </w:rPr>
            </w:pPr>
            <w:r>
              <w:rPr>
                <w:sz w:val="20"/>
              </w:rPr>
              <w:t>с. Куйбышево, ул. Миусская, 3</w:t>
            </w:r>
          </w:p>
        </w:tc>
        <w:tc>
          <w:tcPr>
            <w:tcW w:type="dxa" w:w="1415"/>
            <w:tcBorders>
              <w:top w:color="000000" w:sz="4" w:val="single"/>
              <w:left w:color="000000" w:sz="4" w:val="single"/>
              <w:bottom w:color="000000" w:sz="4" w:val="single"/>
              <w:right w:color="000000" w:sz="4" w:val="single"/>
            </w:tcBorders>
            <w:vAlign w:val="center"/>
          </w:tcPr>
          <w:p w14:paraId="8A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8B030000">
            <w:pPr>
              <w:spacing w:after="0" w:line="240" w:lineRule="auto"/>
              <w:ind/>
              <w:jc w:val="center"/>
              <w:rPr>
                <w:sz w:val="20"/>
              </w:rPr>
            </w:pPr>
            <w:r>
              <w:rPr>
                <w:sz w:val="20"/>
              </w:rPr>
              <w:t>0,165</w:t>
            </w:r>
          </w:p>
        </w:tc>
      </w:tr>
      <w:tr>
        <w:trPr>
          <w:trHeight w:hRule="atLeast" w:val="290"/>
        </w:trPr>
        <w:tc>
          <w:tcPr>
            <w:tcW w:type="dxa" w:w="5283"/>
            <w:tcBorders>
              <w:top w:color="000000" w:sz="4" w:val="single"/>
              <w:left w:color="000000" w:sz="4" w:val="single"/>
              <w:bottom w:color="000000" w:sz="4" w:val="single"/>
              <w:right w:color="000000" w:sz="4" w:val="single"/>
            </w:tcBorders>
            <w:vAlign w:val="center"/>
          </w:tcPr>
          <w:p w14:paraId="8C030000">
            <w:pPr>
              <w:spacing w:after="0" w:line="240" w:lineRule="auto"/>
              <w:ind/>
              <w:jc w:val="center"/>
              <w:rPr>
                <w:sz w:val="20"/>
              </w:rPr>
            </w:pPr>
            <w:r>
              <w:rPr>
                <w:sz w:val="20"/>
              </w:rPr>
              <w:t>с. Куйбышево, ул. Миусская, 3</w:t>
            </w:r>
          </w:p>
        </w:tc>
        <w:tc>
          <w:tcPr>
            <w:tcW w:type="dxa" w:w="1415"/>
            <w:tcBorders>
              <w:top w:color="000000" w:sz="4" w:val="single"/>
              <w:left w:color="000000" w:sz="4" w:val="single"/>
              <w:bottom w:color="000000" w:sz="4" w:val="single"/>
              <w:right w:color="000000" w:sz="4" w:val="single"/>
            </w:tcBorders>
            <w:vAlign w:val="center"/>
          </w:tcPr>
          <w:p w14:paraId="8D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8E030000">
            <w:pPr>
              <w:spacing w:after="0" w:line="240" w:lineRule="auto"/>
              <w:ind/>
              <w:jc w:val="center"/>
              <w:rPr>
                <w:sz w:val="20"/>
              </w:rPr>
            </w:pPr>
            <w:r>
              <w:rPr>
                <w:sz w:val="20"/>
              </w:rPr>
              <w:t>0,086</w:t>
            </w:r>
          </w:p>
        </w:tc>
      </w:tr>
      <w:tr>
        <w:trPr>
          <w:trHeight w:hRule="atLeast" w:val="290"/>
        </w:trPr>
        <w:tc>
          <w:tcPr>
            <w:tcW w:type="dxa" w:w="5283"/>
            <w:tcBorders>
              <w:top w:color="000000" w:sz="4" w:val="single"/>
              <w:left w:color="000000" w:sz="4" w:val="single"/>
              <w:bottom w:color="000000" w:sz="4" w:val="single"/>
              <w:right w:color="000000" w:sz="4" w:val="single"/>
            </w:tcBorders>
            <w:vAlign w:val="center"/>
          </w:tcPr>
          <w:p w14:paraId="8F030000">
            <w:pPr>
              <w:spacing w:after="0" w:line="240" w:lineRule="auto"/>
              <w:ind/>
              <w:jc w:val="center"/>
              <w:rPr>
                <w:sz w:val="20"/>
              </w:rPr>
            </w:pPr>
            <w:r>
              <w:rPr>
                <w:sz w:val="20"/>
              </w:rPr>
              <w:t>с. Куйбышево, ул. Миусская, 3</w:t>
            </w:r>
          </w:p>
        </w:tc>
        <w:tc>
          <w:tcPr>
            <w:tcW w:type="dxa" w:w="1415"/>
            <w:tcBorders>
              <w:top w:color="000000" w:sz="4" w:val="single"/>
              <w:left w:color="000000" w:sz="4" w:val="single"/>
              <w:bottom w:color="000000" w:sz="4" w:val="single"/>
              <w:right w:color="000000" w:sz="4" w:val="single"/>
            </w:tcBorders>
            <w:vAlign w:val="center"/>
          </w:tcPr>
          <w:p w14:paraId="90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91030000">
            <w:pPr>
              <w:spacing w:after="0" w:line="240" w:lineRule="auto"/>
              <w:ind/>
              <w:jc w:val="center"/>
              <w:rPr>
                <w:sz w:val="20"/>
              </w:rPr>
            </w:pPr>
            <w:r>
              <w:rPr>
                <w:sz w:val="20"/>
              </w:rPr>
              <w:t>0,017</w:t>
            </w:r>
          </w:p>
        </w:tc>
      </w:tr>
      <w:tr>
        <w:trPr>
          <w:trHeight w:hRule="atLeast" w:val="290"/>
        </w:trPr>
        <w:tc>
          <w:tcPr>
            <w:tcW w:type="dxa" w:w="5283"/>
            <w:tcBorders>
              <w:top w:color="000000" w:sz="4" w:val="single"/>
              <w:left w:color="000000" w:sz="4" w:val="single"/>
              <w:bottom w:color="000000" w:sz="4" w:val="single"/>
              <w:right w:color="000000" w:sz="4" w:val="single"/>
            </w:tcBorders>
            <w:vAlign w:val="center"/>
          </w:tcPr>
          <w:p w14:paraId="92030000">
            <w:pPr>
              <w:spacing w:after="0" w:line="240" w:lineRule="auto"/>
              <w:ind/>
              <w:jc w:val="center"/>
              <w:rPr>
                <w:sz w:val="20"/>
              </w:rPr>
            </w:pPr>
            <w:r>
              <w:rPr>
                <w:sz w:val="20"/>
              </w:rPr>
              <w:t>с. Куйбышево, ул. Миусская, 3</w:t>
            </w:r>
          </w:p>
        </w:tc>
        <w:tc>
          <w:tcPr>
            <w:tcW w:type="dxa" w:w="1415"/>
            <w:tcBorders>
              <w:top w:color="000000" w:sz="4" w:val="single"/>
              <w:left w:color="000000" w:sz="4" w:val="single"/>
              <w:bottom w:color="000000" w:sz="4" w:val="single"/>
              <w:right w:color="000000" w:sz="4" w:val="single"/>
            </w:tcBorders>
            <w:vAlign w:val="center"/>
          </w:tcPr>
          <w:p w14:paraId="93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94030000">
            <w:pPr>
              <w:spacing w:after="0" w:line="240" w:lineRule="auto"/>
              <w:ind/>
              <w:jc w:val="center"/>
              <w:rPr>
                <w:sz w:val="20"/>
              </w:rPr>
            </w:pPr>
            <w:r>
              <w:rPr>
                <w:sz w:val="20"/>
              </w:rPr>
              <w:t>0,020</w:t>
            </w:r>
          </w:p>
        </w:tc>
      </w:tr>
      <w:tr>
        <w:trPr>
          <w:trHeight w:hRule="atLeast" w:val="290"/>
        </w:trPr>
        <w:tc>
          <w:tcPr>
            <w:tcW w:type="dxa" w:w="5283"/>
            <w:tcBorders>
              <w:top w:color="000000" w:sz="4" w:val="single"/>
              <w:left w:color="000000" w:sz="4" w:val="single"/>
              <w:bottom w:color="000000" w:sz="4" w:val="single"/>
              <w:right w:color="000000" w:sz="4" w:val="single"/>
            </w:tcBorders>
            <w:vAlign w:val="center"/>
          </w:tcPr>
          <w:p w14:paraId="95030000">
            <w:pPr>
              <w:spacing w:after="0" w:line="240" w:lineRule="auto"/>
              <w:ind/>
              <w:jc w:val="center"/>
              <w:rPr>
                <w:sz w:val="20"/>
              </w:rPr>
            </w:pPr>
            <w:r>
              <w:rPr>
                <w:sz w:val="20"/>
              </w:rPr>
              <w:t>с. Куйбышево, ул. Миусская, 3</w:t>
            </w:r>
          </w:p>
        </w:tc>
        <w:tc>
          <w:tcPr>
            <w:tcW w:type="dxa" w:w="1415"/>
            <w:tcBorders>
              <w:top w:color="000000" w:sz="4" w:val="single"/>
              <w:left w:color="000000" w:sz="4" w:val="single"/>
              <w:bottom w:color="000000" w:sz="4" w:val="single"/>
              <w:right w:color="000000" w:sz="4" w:val="single"/>
            </w:tcBorders>
            <w:vAlign w:val="center"/>
          </w:tcPr>
          <w:p w14:paraId="96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97030000">
            <w:pPr>
              <w:spacing w:after="0" w:line="240" w:lineRule="auto"/>
              <w:ind/>
              <w:jc w:val="center"/>
              <w:rPr>
                <w:sz w:val="20"/>
              </w:rPr>
            </w:pPr>
            <w:r>
              <w:rPr>
                <w:sz w:val="20"/>
              </w:rPr>
              <w:t>0,011</w:t>
            </w:r>
          </w:p>
        </w:tc>
      </w:tr>
      <w:tr>
        <w:trPr>
          <w:trHeight w:hRule="atLeast" w:val="290"/>
        </w:trPr>
        <w:tc>
          <w:tcPr>
            <w:tcW w:type="dxa" w:w="5283"/>
            <w:tcBorders>
              <w:top w:color="000000" w:sz="4" w:val="single"/>
              <w:left w:color="000000" w:sz="4" w:val="single"/>
              <w:bottom w:color="000000" w:sz="4" w:val="single"/>
              <w:right w:color="000000" w:sz="4" w:val="single"/>
            </w:tcBorders>
            <w:vAlign w:val="center"/>
          </w:tcPr>
          <w:p w14:paraId="98030000">
            <w:pPr>
              <w:spacing w:after="0" w:line="240" w:lineRule="auto"/>
              <w:ind/>
              <w:jc w:val="center"/>
              <w:rPr>
                <w:sz w:val="20"/>
              </w:rPr>
            </w:pPr>
            <w:r>
              <w:rPr>
                <w:sz w:val="20"/>
              </w:rPr>
              <w:t>с. Куйбышево, ул. Миусская, 3</w:t>
            </w:r>
          </w:p>
        </w:tc>
        <w:tc>
          <w:tcPr>
            <w:tcW w:type="dxa" w:w="1415"/>
            <w:tcBorders>
              <w:top w:color="000000" w:sz="4" w:val="single"/>
              <w:left w:color="000000" w:sz="4" w:val="single"/>
              <w:bottom w:color="000000" w:sz="4" w:val="single"/>
              <w:right w:color="000000" w:sz="4" w:val="single"/>
            </w:tcBorders>
            <w:vAlign w:val="center"/>
          </w:tcPr>
          <w:p w14:paraId="99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9A030000">
            <w:pPr>
              <w:spacing w:after="0" w:line="240" w:lineRule="auto"/>
              <w:ind/>
              <w:jc w:val="center"/>
              <w:rPr>
                <w:sz w:val="20"/>
              </w:rPr>
            </w:pPr>
            <w:r>
              <w:rPr>
                <w:sz w:val="20"/>
              </w:rPr>
              <w:t>0,027</w:t>
            </w:r>
          </w:p>
        </w:tc>
      </w:tr>
      <w:tr>
        <w:trPr>
          <w:trHeight w:hRule="atLeast" w:val="290"/>
        </w:trPr>
        <w:tc>
          <w:tcPr>
            <w:tcW w:type="dxa" w:w="5283"/>
            <w:tcBorders>
              <w:top w:color="000000" w:sz="4" w:val="single"/>
              <w:left w:color="000000" w:sz="4" w:val="single"/>
              <w:bottom w:color="000000" w:sz="4" w:val="single"/>
              <w:right w:color="000000" w:sz="4" w:val="single"/>
            </w:tcBorders>
            <w:vAlign w:val="center"/>
          </w:tcPr>
          <w:p w14:paraId="9B030000">
            <w:pPr>
              <w:spacing w:after="0" w:line="240" w:lineRule="auto"/>
              <w:ind/>
              <w:jc w:val="center"/>
              <w:rPr>
                <w:sz w:val="20"/>
              </w:rPr>
            </w:pPr>
            <w:r>
              <w:rPr>
                <w:sz w:val="20"/>
              </w:rPr>
              <w:t xml:space="preserve">с. </w:t>
            </w:r>
            <w:r>
              <w:rPr>
                <w:sz w:val="20"/>
              </w:rPr>
              <w:t>Куйбышево, ул. Миусская, 3</w:t>
            </w:r>
          </w:p>
        </w:tc>
        <w:tc>
          <w:tcPr>
            <w:tcW w:type="dxa" w:w="1415"/>
            <w:tcBorders>
              <w:top w:color="000000" w:sz="4" w:val="single"/>
              <w:left w:color="000000" w:sz="4" w:val="single"/>
              <w:bottom w:color="000000" w:sz="4" w:val="single"/>
              <w:right w:color="000000" w:sz="4" w:val="single"/>
            </w:tcBorders>
            <w:vAlign w:val="center"/>
          </w:tcPr>
          <w:p w14:paraId="9C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9D030000">
            <w:pPr>
              <w:spacing w:after="0" w:line="240" w:lineRule="auto"/>
              <w:ind/>
              <w:jc w:val="center"/>
              <w:rPr>
                <w:sz w:val="20"/>
              </w:rPr>
            </w:pPr>
            <w:r>
              <w:rPr>
                <w:sz w:val="20"/>
              </w:rPr>
              <w:t>0,010</w:t>
            </w:r>
          </w:p>
        </w:tc>
      </w:tr>
      <w:tr>
        <w:trPr>
          <w:trHeight w:hRule="atLeast" w:val="290"/>
        </w:trPr>
        <w:tc>
          <w:tcPr>
            <w:tcW w:type="dxa" w:w="5283"/>
            <w:tcBorders>
              <w:top w:color="000000" w:sz="4" w:val="single"/>
              <w:left w:color="000000" w:sz="4" w:val="single"/>
              <w:bottom w:color="000000" w:sz="4" w:val="single"/>
              <w:right w:color="000000" w:sz="4" w:val="single"/>
            </w:tcBorders>
            <w:vAlign w:val="center"/>
          </w:tcPr>
          <w:p w14:paraId="9E030000">
            <w:pPr>
              <w:spacing w:after="0" w:line="240" w:lineRule="auto"/>
              <w:ind/>
              <w:jc w:val="center"/>
              <w:rPr>
                <w:sz w:val="20"/>
              </w:rPr>
            </w:pPr>
            <w:r>
              <w:rPr>
                <w:sz w:val="20"/>
              </w:rPr>
              <w:t>с. Куйбышево, ул. Миусская, 3</w:t>
            </w:r>
          </w:p>
        </w:tc>
        <w:tc>
          <w:tcPr>
            <w:tcW w:type="dxa" w:w="1415"/>
            <w:tcBorders>
              <w:top w:color="000000" w:sz="4" w:val="single"/>
              <w:left w:color="000000" w:sz="4" w:val="single"/>
              <w:bottom w:color="000000" w:sz="4" w:val="single"/>
              <w:right w:color="000000" w:sz="4" w:val="single"/>
            </w:tcBorders>
            <w:vAlign w:val="center"/>
          </w:tcPr>
          <w:p w14:paraId="9F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A0030000">
            <w:pPr>
              <w:spacing w:after="0" w:line="240" w:lineRule="auto"/>
              <w:ind/>
              <w:jc w:val="center"/>
              <w:rPr>
                <w:sz w:val="20"/>
              </w:rPr>
            </w:pPr>
            <w:r>
              <w:rPr>
                <w:sz w:val="20"/>
              </w:rPr>
              <w:t>0,017</w:t>
            </w:r>
          </w:p>
        </w:tc>
      </w:tr>
      <w:tr>
        <w:trPr>
          <w:trHeight w:hRule="atLeast" w:val="290"/>
        </w:trPr>
        <w:tc>
          <w:tcPr>
            <w:tcW w:type="dxa" w:w="5283"/>
            <w:tcBorders>
              <w:top w:color="000000" w:sz="4" w:val="single"/>
              <w:left w:color="000000" w:sz="4" w:val="single"/>
              <w:bottom w:color="000000" w:sz="4" w:val="single"/>
              <w:right w:color="000000" w:sz="4" w:val="single"/>
            </w:tcBorders>
            <w:vAlign w:val="center"/>
          </w:tcPr>
          <w:p w14:paraId="A1030000">
            <w:pPr>
              <w:spacing w:after="0" w:line="240" w:lineRule="auto"/>
              <w:ind/>
              <w:jc w:val="center"/>
              <w:rPr>
                <w:sz w:val="20"/>
              </w:rPr>
            </w:pPr>
            <w:r>
              <w:rPr>
                <w:sz w:val="20"/>
              </w:rPr>
              <w:t>с. Куйбышево, ул. Миусская, 3</w:t>
            </w:r>
          </w:p>
        </w:tc>
        <w:tc>
          <w:tcPr>
            <w:tcW w:type="dxa" w:w="1415"/>
            <w:tcBorders>
              <w:top w:color="000000" w:sz="4" w:val="single"/>
              <w:left w:color="000000" w:sz="4" w:val="single"/>
              <w:bottom w:color="000000" w:sz="4" w:val="single"/>
              <w:right w:color="000000" w:sz="4" w:val="single"/>
            </w:tcBorders>
            <w:vAlign w:val="center"/>
          </w:tcPr>
          <w:p w14:paraId="A2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A3030000">
            <w:pPr>
              <w:spacing w:after="0" w:line="240" w:lineRule="auto"/>
              <w:ind/>
              <w:jc w:val="center"/>
              <w:rPr>
                <w:sz w:val="20"/>
              </w:rPr>
            </w:pPr>
            <w:r>
              <w:rPr>
                <w:sz w:val="20"/>
              </w:rPr>
              <w:t>0,054</w:t>
            </w:r>
          </w:p>
        </w:tc>
      </w:tr>
      <w:tr>
        <w:trPr>
          <w:trHeight w:hRule="atLeast" w:val="290"/>
        </w:trPr>
        <w:tc>
          <w:tcPr>
            <w:tcW w:type="dxa" w:w="5283"/>
            <w:tcBorders>
              <w:top w:color="000000" w:sz="4" w:val="single"/>
              <w:left w:color="000000" w:sz="4" w:val="single"/>
              <w:bottom w:color="000000" w:sz="4" w:val="single"/>
              <w:right w:color="000000" w:sz="4" w:val="single"/>
            </w:tcBorders>
            <w:vAlign w:val="center"/>
          </w:tcPr>
          <w:p w14:paraId="A4030000">
            <w:pPr>
              <w:spacing w:after="0" w:line="240" w:lineRule="auto"/>
              <w:ind/>
              <w:jc w:val="center"/>
              <w:rPr>
                <w:sz w:val="20"/>
              </w:rPr>
            </w:pPr>
            <w:r>
              <w:rPr>
                <w:sz w:val="20"/>
              </w:rPr>
              <w:t>с. Куйбышево, ул. Миусская, 3</w:t>
            </w:r>
          </w:p>
        </w:tc>
        <w:tc>
          <w:tcPr>
            <w:tcW w:type="dxa" w:w="1415"/>
            <w:tcBorders>
              <w:top w:color="000000" w:sz="4" w:val="single"/>
              <w:left w:color="000000" w:sz="4" w:val="single"/>
              <w:bottom w:color="000000" w:sz="4" w:val="single"/>
              <w:right w:color="000000" w:sz="4" w:val="single"/>
            </w:tcBorders>
            <w:vAlign w:val="center"/>
          </w:tcPr>
          <w:p w14:paraId="A5030000">
            <w:pPr>
              <w:spacing w:after="0" w:line="240" w:lineRule="auto"/>
              <w:ind/>
              <w:jc w:val="center"/>
              <w:rPr>
                <w:sz w:val="20"/>
              </w:rPr>
            </w:pPr>
            <w:r>
              <w:rPr>
                <w:sz w:val="20"/>
              </w:rPr>
              <w:t>2024</w:t>
            </w:r>
          </w:p>
        </w:tc>
        <w:tc>
          <w:tcPr>
            <w:tcW w:type="dxa" w:w="2748"/>
            <w:tcBorders>
              <w:top w:sz="4" w:val="nil"/>
              <w:left w:color="000000" w:sz="4" w:val="single"/>
              <w:bottom w:color="000000" w:sz="4" w:val="single"/>
              <w:right w:color="000000" w:sz="4" w:val="single"/>
            </w:tcBorders>
            <w:vAlign w:val="center"/>
          </w:tcPr>
          <w:p w14:paraId="A6030000">
            <w:pPr>
              <w:spacing w:after="0" w:line="240" w:lineRule="auto"/>
              <w:ind/>
              <w:jc w:val="center"/>
              <w:rPr>
                <w:sz w:val="20"/>
              </w:rPr>
            </w:pPr>
            <w:r>
              <w:rPr>
                <w:sz w:val="20"/>
              </w:rPr>
              <w:t>0,036</w:t>
            </w:r>
          </w:p>
        </w:tc>
      </w:tr>
    </w:tbl>
    <w:p w14:paraId="A7030000">
      <w:pPr>
        <w:spacing w:before="200" w:line="20" w:lineRule="atLeast"/>
        <w:ind w:firstLine="709" w:left="0"/>
        <w:jc w:val="both"/>
        <w:rPr>
          <w:b w:val="1"/>
          <w:sz w:val="28"/>
        </w:rPr>
      </w:pPr>
      <w:r>
        <w:rPr>
          <w:b w:val="1"/>
          <w:sz w:val="28"/>
        </w:rPr>
        <w:t xml:space="preserve">5.10 Предложения по вводу новых и реконструкции существующих источников тепловой энергии с </w:t>
      </w:r>
      <w:r>
        <w:rPr>
          <w:b w:val="1"/>
          <w:sz w:val="28"/>
        </w:rPr>
        <w:t>использованием возобновляемых источников энергии, а также местных видов топлива</w:t>
      </w:r>
    </w:p>
    <w:p w14:paraId="A8030000">
      <w:pPr>
        <w:spacing w:line="20" w:lineRule="atLeast"/>
        <w:ind w:firstLine="709" w:left="0"/>
        <w:jc w:val="both"/>
        <w:rPr>
          <w:sz w:val="28"/>
        </w:rPr>
      </w:pPr>
      <w:r>
        <w:rPr>
          <w:sz w:val="28"/>
        </w:rPr>
        <w:t>Ввод новых и реконструкция существующих источников тепловой энергии с использованием ВИЭ на 2024 год не проводится, мероприятия не предлагаются.</w:t>
      </w:r>
    </w:p>
    <w:p w14:paraId="A9030000">
      <w:pPr>
        <w:spacing w:line="240" w:lineRule="auto"/>
        <w:ind w:firstLine="709" w:left="0"/>
        <w:jc w:val="both"/>
        <w:rPr>
          <w:b w:val="1"/>
          <w:sz w:val="28"/>
        </w:rPr>
      </w:pPr>
      <w:r>
        <w:rPr>
          <w:b w:val="1"/>
          <w:sz w:val="28"/>
        </w:rPr>
        <w:t>РАЗДЕЛ 6. ПРЕДЛОЖЕНИЯ ПО СТРОИТ</w:t>
      </w:r>
      <w:r>
        <w:rPr>
          <w:b w:val="1"/>
          <w:sz w:val="28"/>
        </w:rPr>
        <w:t xml:space="preserve">ЕЛЬСТВУ, РЕКОНСТРУКЦИИ И (ИЛИ) МОДЕРНИЗАЦИИ ТЕПЛОВЫХ СЕТЕЙ </w:t>
      </w:r>
      <w:r>
        <w:rPr>
          <w:b w:val="1"/>
          <w:sz w:val="28"/>
        </w:rPr>
        <w:t>КУЙБЫШЕВСКОГО СЕЛЬСКОГО ПОСЕЛЕНИЯ КУЙБЫШЕВСКОГО РАЙОНА</w:t>
      </w:r>
    </w:p>
    <w:p w14:paraId="AA030000">
      <w:pPr>
        <w:spacing w:line="240" w:lineRule="auto"/>
        <w:ind w:firstLine="709" w:left="0"/>
        <w:jc w:val="both"/>
        <w:rPr>
          <w:b w:val="1"/>
          <w:sz w:val="28"/>
        </w:rPr>
      </w:pPr>
      <w:r>
        <w:rPr>
          <w:b w:val="1"/>
          <w:sz w:val="28"/>
        </w:rPr>
        <w:t xml:space="preserve">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w:t>
      </w:r>
      <w:r>
        <w:rPr>
          <w:b w:val="1"/>
          <w:sz w:val="28"/>
        </w:rPr>
        <w:t xml:space="preserve">мощности источников тепловой энергии (использование существующих резервов) </w:t>
      </w:r>
    </w:p>
    <w:p w14:paraId="AB030000">
      <w:pPr>
        <w:spacing w:before="200" w:line="240" w:lineRule="auto"/>
        <w:ind w:firstLine="709" w:left="0"/>
        <w:jc w:val="both"/>
        <w:rPr>
          <w:sz w:val="28"/>
        </w:rPr>
      </w:pPr>
      <w:r>
        <w:rPr>
          <w:sz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w:t>
      </w:r>
      <w:r>
        <w:rPr>
          <w:sz w:val="28"/>
        </w:rPr>
        <w:t>ти источников тепловой энергии в зоны с резервом располагаемой тепловой мощности источников тепловой энергии (использование существующих резервов), отсутствуют.</w:t>
      </w:r>
    </w:p>
    <w:p w14:paraId="AC030000">
      <w:pPr>
        <w:spacing w:before="200" w:line="240" w:lineRule="auto"/>
        <w:ind w:firstLine="709" w:left="0"/>
        <w:jc w:val="both"/>
        <w:rPr>
          <w:b w:val="1"/>
          <w:sz w:val="28"/>
        </w:rPr>
      </w:pPr>
      <w:r>
        <w:rPr>
          <w:b w:val="1"/>
          <w:sz w:val="28"/>
        </w:rPr>
        <w:t>6.2 Предложения по строительству, реконструкции и (или) модернизации тепловых сетей для обеспеч</w:t>
      </w:r>
      <w:r>
        <w:rPr>
          <w:b w:val="1"/>
          <w:sz w:val="28"/>
        </w:rPr>
        <w:t>ения перспективных приростов тепловой нагрузки в осваиваемых районах Куйбышевского сельского поселения Куйбышевского района под жилищную, комплексную или производственную застройку</w:t>
      </w:r>
    </w:p>
    <w:p w14:paraId="AD030000">
      <w:pPr>
        <w:spacing w:before="200" w:line="240" w:lineRule="auto"/>
        <w:ind w:firstLine="709" w:left="0"/>
        <w:jc w:val="both"/>
        <w:rPr>
          <w:sz w:val="28"/>
        </w:rPr>
      </w:pPr>
      <w:r>
        <w:rPr>
          <w:sz w:val="28"/>
        </w:rPr>
        <w:t>Предложения по строительству, реконструкции, модернизации тепловых</w:t>
      </w:r>
    </w:p>
    <w:p w14:paraId="AE030000">
      <w:pPr>
        <w:spacing w:before="200" w:line="240" w:lineRule="auto"/>
        <w:ind/>
        <w:jc w:val="both"/>
        <w:rPr>
          <w:sz w:val="28"/>
        </w:rPr>
      </w:pPr>
      <w:r>
        <w:rPr>
          <w:sz w:val="28"/>
        </w:rPr>
        <w:t>сетей дл</w:t>
      </w:r>
      <w:r>
        <w:rPr>
          <w:sz w:val="28"/>
        </w:rPr>
        <w:t xml:space="preserve">я обеспечения перспективных приростов тепловой нагрузки в осваиваемых районах Куйбышевского сельского поселения под жилищную, комплексную или производственную застройку, отсутствуют. </w:t>
      </w:r>
    </w:p>
    <w:p w14:paraId="AF030000">
      <w:pPr>
        <w:spacing w:before="200" w:line="240" w:lineRule="auto"/>
        <w:ind w:firstLine="709" w:left="0"/>
        <w:jc w:val="both"/>
        <w:rPr>
          <w:b w:val="1"/>
          <w:sz w:val="28"/>
        </w:rPr>
      </w:pPr>
      <w:r>
        <w:rPr>
          <w:b w:val="1"/>
          <w:sz w:val="28"/>
        </w:rPr>
        <w:t>6.3 Предложения по строительству, реконструкции и (или) модернизации теп</w:t>
      </w:r>
      <w:r>
        <w:rPr>
          <w:b w:val="1"/>
          <w:sz w:val="28"/>
        </w:rPr>
        <w:t>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14:paraId="B0030000">
      <w:pPr>
        <w:spacing w:line="240" w:lineRule="auto"/>
        <w:ind w:firstLine="709" w:left="0"/>
        <w:jc w:val="both"/>
        <w:rPr>
          <w:sz w:val="28"/>
        </w:rPr>
      </w:pPr>
      <w:r>
        <w:rPr>
          <w:sz w:val="28"/>
        </w:rPr>
        <w:t>При сложившемся в Куйбышевском сельском поселении п</w:t>
      </w:r>
      <w:r>
        <w:rPr>
          <w:sz w:val="28"/>
        </w:rPr>
        <w:t xml:space="preserve">оложении возможностей поставок тепловой энергии потребителям от различных источников тепловой энергии при сохранении надёжности теплоснабжения не предвидится.  </w:t>
      </w:r>
    </w:p>
    <w:p w14:paraId="B1030000">
      <w:pPr>
        <w:spacing w:line="240" w:lineRule="auto"/>
        <w:ind w:firstLine="709" w:left="0"/>
        <w:jc w:val="both"/>
        <w:rPr>
          <w:sz w:val="28"/>
        </w:rPr>
      </w:pPr>
      <w:r>
        <w:rPr>
          <w:b w:val="1"/>
          <w:sz w:val="28"/>
        </w:rPr>
        <w:t>6.4 Предложения по строительству, реконструкции и (или) модернизации тепловых сетей для повышен</w:t>
      </w:r>
      <w:r>
        <w:rPr>
          <w:b w:val="1"/>
          <w:sz w:val="28"/>
        </w:rPr>
        <w:t xml:space="preserve">ия эффективности функционирования системы теплоснабжения, в том числе за счёт перевода котельных в пиковый режим работы или ликвидации котельных по основаниям, указанным в подпункте «д» пункта 11 Постановления Правительства РФ от 22.02.2012 № 154 (ред. от </w:t>
      </w:r>
      <w:r>
        <w:rPr>
          <w:b w:val="1"/>
          <w:sz w:val="28"/>
        </w:rPr>
        <w:t xml:space="preserve">10.01.2023 года) «О </w:t>
      </w:r>
      <w:r>
        <w:rPr>
          <w:b w:val="1"/>
          <w:sz w:val="28"/>
        </w:rPr>
        <w:t>требованиях к схемам теплоснабжения, порядку их разработки и утверждения»</w:t>
      </w:r>
    </w:p>
    <w:p w14:paraId="B2030000">
      <w:pPr>
        <w:spacing w:before="200" w:line="240" w:lineRule="auto"/>
        <w:ind w:firstLine="709" w:left="0"/>
        <w:jc w:val="both"/>
        <w:rPr>
          <w:sz w:val="28"/>
        </w:rPr>
      </w:pPr>
      <w:r>
        <w:rPr>
          <w:sz w:val="28"/>
        </w:rPr>
        <w:t>Предложения по модернизации тепловых сетей для повышения эффективности функционирования системы теплоснабжения отражены в таблице 9.</w:t>
      </w:r>
    </w:p>
    <w:p w14:paraId="B3030000">
      <w:pPr>
        <w:spacing w:before="200" w:line="240" w:lineRule="auto"/>
        <w:ind/>
        <w:jc w:val="both"/>
        <w:rPr>
          <w:sz w:val="28"/>
        </w:rPr>
      </w:pPr>
      <w:r>
        <w:rPr>
          <w:sz w:val="28"/>
        </w:rPr>
        <w:t>Таблица 9 Предложения по моде</w:t>
      </w:r>
      <w:r>
        <w:rPr>
          <w:sz w:val="28"/>
        </w:rPr>
        <w:t xml:space="preserve">рнизации тепловых сетей для повышения эффективности функционирования системы теплоснабжения </w:t>
      </w:r>
    </w:p>
    <w:tbl>
      <w:tblPr>
        <w:tblStyle w:val="Style_4"/>
        <w:tblInd w:type="dxa" w:w="108"/>
        <w:tblLayout w:type="fixed"/>
      </w:tblPr>
      <w:tblGrid>
        <w:gridCol w:w="1539"/>
        <w:gridCol w:w="699"/>
        <w:gridCol w:w="5455"/>
        <w:gridCol w:w="1837"/>
      </w:tblGrid>
      <w:tr>
        <w:trPr>
          <w:trHeight w:hRule="atLeast" w:val="464"/>
        </w:trPr>
        <w:tc>
          <w:tcPr>
            <w:tcW w:type="dxa" w:w="1539"/>
            <w:vMerge w:val="restart"/>
            <w:tcBorders>
              <w:top w:color="000000" w:sz="4" w:val="single"/>
              <w:left w:color="000000" w:sz="4" w:val="single"/>
              <w:bottom w:color="000000" w:sz="4" w:val="single"/>
            </w:tcBorders>
            <w:vAlign w:val="center"/>
          </w:tcPr>
          <w:p w14:paraId="B4030000">
            <w:pPr>
              <w:spacing w:before="200" w:line="20" w:lineRule="atLeast"/>
              <w:ind w:hanging="100" w:left="100"/>
              <w:jc w:val="both"/>
              <w:rPr>
                <w:sz w:val="20"/>
              </w:rPr>
            </w:pPr>
            <w:r>
              <w:rPr>
                <w:sz w:val="20"/>
              </w:rPr>
              <w:t>Адрес котельной</w:t>
            </w:r>
          </w:p>
        </w:tc>
        <w:tc>
          <w:tcPr>
            <w:tcW w:type="dxa" w:w="699"/>
            <w:vMerge w:val="restart"/>
            <w:tcBorders>
              <w:top w:color="000000" w:sz="4" w:val="single"/>
              <w:left w:color="000000" w:sz="4" w:val="single"/>
              <w:bottom w:color="000000" w:sz="4" w:val="single"/>
            </w:tcBorders>
            <w:vAlign w:val="center"/>
          </w:tcPr>
          <w:p w14:paraId="B5030000">
            <w:pPr>
              <w:spacing w:after="0" w:line="20" w:lineRule="atLeast"/>
              <w:ind/>
              <w:jc w:val="center"/>
              <w:rPr>
                <w:sz w:val="20"/>
              </w:rPr>
            </w:pPr>
            <w:r>
              <w:rPr>
                <w:sz w:val="20"/>
              </w:rPr>
              <w:t>Срок</w:t>
            </w:r>
          </w:p>
        </w:tc>
        <w:tc>
          <w:tcPr>
            <w:tcW w:type="dxa" w:w="5455"/>
            <w:vMerge w:val="restart"/>
            <w:tcBorders>
              <w:top w:color="000000" w:sz="4" w:val="single"/>
              <w:left w:color="000000" w:sz="4" w:val="single"/>
              <w:bottom w:color="000000" w:sz="4" w:val="single"/>
              <w:right w:color="000000" w:sz="4" w:val="single"/>
            </w:tcBorders>
            <w:vAlign w:val="center"/>
          </w:tcPr>
          <w:p w14:paraId="B6030000">
            <w:pPr>
              <w:ind/>
              <w:jc w:val="center"/>
            </w:pPr>
            <w:r>
              <w:rPr>
                <w:sz w:val="20"/>
              </w:rPr>
              <w:t>Характеристики</w:t>
            </w:r>
          </w:p>
        </w:tc>
        <w:tc>
          <w:tcPr>
            <w:tcW w:type="dxa" w:w="1837"/>
            <w:vMerge w:val="restart"/>
            <w:tcBorders>
              <w:top w:color="000000" w:sz="4" w:val="single"/>
              <w:left w:color="000000" w:sz="4" w:val="single"/>
              <w:bottom w:color="000000" w:sz="4" w:val="single"/>
              <w:right w:color="000000" w:sz="4" w:val="single"/>
            </w:tcBorders>
            <w:vAlign w:val="center"/>
          </w:tcPr>
          <w:p w14:paraId="B7030000">
            <w:pPr>
              <w:ind/>
              <w:jc w:val="center"/>
            </w:pPr>
            <w:r>
              <w:t>Ориентировочный объём финансирования, тыс. руб.</w:t>
            </w:r>
          </w:p>
        </w:tc>
      </w:tr>
      <w:tr>
        <w:trPr>
          <w:trHeight w:hRule="atLeast" w:val="491"/>
        </w:trPr>
        <w:tc>
          <w:tcPr>
            <w:tcW w:type="dxa" w:w="1539"/>
            <w:gridSpan w:val="1"/>
            <w:vMerge w:val="continue"/>
            <w:tcBorders>
              <w:top w:color="000000" w:sz="4" w:val="single"/>
              <w:left w:color="000000" w:sz="4" w:val="single"/>
              <w:bottom w:color="000000" w:sz="4" w:val="single"/>
            </w:tcBorders>
            <w:vAlign w:val="center"/>
          </w:tcPr>
          <w:p/>
        </w:tc>
        <w:tc>
          <w:tcPr>
            <w:tcW w:type="dxa" w:w="699"/>
            <w:gridSpan w:val="1"/>
            <w:vMerge w:val="continue"/>
            <w:tcBorders>
              <w:top w:color="000000" w:sz="4" w:val="single"/>
              <w:left w:color="000000" w:sz="4" w:val="single"/>
              <w:bottom w:color="000000" w:sz="4" w:val="single"/>
            </w:tcBorders>
            <w:vAlign w:val="center"/>
          </w:tcPr>
          <w:p/>
        </w:tc>
        <w:tc>
          <w:tcPr>
            <w:tcW w:type="dxa" w:w="5455"/>
            <w:gridSpan w:val="1"/>
            <w:vMerge w:val="continue"/>
            <w:tcBorders>
              <w:top w:color="000000" w:sz="4" w:val="single"/>
              <w:left w:color="000000" w:sz="4" w:val="single"/>
              <w:bottom w:color="000000" w:sz="4" w:val="single"/>
              <w:right w:color="000000" w:sz="4" w:val="single"/>
            </w:tcBorders>
            <w:vAlign w:val="center"/>
          </w:tcPr>
          <w:p/>
        </w:tc>
        <w:tc>
          <w:tcPr>
            <w:tcW w:type="dxa" w:w="1837"/>
            <w:gridSpan w:val="1"/>
            <w:vMerge w:val="continue"/>
            <w:tcBorders>
              <w:top w:color="000000" w:sz="4" w:val="single"/>
              <w:left w:color="000000" w:sz="4" w:val="single"/>
              <w:bottom w:color="000000" w:sz="4" w:val="single"/>
              <w:right w:color="000000" w:sz="4" w:val="single"/>
            </w:tcBorders>
            <w:vAlign w:val="center"/>
          </w:tcPr>
          <w:p/>
        </w:tc>
      </w:tr>
      <w:tr>
        <w:trPr>
          <w:trHeight w:hRule="atLeast" w:val="449"/>
        </w:trPr>
        <w:tc>
          <w:tcPr>
            <w:tcW w:type="dxa" w:w="1539"/>
            <w:vMerge w:val="restart"/>
            <w:tcBorders>
              <w:top w:color="000000" w:sz="4" w:val="single"/>
              <w:left w:color="000000" w:sz="4" w:val="single"/>
              <w:bottom w:color="000000" w:sz="4" w:val="single"/>
            </w:tcBorders>
            <w:vAlign w:val="center"/>
          </w:tcPr>
          <w:p w14:paraId="B8030000">
            <w:pPr>
              <w:rPr>
                <w:sz w:val="20"/>
              </w:rPr>
            </w:pPr>
            <w:r>
              <w:rPr>
                <w:sz w:val="20"/>
              </w:rPr>
              <w:t>с. Русское, ул. Красноармейская,8-а</w:t>
            </w:r>
          </w:p>
        </w:tc>
        <w:tc>
          <w:tcPr>
            <w:tcW w:type="dxa" w:w="699"/>
            <w:tcBorders>
              <w:top w:color="000000" w:sz="4" w:val="single"/>
              <w:left w:color="000000" w:sz="4" w:val="single"/>
              <w:bottom w:color="000000" w:sz="4" w:val="single"/>
              <w:right w:color="000000" w:sz="4" w:val="single"/>
            </w:tcBorders>
            <w:vAlign w:val="center"/>
          </w:tcPr>
          <w:p w14:paraId="B9030000">
            <w:pPr>
              <w:spacing w:after="0" w:line="20" w:lineRule="atLeast"/>
              <w:ind/>
              <w:jc w:val="center"/>
              <w:rPr>
                <w:sz w:val="20"/>
              </w:rPr>
            </w:pPr>
            <w:r>
              <w:rPr>
                <w:sz w:val="20"/>
              </w:rPr>
              <w:t>2023</w:t>
            </w:r>
          </w:p>
          <w:p w14:paraId="BA030000">
            <w:pPr>
              <w:spacing w:after="0" w:line="20" w:lineRule="atLeast"/>
              <w:ind/>
              <w:jc w:val="center"/>
              <w:rPr>
                <w:sz w:val="20"/>
              </w:rPr>
            </w:pPr>
          </w:p>
        </w:tc>
        <w:tc>
          <w:tcPr>
            <w:tcW w:type="dxa" w:w="5455"/>
            <w:tcBorders>
              <w:top w:color="000000" w:sz="4" w:val="single"/>
              <w:left w:color="000000" w:sz="4" w:val="single"/>
              <w:bottom w:color="000000" w:sz="4" w:val="single"/>
              <w:right w:color="000000" w:sz="4" w:val="single"/>
            </w:tcBorders>
            <w:vAlign w:val="center"/>
          </w:tcPr>
          <w:p w14:paraId="BB030000">
            <w:pPr>
              <w:ind/>
              <w:jc w:val="center"/>
              <w:rPr>
                <w:sz w:val="20"/>
              </w:rPr>
            </w:pPr>
            <w:r>
              <w:rPr>
                <w:sz w:val="20"/>
              </w:rPr>
              <w:t xml:space="preserve">Замена надземного участка теплосети Д57 длиной 60 м                                       </w:t>
            </w:r>
          </w:p>
        </w:tc>
        <w:tc>
          <w:tcPr>
            <w:tcW w:type="dxa" w:w="1837"/>
            <w:tcBorders>
              <w:top w:color="000000" w:sz="4" w:val="single"/>
              <w:left w:color="000000" w:sz="4" w:val="single"/>
              <w:bottom w:color="000000" w:sz="4" w:val="single"/>
              <w:right w:color="000000" w:sz="4" w:val="single"/>
            </w:tcBorders>
            <w:vAlign w:val="center"/>
          </w:tcPr>
          <w:p w14:paraId="BC030000">
            <w:pPr>
              <w:ind/>
              <w:jc w:val="center"/>
              <w:rPr>
                <w:sz w:val="20"/>
              </w:rPr>
            </w:pPr>
            <w:r>
              <w:rPr>
                <w:sz w:val="20"/>
              </w:rPr>
              <w:t>194,0</w:t>
            </w:r>
          </w:p>
        </w:tc>
      </w:tr>
      <w:tr>
        <w:trPr>
          <w:trHeight w:hRule="atLeast" w:val="448"/>
        </w:trPr>
        <w:tc>
          <w:tcPr>
            <w:tcW w:type="dxa" w:w="1539"/>
            <w:gridSpan w:val="1"/>
            <w:vMerge w:val="continue"/>
            <w:tcBorders>
              <w:top w:color="000000" w:sz="4" w:val="single"/>
              <w:left w:color="000000" w:sz="4" w:val="single"/>
              <w:bottom w:color="000000" w:sz="4" w:val="single"/>
            </w:tcBorders>
            <w:vAlign w:val="center"/>
          </w:tcPr>
          <w:p/>
        </w:tc>
        <w:tc>
          <w:tcPr>
            <w:tcW w:type="dxa" w:w="699"/>
            <w:tcBorders>
              <w:top w:color="000000" w:sz="4" w:val="single"/>
              <w:left w:color="000000" w:sz="4" w:val="single"/>
              <w:bottom w:color="000000" w:sz="4" w:val="single"/>
              <w:right w:color="000000" w:sz="4" w:val="single"/>
            </w:tcBorders>
            <w:vAlign w:val="center"/>
          </w:tcPr>
          <w:p w14:paraId="BD030000">
            <w:pPr>
              <w:spacing w:after="0" w:line="20" w:lineRule="atLeast"/>
              <w:ind/>
              <w:jc w:val="center"/>
              <w:rPr>
                <w:sz w:val="20"/>
              </w:rPr>
            </w:pPr>
            <w:r>
              <w:rPr>
                <w:sz w:val="20"/>
              </w:rPr>
              <w:t>2024</w:t>
            </w:r>
          </w:p>
        </w:tc>
        <w:tc>
          <w:tcPr>
            <w:tcW w:type="dxa" w:w="5455"/>
            <w:tcBorders>
              <w:top w:color="000000" w:sz="4" w:val="single"/>
              <w:left w:color="000000" w:sz="4" w:val="single"/>
              <w:bottom w:color="000000" w:sz="4" w:val="single"/>
              <w:right w:color="000000" w:sz="4" w:val="single"/>
            </w:tcBorders>
            <w:vAlign w:val="center"/>
          </w:tcPr>
          <w:p w14:paraId="BE030000">
            <w:pPr>
              <w:ind/>
              <w:jc w:val="center"/>
              <w:rPr>
                <w:sz w:val="20"/>
              </w:rPr>
            </w:pPr>
            <w:r>
              <w:rPr>
                <w:sz w:val="20"/>
              </w:rPr>
              <w:t>Замена подземного участка теплосети Д57 длиной 60 м</w:t>
            </w:r>
          </w:p>
        </w:tc>
        <w:tc>
          <w:tcPr>
            <w:tcW w:type="dxa" w:w="1837"/>
            <w:tcBorders>
              <w:top w:color="000000" w:sz="4" w:val="single"/>
              <w:left w:color="000000" w:sz="4" w:val="single"/>
              <w:bottom w:color="000000" w:sz="4" w:val="single"/>
              <w:right w:color="000000" w:sz="4" w:val="single"/>
            </w:tcBorders>
            <w:vAlign w:val="center"/>
          </w:tcPr>
          <w:p w14:paraId="BF030000">
            <w:pPr>
              <w:ind/>
              <w:jc w:val="center"/>
              <w:rPr>
                <w:sz w:val="20"/>
              </w:rPr>
            </w:pPr>
            <w:r>
              <w:rPr>
                <w:sz w:val="20"/>
              </w:rPr>
              <w:t>270,0</w:t>
            </w:r>
          </w:p>
        </w:tc>
      </w:tr>
      <w:tr>
        <w:trPr>
          <w:trHeight w:hRule="atLeast" w:val="457"/>
        </w:trPr>
        <w:tc>
          <w:tcPr>
            <w:tcW w:type="dxa" w:w="1539"/>
            <w:tcBorders>
              <w:top w:color="000000" w:sz="4" w:val="single"/>
              <w:left w:color="000000" w:sz="4" w:val="single"/>
              <w:bottom w:color="000000" w:sz="4" w:val="single"/>
            </w:tcBorders>
            <w:vAlign w:val="center"/>
          </w:tcPr>
          <w:p w14:paraId="C0030000">
            <w:pPr>
              <w:rPr>
                <w:sz w:val="20"/>
              </w:rPr>
            </w:pPr>
            <w:r>
              <w:rPr>
                <w:sz w:val="20"/>
              </w:rPr>
              <w:t>с. Куйбышево, ул. Кузьменко, 3 а</w:t>
            </w:r>
          </w:p>
        </w:tc>
        <w:tc>
          <w:tcPr>
            <w:tcW w:type="dxa" w:w="699"/>
            <w:tcBorders>
              <w:top w:color="000000" w:sz="4" w:val="single"/>
              <w:left w:color="000000" w:sz="4" w:val="single"/>
              <w:bottom w:color="000000" w:sz="4" w:val="single"/>
            </w:tcBorders>
            <w:vAlign w:val="center"/>
          </w:tcPr>
          <w:p w14:paraId="C1030000">
            <w:pPr>
              <w:spacing w:after="0" w:line="20" w:lineRule="atLeast"/>
              <w:ind/>
              <w:jc w:val="center"/>
              <w:rPr>
                <w:sz w:val="20"/>
              </w:rPr>
            </w:pPr>
            <w:r>
              <w:rPr>
                <w:sz w:val="20"/>
              </w:rPr>
              <w:t>2030</w:t>
            </w:r>
          </w:p>
        </w:tc>
        <w:tc>
          <w:tcPr>
            <w:tcW w:type="dxa" w:w="5455"/>
            <w:tcBorders>
              <w:top w:color="000000" w:sz="4" w:val="single"/>
              <w:left w:color="000000" w:sz="4" w:val="single"/>
              <w:bottom w:color="000000" w:sz="4" w:val="single"/>
              <w:right w:color="000000" w:sz="4" w:val="single"/>
            </w:tcBorders>
            <w:vAlign w:val="center"/>
          </w:tcPr>
          <w:p w14:paraId="C2030000">
            <w:pPr>
              <w:ind/>
              <w:jc w:val="center"/>
              <w:rPr>
                <w:sz w:val="20"/>
              </w:rPr>
            </w:pPr>
            <w:r>
              <w:rPr>
                <w:sz w:val="20"/>
              </w:rPr>
              <w:t xml:space="preserve">Замена подземного участка тепловой сети Дн 57 длиной </w:t>
            </w:r>
            <w:r>
              <w:rPr>
                <w:sz w:val="20"/>
              </w:rPr>
              <w:t>80м в однотрубном исчислении</w:t>
            </w:r>
          </w:p>
        </w:tc>
        <w:tc>
          <w:tcPr>
            <w:tcW w:type="dxa" w:w="1837"/>
            <w:tcBorders>
              <w:top w:color="000000" w:sz="4" w:val="single"/>
              <w:left w:color="000000" w:sz="4" w:val="single"/>
              <w:bottom w:color="000000" w:sz="4" w:val="single"/>
              <w:right w:color="000000" w:sz="4" w:val="single"/>
            </w:tcBorders>
            <w:vAlign w:val="center"/>
          </w:tcPr>
          <w:p w14:paraId="C3030000">
            <w:pPr>
              <w:ind/>
              <w:jc w:val="center"/>
              <w:rPr>
                <w:sz w:val="20"/>
              </w:rPr>
            </w:pPr>
            <w:r>
              <w:rPr>
                <w:sz w:val="20"/>
              </w:rPr>
              <w:t>500,0</w:t>
            </w:r>
          </w:p>
        </w:tc>
      </w:tr>
      <w:tr>
        <w:trPr>
          <w:trHeight w:hRule="atLeast" w:val="1898"/>
        </w:trPr>
        <w:tc>
          <w:tcPr>
            <w:tcW w:type="dxa" w:w="1539"/>
            <w:vMerge w:val="restart"/>
            <w:tcBorders>
              <w:top w:color="000000" w:sz="4" w:val="single"/>
              <w:left w:color="000000" w:sz="4" w:val="single"/>
              <w:bottom w:color="000000" w:sz="4" w:val="single"/>
            </w:tcBorders>
            <w:vAlign w:val="center"/>
          </w:tcPr>
          <w:p w14:paraId="C4030000">
            <w:pPr>
              <w:rPr>
                <w:sz w:val="20"/>
              </w:rPr>
            </w:pPr>
            <w:r>
              <w:rPr>
                <w:sz w:val="20"/>
              </w:rPr>
              <w:t>с. Куйбышево, ул. Пролетарская, 7</w:t>
            </w:r>
          </w:p>
        </w:tc>
        <w:tc>
          <w:tcPr>
            <w:tcW w:type="dxa" w:w="699"/>
            <w:vMerge w:val="restart"/>
            <w:tcBorders>
              <w:top w:color="000000" w:sz="4" w:val="single"/>
              <w:left w:color="000000" w:sz="4" w:val="single"/>
              <w:bottom w:color="000000" w:sz="4" w:val="single"/>
            </w:tcBorders>
            <w:vAlign w:val="center"/>
          </w:tcPr>
          <w:p w14:paraId="C5030000">
            <w:pPr>
              <w:spacing w:after="0" w:line="20" w:lineRule="atLeast"/>
              <w:ind/>
              <w:jc w:val="center"/>
              <w:rPr>
                <w:sz w:val="20"/>
              </w:rPr>
            </w:pPr>
            <w:r>
              <w:rPr>
                <w:sz w:val="20"/>
              </w:rPr>
              <w:t xml:space="preserve">2026                                                            </w:t>
            </w:r>
          </w:p>
        </w:tc>
        <w:tc>
          <w:tcPr>
            <w:tcW w:type="dxa" w:w="5455"/>
            <w:tcBorders>
              <w:top w:color="000000" w:sz="4" w:val="single"/>
              <w:left w:color="000000" w:sz="4" w:val="single"/>
              <w:bottom w:color="000000" w:sz="4" w:val="single"/>
              <w:right w:color="000000" w:sz="4" w:val="single"/>
            </w:tcBorders>
            <w:vAlign w:val="center"/>
          </w:tcPr>
          <w:p w14:paraId="C6030000">
            <w:pPr>
              <w:ind/>
              <w:jc w:val="center"/>
              <w:rPr>
                <w:sz w:val="20"/>
              </w:rPr>
            </w:pPr>
            <w:r>
              <w:rPr>
                <w:sz w:val="20"/>
              </w:rPr>
              <w:t xml:space="preserve">Теплотрасса котельной 567 м с кадастровым </w:t>
            </w:r>
            <w:r>
              <w:rPr>
                <w:sz w:val="20"/>
              </w:rPr>
              <w:br/>
            </w:r>
            <w:r>
              <w:rPr>
                <w:sz w:val="20"/>
              </w:rPr>
              <w:t>№ 61:19:0010160:217, начало объекта – точка ввода в здание котельной, конец объекта – точка перехода на подземную тепловую трассу, расположенная в 34 м. западнее котельной; конец объекта – точка ввода в котельную. Перекладка надземного участка тепловой сет</w:t>
            </w:r>
            <w:r>
              <w:rPr>
                <w:sz w:val="20"/>
              </w:rPr>
              <w:t xml:space="preserve">и длиной 204 м в 1-трубном исчислении с изменение диаметра Ду с 200 мм до 100 мм.                                                        </w:t>
            </w:r>
          </w:p>
        </w:tc>
        <w:tc>
          <w:tcPr>
            <w:tcW w:type="dxa" w:w="1837"/>
            <w:tcBorders>
              <w:top w:color="000000" w:sz="4" w:val="single"/>
              <w:left w:color="000000" w:sz="4" w:val="single"/>
              <w:bottom w:color="000000" w:sz="4" w:val="single"/>
              <w:right w:color="000000" w:sz="4" w:val="single"/>
            </w:tcBorders>
            <w:vAlign w:val="center"/>
          </w:tcPr>
          <w:p w14:paraId="C7030000">
            <w:pPr>
              <w:ind/>
              <w:jc w:val="center"/>
              <w:rPr>
                <w:sz w:val="20"/>
              </w:rPr>
            </w:pPr>
            <w:r>
              <w:rPr>
                <w:sz w:val="20"/>
              </w:rPr>
              <w:t>1119,70</w:t>
            </w:r>
          </w:p>
        </w:tc>
      </w:tr>
      <w:tr>
        <w:trPr>
          <w:trHeight w:hRule="atLeast" w:val="1897"/>
        </w:trPr>
        <w:tc>
          <w:tcPr>
            <w:tcW w:type="dxa" w:w="1539"/>
            <w:gridSpan w:val="1"/>
            <w:vMerge w:val="continue"/>
            <w:tcBorders>
              <w:top w:color="000000" w:sz="4" w:val="single"/>
              <w:left w:color="000000" w:sz="4" w:val="single"/>
              <w:bottom w:color="000000" w:sz="4" w:val="single"/>
            </w:tcBorders>
            <w:vAlign w:val="center"/>
          </w:tcPr>
          <w:p/>
        </w:tc>
        <w:tc>
          <w:tcPr>
            <w:tcW w:type="dxa" w:w="699"/>
            <w:gridSpan w:val="1"/>
            <w:vMerge w:val="continue"/>
            <w:tcBorders>
              <w:top w:color="000000" w:sz="4" w:val="single"/>
              <w:left w:color="000000" w:sz="4" w:val="single"/>
              <w:bottom w:color="000000" w:sz="4" w:val="single"/>
            </w:tcBorders>
            <w:vAlign w:val="center"/>
          </w:tcPr>
          <w:p/>
        </w:tc>
        <w:tc>
          <w:tcPr>
            <w:tcW w:type="dxa" w:w="5455"/>
            <w:tcBorders>
              <w:top w:color="000000" w:sz="4" w:val="single"/>
              <w:left w:color="000000" w:sz="4" w:val="single"/>
              <w:bottom w:color="000000" w:sz="4" w:val="single"/>
              <w:right w:color="000000" w:sz="4" w:val="single"/>
            </w:tcBorders>
            <w:vAlign w:val="center"/>
          </w:tcPr>
          <w:p w14:paraId="C8030000">
            <w:pPr>
              <w:ind/>
              <w:jc w:val="center"/>
              <w:rPr>
                <w:sz w:val="20"/>
              </w:rPr>
            </w:pPr>
            <w:r>
              <w:rPr>
                <w:sz w:val="20"/>
              </w:rPr>
              <w:t>Теплотрасса котельной протяженностью 397 м с кадастровым № 61:19:0010160:216, начало объекта – точка врезки, расположенная в 48 м. северо-западнее здания котельной; конец объекта – точка ввода в котельную. Перекладка надземного участка тепловой сети длиной</w:t>
            </w:r>
            <w:r>
              <w:rPr>
                <w:sz w:val="20"/>
              </w:rPr>
              <w:t xml:space="preserve"> 138 м в 1-трубном исчислении с изменение диаметра с 200 мм до 80 мм. Перекладка надземного участка тепловой сети длиной 51 м в 1-трубном исчислении с изменение диаметра со 150 мм до </w:t>
            </w:r>
            <w:r>
              <w:rPr>
                <w:sz w:val="20"/>
              </w:rPr>
              <w:br/>
            </w:r>
            <w:r>
              <w:rPr>
                <w:sz w:val="20"/>
              </w:rPr>
              <w:t>80 мм.</w:t>
            </w:r>
          </w:p>
        </w:tc>
        <w:tc>
          <w:tcPr>
            <w:tcW w:type="dxa" w:w="1837"/>
            <w:tcBorders>
              <w:top w:color="000000" w:sz="4" w:val="single"/>
              <w:left w:color="000000" w:sz="4" w:val="single"/>
              <w:bottom w:color="000000" w:sz="4" w:val="single"/>
              <w:right w:color="000000" w:sz="4" w:val="single"/>
            </w:tcBorders>
            <w:vAlign w:val="center"/>
          </w:tcPr>
          <w:p w14:paraId="C9030000">
            <w:pPr>
              <w:ind/>
              <w:jc w:val="center"/>
              <w:rPr>
                <w:sz w:val="20"/>
              </w:rPr>
            </w:pPr>
            <w:r>
              <w:rPr>
                <w:sz w:val="20"/>
              </w:rPr>
              <w:t>886,91</w:t>
            </w:r>
          </w:p>
        </w:tc>
      </w:tr>
      <w:tr>
        <w:trPr>
          <w:trHeight w:hRule="atLeast" w:val="1897"/>
        </w:trPr>
        <w:tc>
          <w:tcPr>
            <w:tcW w:type="dxa" w:w="1539"/>
            <w:gridSpan w:val="1"/>
            <w:vMerge w:val="continue"/>
            <w:tcBorders>
              <w:top w:color="000000" w:sz="4" w:val="single"/>
              <w:left w:color="000000" w:sz="4" w:val="single"/>
              <w:bottom w:color="000000" w:sz="4" w:val="single"/>
            </w:tcBorders>
            <w:vAlign w:val="center"/>
          </w:tcPr>
          <w:p/>
        </w:tc>
        <w:tc>
          <w:tcPr>
            <w:tcW w:type="dxa" w:w="699"/>
            <w:gridSpan w:val="1"/>
            <w:vMerge w:val="continue"/>
            <w:tcBorders>
              <w:top w:color="000000" w:sz="4" w:val="single"/>
              <w:left w:color="000000" w:sz="4" w:val="single"/>
              <w:bottom w:color="000000" w:sz="4" w:val="single"/>
            </w:tcBorders>
            <w:vAlign w:val="center"/>
          </w:tcPr>
          <w:p/>
        </w:tc>
        <w:tc>
          <w:tcPr>
            <w:tcW w:type="dxa" w:w="5455"/>
            <w:tcBorders>
              <w:top w:color="000000" w:sz="4" w:val="single"/>
              <w:left w:color="000000" w:sz="4" w:val="single"/>
              <w:bottom w:color="000000" w:sz="4" w:val="single"/>
              <w:right w:color="000000" w:sz="4" w:val="single"/>
            </w:tcBorders>
            <w:vAlign w:val="center"/>
          </w:tcPr>
          <w:p w14:paraId="CA030000">
            <w:pPr>
              <w:ind/>
              <w:jc w:val="center"/>
              <w:rPr>
                <w:sz w:val="20"/>
              </w:rPr>
            </w:pPr>
            <w:r>
              <w:rPr>
                <w:sz w:val="20"/>
              </w:rPr>
              <w:t xml:space="preserve">Теплотрасса котельной 409 м с кадастровым № </w:t>
            </w:r>
            <w:r>
              <w:rPr>
                <w:sz w:val="20"/>
              </w:rPr>
              <w:t>61:19:0000000:1381, начало объекта – точка перехода на подземную тепловую трассу, расположенная в 34 м западнее котельной; конец объекта – точка ввода в здание по адресу: с. Куйбышево, пер. Овчаренко, 6. Перекладка надземного участка тепловой сети длиной 1</w:t>
            </w:r>
            <w:r>
              <w:rPr>
                <w:sz w:val="20"/>
              </w:rPr>
              <w:t>20 м в 1-трубном исчислении с изменение диаметра  со 100 мм до 80 мм</w:t>
            </w:r>
          </w:p>
        </w:tc>
        <w:tc>
          <w:tcPr>
            <w:tcW w:type="dxa" w:w="1837"/>
            <w:tcBorders>
              <w:top w:color="000000" w:sz="4" w:val="single"/>
              <w:left w:color="000000" w:sz="4" w:val="single"/>
              <w:bottom w:color="000000" w:sz="4" w:val="single"/>
              <w:right w:color="000000" w:sz="4" w:val="single"/>
            </w:tcBorders>
            <w:vAlign w:val="center"/>
          </w:tcPr>
          <w:p w14:paraId="CB030000">
            <w:pPr>
              <w:ind/>
              <w:jc w:val="center"/>
              <w:rPr>
                <w:sz w:val="20"/>
              </w:rPr>
            </w:pPr>
            <w:r>
              <w:rPr>
                <w:sz w:val="20"/>
              </w:rPr>
              <w:t>540,41</w:t>
            </w:r>
          </w:p>
        </w:tc>
      </w:tr>
    </w:tbl>
    <w:p w14:paraId="CC030000">
      <w:pPr>
        <w:spacing w:before="200" w:line="240" w:lineRule="auto"/>
        <w:ind w:firstLine="709" w:left="0"/>
        <w:jc w:val="both"/>
        <w:rPr>
          <w:b w:val="1"/>
          <w:sz w:val="28"/>
        </w:rPr>
      </w:pPr>
      <w:r>
        <w:rPr>
          <w:b w:val="1"/>
          <w:sz w:val="28"/>
        </w:rPr>
        <w:t>6.5 Предложения по строительству, реконструкции и (или) модернизации тепловых сетей для обеспечения нормативной надёжности теплоснабжения потребителей</w:t>
      </w:r>
    </w:p>
    <w:p w14:paraId="CD030000">
      <w:pPr>
        <w:spacing w:line="20" w:lineRule="atLeast"/>
        <w:ind w:firstLine="709" w:left="0"/>
        <w:jc w:val="both"/>
        <w:rPr>
          <w:sz w:val="28"/>
        </w:rPr>
      </w:pPr>
      <w:r>
        <w:rPr>
          <w:sz w:val="28"/>
        </w:rPr>
        <w:t>Предложения по строительству</w:t>
      </w:r>
      <w:r>
        <w:rPr>
          <w:sz w:val="28"/>
        </w:rPr>
        <w:t xml:space="preserve">, реконструкции тепловых сетей для обеспечения нормативной надёжности теплоснабжения потребителей не планируются. </w:t>
      </w:r>
    </w:p>
    <w:p w14:paraId="CE030000">
      <w:pPr>
        <w:spacing w:before="200" w:line="20" w:lineRule="atLeast"/>
        <w:ind w:firstLine="709" w:left="0"/>
        <w:jc w:val="both"/>
        <w:rPr>
          <w:b w:val="1"/>
          <w:sz w:val="28"/>
        </w:rPr>
      </w:pPr>
      <w:r>
        <w:rPr>
          <w:b w:val="1"/>
          <w:sz w:val="28"/>
        </w:rPr>
        <w:t>РАЗДЕЛ 7. ПРЕДЛОЖЕНИЯ ПО ПЕРЕВОДУ ОТКРЫТЫХ СИСТЕМ ТЕПЛОСНАБЖЕНИЯ (ГОРЯЧЕГО ВОДОСНАБЖЕНИЯ), ОТДЕЛЬНЫХ УЧАСТКОВ ТАКИХ СИСТЕМ НА ЗАКРЫТЫЕ СИСТЕМ</w:t>
      </w:r>
      <w:r>
        <w:rPr>
          <w:b w:val="1"/>
          <w:sz w:val="28"/>
        </w:rPr>
        <w:t>Ы ГОРЯЧЕГО ВОДОСНАБЖЕНИЯ КУЙБЫШЕВСКОГО СЕЛЬСКОГО ПОСЕЛЕНИЯ КУЙБЫШЕВСКОГО РАЙОНА</w:t>
      </w:r>
    </w:p>
    <w:p w14:paraId="CF030000">
      <w:pPr>
        <w:spacing w:before="200" w:line="20" w:lineRule="atLeast"/>
        <w:ind w:firstLine="709" w:left="0"/>
        <w:jc w:val="both"/>
        <w:rPr>
          <w:sz w:val="28"/>
        </w:rPr>
      </w:pPr>
      <w:r>
        <w:rPr>
          <w:b w:val="1"/>
          <w:sz w:val="28"/>
        </w:rPr>
        <w:t xml:space="preserve">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w:t>
      </w:r>
      <w:r>
        <w:rPr>
          <w:b w:val="1"/>
          <w:sz w:val="28"/>
        </w:rPr>
        <w:t>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D0030000">
      <w:pPr>
        <w:spacing w:line="20" w:lineRule="atLeast"/>
        <w:ind w:firstLine="709" w:left="0"/>
        <w:jc w:val="both"/>
        <w:rPr>
          <w:sz w:val="28"/>
        </w:rPr>
      </w:pPr>
      <w:r>
        <w:rPr>
          <w:sz w:val="28"/>
        </w:rPr>
        <w:t>Предложения по настоящему разделу не предусматриваются.</w:t>
      </w:r>
    </w:p>
    <w:p w14:paraId="D1030000">
      <w:pPr>
        <w:spacing w:line="20" w:lineRule="atLeast"/>
        <w:ind w:firstLine="709" w:left="0"/>
        <w:jc w:val="both"/>
        <w:rPr>
          <w:sz w:val="28"/>
        </w:rPr>
      </w:pPr>
      <w:r>
        <w:rPr>
          <w:b w:val="1"/>
          <w:sz w:val="28"/>
        </w:rPr>
        <w:t xml:space="preserve">7.2 Предложения по </w:t>
      </w:r>
      <w:r>
        <w:rPr>
          <w:b w:val="1"/>
          <w:sz w:val="28"/>
        </w:rPr>
        <w:t xml:space="preserve">переводу существующих открытых системтеплоснабжения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w:t>
      </w:r>
      <w:r>
        <w:rPr>
          <w:b w:val="1"/>
          <w:sz w:val="28"/>
        </w:rPr>
        <w:t>тепловых пунктов по причине отсутствия у потребителей внутридомовых систем горячего водоснабжения</w:t>
      </w:r>
    </w:p>
    <w:p w14:paraId="D2030000">
      <w:pPr>
        <w:spacing w:line="240" w:lineRule="auto"/>
        <w:ind w:firstLine="709" w:left="0"/>
        <w:jc w:val="both"/>
        <w:rPr>
          <w:sz w:val="28"/>
        </w:rPr>
      </w:pPr>
      <w:r>
        <w:rPr>
          <w:sz w:val="28"/>
        </w:rPr>
        <w:t>Предложения по настоящему разделу не предусматриваются.</w:t>
      </w:r>
    </w:p>
    <w:p w14:paraId="D3030000">
      <w:pPr>
        <w:spacing w:line="240" w:lineRule="auto"/>
        <w:ind w:firstLine="709" w:left="0"/>
        <w:jc w:val="both"/>
        <w:rPr>
          <w:b w:val="1"/>
          <w:sz w:val="28"/>
        </w:rPr>
      </w:pPr>
      <w:r>
        <w:rPr>
          <w:b w:val="1"/>
          <w:sz w:val="28"/>
        </w:rPr>
        <w:t>РАЗДЕЛ 8. ПЕРСПЕКТИВНЫЕ ТОПЛИВНЫЕ БАЛАНСЫ КУЙБЫШЕВСКОГО СЕЛЬСКОГО ПОСЕЛЕНИЯ КУЙБЫШЕВСКОГО РАЙОНА</w:t>
      </w:r>
    </w:p>
    <w:p w14:paraId="D4030000">
      <w:pPr>
        <w:spacing w:line="240" w:lineRule="auto"/>
        <w:ind w:firstLine="709" w:left="0"/>
        <w:jc w:val="both"/>
        <w:rPr>
          <w:b w:val="1"/>
          <w:sz w:val="28"/>
        </w:rPr>
      </w:pPr>
      <w:r>
        <w:rPr>
          <w:b w:val="1"/>
          <w:sz w:val="28"/>
        </w:rPr>
        <w:t>8.1 П</w:t>
      </w:r>
      <w:r>
        <w:rPr>
          <w:b w:val="1"/>
          <w:sz w:val="28"/>
        </w:rPr>
        <w:t xml:space="preserve">ерспективные топливные балансы для каждого источника тепловой энергии по видам основного, резервного и аварийного топлива на каждом этапе </w:t>
      </w:r>
    </w:p>
    <w:p w14:paraId="D5030000">
      <w:pPr>
        <w:spacing w:line="240" w:lineRule="auto"/>
        <w:ind w:firstLine="709" w:left="0"/>
        <w:jc w:val="both"/>
        <w:rPr>
          <w:sz w:val="28"/>
        </w:rPr>
      </w:pPr>
      <w:r>
        <w:rPr>
          <w:sz w:val="28"/>
        </w:rPr>
        <w:t>Рост тепловой производительности по котельным не планируется. Резервное топливо на источниках тепла не предусматривае</w:t>
      </w:r>
      <w:r>
        <w:rPr>
          <w:sz w:val="28"/>
        </w:rPr>
        <w:t>тся.</w:t>
      </w:r>
    </w:p>
    <w:p w14:paraId="D6030000">
      <w:pPr>
        <w:spacing w:line="240" w:lineRule="auto"/>
        <w:ind w:firstLine="709" w:left="0"/>
        <w:jc w:val="both"/>
        <w:rPr>
          <w:sz w:val="28"/>
        </w:rPr>
      </w:pPr>
      <w:r>
        <w:rPr>
          <w:sz w:val="28"/>
        </w:rPr>
        <w:t>Таблица 10 Перспективный топливный баланс источников теплоты</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488"/>
        <w:gridCol w:w="1690"/>
        <w:gridCol w:w="1690"/>
        <w:gridCol w:w="1831"/>
        <w:gridCol w:w="938"/>
      </w:tblGrid>
      <w:tr>
        <w:trPr>
          <w:trHeight w:hRule="atLeast" w:val="416"/>
        </w:trPr>
        <w:tc>
          <w:tcPr>
            <w:tcW w:type="dxa" w:w="3488"/>
            <w:vMerge w:val="restart"/>
            <w:tcBorders>
              <w:top w:color="000000" w:sz="4" w:val="single"/>
              <w:left w:color="000000" w:sz="4" w:val="single"/>
              <w:bottom w:color="000000" w:sz="4" w:val="single"/>
              <w:right w:color="000000" w:sz="4" w:val="single"/>
            </w:tcBorders>
            <w:vAlign w:val="center"/>
          </w:tcPr>
          <w:p w14:paraId="D7030000">
            <w:pPr>
              <w:spacing w:after="0" w:line="240" w:lineRule="auto"/>
              <w:ind/>
              <w:jc w:val="center"/>
              <w:rPr>
                <w:sz w:val="20"/>
              </w:rPr>
            </w:pPr>
            <w:r>
              <w:rPr>
                <w:sz w:val="20"/>
              </w:rPr>
              <w:t>Адрес котельных</w:t>
            </w:r>
          </w:p>
        </w:tc>
        <w:tc>
          <w:tcPr>
            <w:tcW w:type="dxa" w:w="3380"/>
            <w:gridSpan w:val="2"/>
            <w:tcBorders>
              <w:top w:color="000000" w:sz="4" w:val="single"/>
              <w:left w:color="000000" w:sz="4" w:val="single"/>
              <w:bottom w:color="000000" w:sz="4" w:val="single"/>
              <w:right w:color="000000" w:sz="4" w:val="single"/>
            </w:tcBorders>
            <w:vAlign w:val="center"/>
          </w:tcPr>
          <w:p w14:paraId="D8030000">
            <w:pPr>
              <w:spacing w:after="0" w:line="240" w:lineRule="auto"/>
              <w:ind/>
              <w:jc w:val="center"/>
              <w:rPr>
                <w:sz w:val="20"/>
              </w:rPr>
            </w:pPr>
            <w:r>
              <w:rPr>
                <w:sz w:val="20"/>
              </w:rPr>
              <w:t xml:space="preserve">Существующий баланс основного </w:t>
            </w:r>
            <w:r>
              <w:rPr>
                <w:sz w:val="20"/>
              </w:rPr>
              <w:t>топлива</w:t>
            </w:r>
          </w:p>
          <w:p w14:paraId="D9030000">
            <w:pPr>
              <w:spacing w:after="0" w:line="240" w:lineRule="auto"/>
              <w:ind/>
              <w:jc w:val="center"/>
              <w:rPr>
                <w:sz w:val="20"/>
              </w:rPr>
            </w:pPr>
          </w:p>
        </w:tc>
        <w:tc>
          <w:tcPr>
            <w:tcW w:type="dxa" w:w="1831"/>
            <w:vMerge w:val="restart"/>
            <w:tcBorders>
              <w:top w:color="000000" w:sz="4" w:val="single"/>
              <w:left w:color="000000" w:sz="4" w:val="single"/>
              <w:bottom w:color="000000" w:sz="4" w:val="single"/>
              <w:right w:color="000000" w:sz="4" w:val="single"/>
            </w:tcBorders>
            <w:vAlign w:val="center"/>
          </w:tcPr>
          <w:p w14:paraId="DA030000">
            <w:pPr>
              <w:spacing w:after="0" w:line="240" w:lineRule="auto"/>
              <w:ind/>
              <w:jc w:val="center"/>
              <w:rPr>
                <w:sz w:val="20"/>
              </w:rPr>
            </w:pPr>
            <w:r>
              <w:rPr>
                <w:sz w:val="20"/>
              </w:rPr>
              <w:t xml:space="preserve">Удельный расход </w:t>
            </w:r>
            <w:r>
              <w:rPr>
                <w:sz w:val="20"/>
              </w:rPr>
              <w:t>условного топлива на производство тепловой энергии, кг. у. т./Гкал</w:t>
            </w:r>
          </w:p>
        </w:tc>
        <w:tc>
          <w:tcPr>
            <w:tcW w:type="dxa" w:w="938"/>
            <w:vMerge w:val="restart"/>
            <w:tcBorders>
              <w:top w:color="000000" w:sz="4" w:val="single"/>
              <w:left w:color="000000" w:sz="4" w:val="single"/>
              <w:bottom w:color="000000" w:sz="4" w:val="single"/>
              <w:right w:color="000000" w:sz="4" w:val="single"/>
            </w:tcBorders>
            <w:vAlign w:val="center"/>
          </w:tcPr>
          <w:p w14:paraId="DB030000">
            <w:pPr>
              <w:spacing w:after="0" w:line="240" w:lineRule="auto"/>
              <w:ind/>
              <w:jc w:val="center"/>
              <w:rPr>
                <w:sz w:val="20"/>
              </w:rPr>
            </w:pPr>
            <w:r>
              <w:rPr>
                <w:sz w:val="20"/>
              </w:rPr>
              <w:t>Резервн</w:t>
            </w:r>
            <w:r>
              <w:rPr>
                <w:sz w:val="20"/>
              </w:rPr>
              <w:t>ый вид</w:t>
            </w:r>
          </w:p>
          <w:p w14:paraId="DC030000">
            <w:pPr>
              <w:spacing w:after="0" w:line="240" w:lineRule="auto"/>
              <w:ind/>
              <w:jc w:val="center"/>
              <w:rPr>
                <w:sz w:val="20"/>
              </w:rPr>
            </w:pPr>
            <w:r>
              <w:rPr>
                <w:sz w:val="20"/>
              </w:rPr>
              <w:t>топлива</w:t>
            </w:r>
          </w:p>
        </w:tc>
      </w:tr>
      <w:tr>
        <w:trPr>
          <w:trHeight w:hRule="atLeast" w:val="707"/>
        </w:trPr>
        <w:tc>
          <w:tcPr>
            <w:tcW w:type="dxa" w:w="3488"/>
            <w:gridSpan w:val="1"/>
            <w:vMerge w:val="continue"/>
            <w:tcBorders>
              <w:top w:color="000000" w:sz="4" w:val="single"/>
              <w:left w:color="000000" w:sz="4" w:val="single"/>
              <w:bottom w:color="000000" w:sz="4" w:val="single"/>
              <w:right w:color="000000" w:sz="4" w:val="single"/>
            </w:tcBorders>
            <w:vAlign w:val="center"/>
          </w:tcPr>
          <w:p/>
        </w:tc>
        <w:tc>
          <w:tcPr>
            <w:tcW w:type="dxa" w:w="1690"/>
            <w:tcBorders>
              <w:top w:color="000000" w:sz="4" w:val="single"/>
              <w:left w:color="000000" w:sz="4" w:val="single"/>
              <w:bottom w:color="000000" w:sz="4" w:val="single"/>
              <w:right w:color="000000" w:sz="4" w:val="single"/>
            </w:tcBorders>
            <w:vAlign w:val="center"/>
          </w:tcPr>
          <w:p w14:paraId="DD030000">
            <w:pPr>
              <w:spacing w:after="0" w:line="240" w:lineRule="auto"/>
              <w:ind/>
              <w:jc w:val="center"/>
              <w:rPr>
                <w:sz w:val="20"/>
              </w:rPr>
            </w:pPr>
            <w:r>
              <w:rPr>
                <w:sz w:val="20"/>
              </w:rPr>
              <w:t>*Среднечасовой  расход, м</w:t>
            </w:r>
            <w:r>
              <w:rPr>
                <w:sz w:val="20"/>
                <w:vertAlign w:val="superscript"/>
              </w:rPr>
              <w:t>3</w:t>
            </w:r>
            <w:r>
              <w:rPr>
                <w:sz w:val="20"/>
              </w:rPr>
              <w:t xml:space="preserve"> /час</w:t>
            </w:r>
          </w:p>
          <w:p w14:paraId="DE030000">
            <w:pPr>
              <w:spacing w:after="0" w:line="240" w:lineRule="auto"/>
              <w:ind/>
              <w:jc w:val="center"/>
              <w:rPr>
                <w:sz w:val="20"/>
              </w:rPr>
            </w:pPr>
          </w:p>
        </w:tc>
        <w:tc>
          <w:tcPr>
            <w:tcW w:type="dxa" w:w="1690"/>
            <w:tcBorders>
              <w:top w:color="000000" w:sz="4" w:val="single"/>
              <w:left w:color="000000" w:sz="4" w:val="single"/>
              <w:bottom w:color="000000" w:sz="4" w:val="single"/>
              <w:right w:color="000000" w:sz="4" w:val="single"/>
            </w:tcBorders>
            <w:vAlign w:val="center"/>
          </w:tcPr>
          <w:p w14:paraId="DF030000">
            <w:pPr>
              <w:spacing w:after="0" w:line="240" w:lineRule="auto"/>
              <w:ind/>
              <w:jc w:val="center"/>
              <w:rPr>
                <w:sz w:val="20"/>
              </w:rPr>
            </w:pPr>
            <w:r>
              <w:rPr>
                <w:sz w:val="20"/>
              </w:rPr>
              <w:t>Среднегодовой расход топлива,               тыс. м</w:t>
            </w:r>
            <w:r>
              <w:rPr>
                <w:sz w:val="20"/>
                <w:vertAlign w:val="superscript"/>
              </w:rPr>
              <w:t>3</w:t>
            </w:r>
            <w:r>
              <w:rPr>
                <w:sz w:val="20"/>
              </w:rPr>
              <w:t xml:space="preserve"> /год</w:t>
            </w:r>
          </w:p>
        </w:tc>
        <w:tc>
          <w:tcPr>
            <w:tcW w:type="dxa" w:w="1831"/>
            <w:gridSpan w:val="1"/>
            <w:vMerge w:val="continue"/>
            <w:tcBorders>
              <w:top w:color="000000" w:sz="4" w:val="single"/>
              <w:left w:color="000000" w:sz="4" w:val="single"/>
              <w:bottom w:color="000000" w:sz="4" w:val="single"/>
              <w:right w:color="000000" w:sz="4" w:val="single"/>
            </w:tcBorders>
            <w:vAlign w:val="center"/>
          </w:tcPr>
          <w:p/>
        </w:tc>
        <w:tc>
          <w:tcPr>
            <w:tcW w:type="dxa" w:w="938"/>
            <w:gridSpan w:val="1"/>
            <w:vMerge w:val="continue"/>
            <w:tcBorders>
              <w:top w:color="000000" w:sz="4" w:val="single"/>
              <w:left w:color="000000" w:sz="4" w:val="single"/>
              <w:bottom w:color="000000" w:sz="4" w:val="single"/>
              <w:right w:color="000000" w:sz="4" w:val="single"/>
            </w:tcBorders>
            <w:vAlign w:val="center"/>
          </w:tcPr>
          <w:p/>
        </w:tc>
      </w:tr>
      <w:tr>
        <w:trPr>
          <w:trHeight w:hRule="atLeast" w:val="287"/>
        </w:trPr>
        <w:tc>
          <w:tcPr>
            <w:tcW w:type="dxa" w:w="3488"/>
            <w:tcBorders>
              <w:top w:color="000000" w:sz="4" w:val="single"/>
              <w:left w:color="000000" w:sz="4" w:val="single"/>
              <w:bottom w:color="000000" w:sz="4" w:val="single"/>
              <w:right w:color="000000" w:sz="4" w:val="single"/>
            </w:tcBorders>
            <w:vAlign w:val="center"/>
          </w:tcPr>
          <w:p w14:paraId="E0030000">
            <w:pPr>
              <w:ind/>
              <w:jc w:val="center"/>
              <w:rPr>
                <w:sz w:val="20"/>
              </w:rPr>
            </w:pPr>
            <w:r>
              <w:rPr>
                <w:sz w:val="20"/>
              </w:rPr>
              <w:t>с. Куйбышево, ул. Пролетарская, 7</w:t>
            </w:r>
          </w:p>
        </w:tc>
        <w:tc>
          <w:tcPr>
            <w:tcW w:type="dxa" w:w="1690"/>
            <w:tcBorders>
              <w:top w:color="000000" w:sz="4" w:val="single"/>
              <w:left w:color="000000" w:sz="4" w:val="single"/>
              <w:bottom w:color="000000" w:sz="4" w:val="single"/>
              <w:right w:color="000000" w:sz="4" w:val="single"/>
            </w:tcBorders>
            <w:vAlign w:val="center"/>
          </w:tcPr>
          <w:p w14:paraId="E1030000">
            <w:pPr>
              <w:spacing w:after="0" w:line="240" w:lineRule="auto"/>
              <w:ind/>
              <w:jc w:val="center"/>
              <w:rPr>
                <w:sz w:val="20"/>
              </w:rPr>
            </w:pPr>
            <w:r>
              <w:rPr>
                <w:sz w:val="20"/>
              </w:rPr>
              <w:t>62,697</w:t>
            </w:r>
          </w:p>
        </w:tc>
        <w:tc>
          <w:tcPr>
            <w:tcW w:type="dxa" w:w="1690"/>
            <w:tcBorders>
              <w:top w:color="000000" w:sz="4" w:val="single"/>
              <w:left w:color="000000" w:sz="4" w:val="single"/>
              <w:bottom w:color="000000" w:sz="4" w:val="single"/>
              <w:right w:color="000000" w:sz="4" w:val="single"/>
            </w:tcBorders>
            <w:vAlign w:val="center"/>
          </w:tcPr>
          <w:p w14:paraId="E2030000">
            <w:pPr>
              <w:spacing w:after="0" w:line="240" w:lineRule="auto"/>
              <w:ind/>
              <w:jc w:val="center"/>
              <w:rPr>
                <w:sz w:val="20"/>
              </w:rPr>
            </w:pPr>
            <w:r>
              <w:rPr>
                <w:sz w:val="20"/>
              </w:rPr>
              <w:t>319,0</w:t>
            </w:r>
          </w:p>
        </w:tc>
        <w:tc>
          <w:tcPr>
            <w:tcW w:type="dxa" w:w="1831"/>
            <w:tcBorders>
              <w:top w:color="000000" w:sz="4" w:val="single"/>
              <w:left w:color="000000" w:sz="4" w:val="single"/>
              <w:bottom w:color="000000" w:sz="4" w:val="single"/>
              <w:right w:color="000000" w:sz="4" w:val="single"/>
            </w:tcBorders>
            <w:vAlign w:val="center"/>
          </w:tcPr>
          <w:p w14:paraId="E3030000">
            <w:pPr>
              <w:ind/>
              <w:jc w:val="center"/>
              <w:rPr>
                <w:sz w:val="20"/>
              </w:rPr>
            </w:pPr>
            <w:r>
              <w:rPr>
                <w:sz w:val="20"/>
              </w:rPr>
              <w:t>200,2</w:t>
            </w:r>
          </w:p>
        </w:tc>
        <w:tc>
          <w:tcPr>
            <w:tcW w:type="dxa" w:w="938"/>
            <w:tcBorders>
              <w:top w:color="000000" w:sz="4" w:val="single"/>
              <w:left w:color="000000" w:sz="4" w:val="single"/>
              <w:bottom w:color="000000" w:sz="4" w:val="single"/>
              <w:right w:color="000000" w:sz="4" w:val="single"/>
            </w:tcBorders>
            <w:vAlign w:val="center"/>
          </w:tcPr>
          <w:p w14:paraId="E4030000">
            <w:pPr>
              <w:spacing w:after="0" w:line="240" w:lineRule="auto"/>
              <w:ind/>
              <w:jc w:val="center"/>
              <w:rPr>
                <w:sz w:val="20"/>
              </w:rPr>
            </w:pPr>
            <w:r>
              <w:rPr>
                <w:sz w:val="20"/>
              </w:rPr>
              <w:t>-</w:t>
            </w:r>
          </w:p>
        </w:tc>
      </w:tr>
      <w:tr>
        <w:trPr>
          <w:trHeight w:hRule="atLeast" w:val="211"/>
        </w:trPr>
        <w:tc>
          <w:tcPr>
            <w:tcW w:type="dxa" w:w="3488"/>
            <w:tcBorders>
              <w:top w:color="000000" w:sz="4" w:val="single"/>
              <w:left w:color="000000" w:sz="4" w:val="single"/>
              <w:bottom w:color="000000" w:sz="4" w:val="single"/>
              <w:right w:color="000000" w:sz="4" w:val="single"/>
            </w:tcBorders>
            <w:vAlign w:val="center"/>
          </w:tcPr>
          <w:p w14:paraId="E5030000">
            <w:pPr>
              <w:ind/>
              <w:jc w:val="center"/>
              <w:rPr>
                <w:sz w:val="20"/>
              </w:rPr>
            </w:pPr>
            <w:r>
              <w:rPr>
                <w:sz w:val="20"/>
              </w:rPr>
              <w:t>с. Русское, ул. Красноармейская,8-а</w:t>
            </w:r>
          </w:p>
        </w:tc>
        <w:tc>
          <w:tcPr>
            <w:tcW w:type="dxa" w:w="1690"/>
            <w:tcBorders>
              <w:top w:color="000000" w:sz="4" w:val="single"/>
              <w:left w:color="000000" w:sz="4" w:val="single"/>
              <w:bottom w:color="000000" w:sz="4" w:val="single"/>
              <w:right w:color="000000" w:sz="4" w:val="single"/>
            </w:tcBorders>
            <w:vAlign w:val="center"/>
          </w:tcPr>
          <w:p w14:paraId="E6030000">
            <w:pPr>
              <w:spacing w:after="0" w:line="240" w:lineRule="auto"/>
              <w:ind/>
              <w:jc w:val="center"/>
              <w:rPr>
                <w:sz w:val="20"/>
              </w:rPr>
            </w:pPr>
            <w:r>
              <w:rPr>
                <w:sz w:val="20"/>
              </w:rPr>
              <w:t>9,434</w:t>
            </w:r>
          </w:p>
        </w:tc>
        <w:tc>
          <w:tcPr>
            <w:tcW w:type="dxa" w:w="1690"/>
            <w:tcBorders>
              <w:top w:color="000000" w:sz="4" w:val="single"/>
              <w:left w:color="000000" w:sz="4" w:val="single"/>
              <w:bottom w:color="000000" w:sz="4" w:val="single"/>
              <w:right w:color="000000" w:sz="4" w:val="single"/>
            </w:tcBorders>
            <w:vAlign w:val="center"/>
          </w:tcPr>
          <w:p w14:paraId="E7030000">
            <w:pPr>
              <w:spacing w:after="0" w:line="240" w:lineRule="auto"/>
              <w:ind/>
              <w:jc w:val="center"/>
              <w:rPr>
                <w:sz w:val="20"/>
              </w:rPr>
            </w:pPr>
            <w:r>
              <w:rPr>
                <w:sz w:val="20"/>
              </w:rPr>
              <w:t>48,000</w:t>
            </w:r>
          </w:p>
        </w:tc>
        <w:tc>
          <w:tcPr>
            <w:tcW w:type="dxa" w:w="1831"/>
            <w:tcBorders>
              <w:top w:color="000000" w:sz="4" w:val="single"/>
              <w:left w:color="000000" w:sz="4" w:val="single"/>
              <w:bottom w:color="000000" w:sz="4" w:val="single"/>
              <w:right w:color="000000" w:sz="4" w:val="single"/>
            </w:tcBorders>
            <w:vAlign w:val="center"/>
          </w:tcPr>
          <w:p w14:paraId="E8030000">
            <w:pPr>
              <w:ind/>
              <w:jc w:val="center"/>
              <w:rPr>
                <w:sz w:val="20"/>
              </w:rPr>
            </w:pPr>
            <w:r>
              <w:rPr>
                <w:sz w:val="20"/>
              </w:rPr>
              <w:t>160,6</w:t>
            </w:r>
          </w:p>
        </w:tc>
        <w:tc>
          <w:tcPr>
            <w:tcW w:type="dxa" w:w="938"/>
            <w:tcBorders>
              <w:top w:color="000000" w:sz="4" w:val="single"/>
              <w:left w:color="000000" w:sz="4" w:val="single"/>
              <w:bottom w:color="000000" w:sz="4" w:val="single"/>
              <w:right w:color="000000" w:sz="4" w:val="single"/>
            </w:tcBorders>
            <w:vAlign w:val="center"/>
          </w:tcPr>
          <w:p w14:paraId="E9030000">
            <w:pPr>
              <w:spacing w:after="0" w:line="240" w:lineRule="auto"/>
              <w:ind/>
              <w:jc w:val="center"/>
              <w:rPr>
                <w:sz w:val="20"/>
              </w:rPr>
            </w:pPr>
            <w:r>
              <w:rPr>
                <w:sz w:val="20"/>
              </w:rPr>
              <w:t>-</w:t>
            </w:r>
          </w:p>
        </w:tc>
      </w:tr>
      <w:tr>
        <w:trPr>
          <w:trHeight w:hRule="atLeast" w:val="456"/>
        </w:trPr>
        <w:tc>
          <w:tcPr>
            <w:tcW w:type="dxa" w:w="3488"/>
            <w:tcBorders>
              <w:top w:color="000000" w:sz="4" w:val="single"/>
              <w:left w:color="000000" w:sz="4" w:val="single"/>
              <w:bottom w:color="000000" w:sz="4" w:val="single"/>
              <w:right w:color="000000" w:sz="4" w:val="single"/>
            </w:tcBorders>
            <w:vAlign w:val="center"/>
          </w:tcPr>
          <w:p w14:paraId="EA030000">
            <w:pPr>
              <w:ind/>
              <w:jc w:val="center"/>
              <w:rPr>
                <w:sz w:val="20"/>
              </w:rPr>
            </w:pPr>
            <w:r>
              <w:rPr>
                <w:sz w:val="20"/>
              </w:rPr>
              <w:t>с. Русское, ул. Героя Советского Союза М. П. Алексеева, 8</w:t>
            </w:r>
          </w:p>
        </w:tc>
        <w:tc>
          <w:tcPr>
            <w:tcW w:type="dxa" w:w="1690"/>
            <w:tcBorders>
              <w:top w:sz="4" w:val="nil"/>
              <w:left w:color="000000" w:sz="4" w:val="single"/>
              <w:bottom w:color="000000" w:sz="4" w:val="single"/>
              <w:right w:color="000000" w:sz="4" w:val="single"/>
            </w:tcBorders>
            <w:vAlign w:val="center"/>
          </w:tcPr>
          <w:p w14:paraId="EB030000">
            <w:pPr>
              <w:spacing w:after="0" w:line="240" w:lineRule="auto"/>
              <w:ind/>
              <w:jc w:val="center"/>
              <w:rPr>
                <w:sz w:val="20"/>
              </w:rPr>
            </w:pPr>
            <w:r>
              <w:rPr>
                <w:sz w:val="20"/>
              </w:rPr>
              <w:t>2,496</w:t>
            </w:r>
          </w:p>
        </w:tc>
        <w:tc>
          <w:tcPr>
            <w:tcW w:type="dxa" w:w="1690"/>
            <w:tcBorders>
              <w:top w:sz="4" w:val="nil"/>
              <w:left w:color="000000" w:sz="4" w:val="single"/>
              <w:bottom w:color="000000" w:sz="4" w:val="single"/>
              <w:right w:color="000000" w:sz="4" w:val="single"/>
            </w:tcBorders>
            <w:vAlign w:val="center"/>
          </w:tcPr>
          <w:p w14:paraId="EC030000">
            <w:pPr>
              <w:spacing w:after="0" w:line="240" w:lineRule="auto"/>
              <w:ind/>
              <w:jc w:val="center"/>
              <w:rPr>
                <w:sz w:val="20"/>
              </w:rPr>
            </w:pPr>
            <w:r>
              <w:rPr>
                <w:sz w:val="20"/>
              </w:rPr>
              <w:t>12,700</w:t>
            </w:r>
          </w:p>
        </w:tc>
        <w:tc>
          <w:tcPr>
            <w:tcW w:type="dxa" w:w="1831"/>
            <w:tcBorders>
              <w:top w:sz="4" w:val="nil"/>
              <w:left w:color="000000" w:sz="4" w:val="single"/>
              <w:bottom w:color="000000" w:sz="4" w:val="single"/>
              <w:right w:color="000000" w:sz="4" w:val="single"/>
            </w:tcBorders>
            <w:vAlign w:val="center"/>
          </w:tcPr>
          <w:p w14:paraId="ED030000">
            <w:pPr>
              <w:ind/>
              <w:jc w:val="center"/>
              <w:rPr>
                <w:sz w:val="20"/>
              </w:rPr>
            </w:pPr>
            <w:r>
              <w:rPr>
                <w:sz w:val="20"/>
              </w:rPr>
              <w:t>167</w:t>
            </w:r>
          </w:p>
        </w:tc>
        <w:tc>
          <w:tcPr>
            <w:tcW w:type="dxa" w:w="938"/>
            <w:tcBorders>
              <w:top w:color="000000" w:sz="4" w:val="single"/>
              <w:left w:color="000000" w:sz="4" w:val="single"/>
              <w:bottom w:color="000000" w:sz="4" w:val="single"/>
              <w:right w:color="000000" w:sz="4" w:val="single"/>
            </w:tcBorders>
            <w:vAlign w:val="center"/>
          </w:tcPr>
          <w:p w14:paraId="EE030000">
            <w:pPr>
              <w:spacing w:after="0" w:line="240" w:lineRule="auto"/>
              <w:ind/>
              <w:jc w:val="center"/>
              <w:rPr>
                <w:sz w:val="20"/>
              </w:rPr>
            </w:pPr>
            <w:r>
              <w:rPr>
                <w:sz w:val="20"/>
              </w:rPr>
              <w:t>-</w:t>
            </w:r>
          </w:p>
        </w:tc>
      </w:tr>
      <w:tr>
        <w:trPr>
          <w:trHeight w:hRule="atLeast" w:val="315"/>
        </w:trPr>
        <w:tc>
          <w:tcPr>
            <w:tcW w:type="dxa" w:w="3488"/>
            <w:tcBorders>
              <w:top w:color="000000" w:sz="4" w:val="single"/>
              <w:left w:color="000000" w:sz="4" w:val="single"/>
              <w:bottom w:color="000000" w:sz="4" w:val="single"/>
              <w:right w:color="000000" w:sz="4" w:val="single"/>
            </w:tcBorders>
            <w:vAlign w:val="center"/>
          </w:tcPr>
          <w:p w14:paraId="EF030000">
            <w:pPr>
              <w:ind/>
              <w:jc w:val="center"/>
              <w:rPr>
                <w:sz w:val="20"/>
              </w:rPr>
            </w:pPr>
            <w:r>
              <w:rPr>
                <w:sz w:val="20"/>
              </w:rPr>
              <w:t>с. Куйбышево, ул. Театральная, 72</w:t>
            </w:r>
          </w:p>
        </w:tc>
        <w:tc>
          <w:tcPr>
            <w:tcW w:type="dxa" w:w="1690"/>
            <w:tcBorders>
              <w:top w:sz="4" w:val="nil"/>
              <w:left w:color="000000" w:sz="4" w:val="single"/>
              <w:bottom w:color="000000" w:sz="4" w:val="single"/>
              <w:right w:color="000000" w:sz="4" w:val="single"/>
            </w:tcBorders>
            <w:vAlign w:val="center"/>
          </w:tcPr>
          <w:p w14:paraId="F0030000">
            <w:pPr>
              <w:spacing w:after="0" w:line="240" w:lineRule="auto"/>
              <w:ind/>
              <w:jc w:val="center"/>
              <w:rPr>
                <w:sz w:val="20"/>
              </w:rPr>
            </w:pPr>
            <w:r>
              <w:rPr>
                <w:sz w:val="20"/>
              </w:rPr>
              <w:t>5,601</w:t>
            </w:r>
          </w:p>
        </w:tc>
        <w:tc>
          <w:tcPr>
            <w:tcW w:type="dxa" w:w="1690"/>
            <w:tcBorders>
              <w:top w:sz="4" w:val="nil"/>
              <w:left w:color="000000" w:sz="4" w:val="single"/>
              <w:bottom w:color="000000" w:sz="4" w:val="single"/>
              <w:right w:color="000000" w:sz="4" w:val="single"/>
            </w:tcBorders>
            <w:vAlign w:val="center"/>
          </w:tcPr>
          <w:p w14:paraId="F1030000">
            <w:pPr>
              <w:spacing w:after="0" w:line="240" w:lineRule="auto"/>
              <w:ind/>
              <w:jc w:val="center"/>
              <w:rPr>
                <w:sz w:val="20"/>
              </w:rPr>
            </w:pPr>
            <w:r>
              <w:rPr>
                <w:sz w:val="20"/>
              </w:rPr>
              <w:t>28,500</w:t>
            </w:r>
          </w:p>
        </w:tc>
        <w:tc>
          <w:tcPr>
            <w:tcW w:type="dxa" w:w="1831"/>
            <w:tcBorders>
              <w:top w:sz="4" w:val="nil"/>
              <w:left w:color="000000" w:sz="4" w:val="single"/>
              <w:bottom w:color="000000" w:sz="4" w:val="single"/>
              <w:right w:color="000000" w:sz="4" w:val="single"/>
            </w:tcBorders>
            <w:vAlign w:val="center"/>
          </w:tcPr>
          <w:p w14:paraId="F2030000">
            <w:pPr>
              <w:ind/>
              <w:jc w:val="center"/>
              <w:rPr>
                <w:sz w:val="20"/>
              </w:rPr>
            </w:pPr>
            <w:r>
              <w:rPr>
                <w:sz w:val="20"/>
              </w:rPr>
              <w:t>215,2</w:t>
            </w:r>
          </w:p>
        </w:tc>
        <w:tc>
          <w:tcPr>
            <w:tcW w:type="dxa" w:w="938"/>
            <w:tcBorders>
              <w:top w:color="000000" w:sz="4" w:val="single"/>
              <w:left w:color="000000" w:sz="4" w:val="single"/>
              <w:bottom w:color="000000" w:sz="4" w:val="single"/>
              <w:right w:color="000000" w:sz="4" w:val="single"/>
            </w:tcBorders>
            <w:vAlign w:val="center"/>
          </w:tcPr>
          <w:p w14:paraId="F3030000">
            <w:pPr>
              <w:spacing w:after="0" w:line="240" w:lineRule="auto"/>
              <w:ind/>
              <w:jc w:val="center"/>
              <w:rPr>
                <w:sz w:val="20"/>
              </w:rPr>
            </w:pPr>
            <w:r>
              <w:rPr>
                <w:sz w:val="20"/>
              </w:rPr>
              <w:t>-</w:t>
            </w:r>
          </w:p>
        </w:tc>
      </w:tr>
      <w:tr>
        <w:trPr>
          <w:trHeight w:hRule="atLeast" w:val="277"/>
        </w:trPr>
        <w:tc>
          <w:tcPr>
            <w:tcW w:type="dxa" w:w="3488"/>
            <w:tcBorders>
              <w:top w:color="000000" w:sz="4" w:val="single"/>
              <w:left w:color="000000" w:sz="4" w:val="single"/>
              <w:bottom w:color="000000" w:sz="4" w:val="single"/>
              <w:right w:color="000000" w:sz="4" w:val="single"/>
            </w:tcBorders>
            <w:vAlign w:val="center"/>
          </w:tcPr>
          <w:p w14:paraId="F4030000">
            <w:pPr>
              <w:ind/>
              <w:jc w:val="center"/>
              <w:rPr>
                <w:sz w:val="20"/>
              </w:rPr>
            </w:pPr>
            <w:r>
              <w:rPr>
                <w:sz w:val="20"/>
              </w:rPr>
              <w:t>с. Куйбышево, ул. Пролетарская, 2 а</w:t>
            </w:r>
          </w:p>
        </w:tc>
        <w:tc>
          <w:tcPr>
            <w:tcW w:type="dxa" w:w="1690"/>
            <w:tcBorders>
              <w:top w:sz="4" w:val="nil"/>
              <w:left w:color="000000" w:sz="4" w:val="single"/>
              <w:bottom w:color="000000" w:sz="4" w:val="single"/>
              <w:right w:color="000000" w:sz="4" w:val="single"/>
            </w:tcBorders>
            <w:vAlign w:val="center"/>
          </w:tcPr>
          <w:p w14:paraId="F5030000">
            <w:pPr>
              <w:spacing w:after="0" w:line="240" w:lineRule="auto"/>
              <w:ind/>
              <w:jc w:val="center"/>
              <w:rPr>
                <w:sz w:val="20"/>
              </w:rPr>
            </w:pPr>
            <w:r>
              <w:rPr>
                <w:sz w:val="20"/>
              </w:rPr>
              <w:t>6,682</w:t>
            </w:r>
          </w:p>
        </w:tc>
        <w:tc>
          <w:tcPr>
            <w:tcW w:type="dxa" w:w="1690"/>
            <w:tcBorders>
              <w:top w:sz="4" w:val="nil"/>
              <w:left w:color="000000" w:sz="4" w:val="single"/>
              <w:bottom w:color="000000" w:sz="4" w:val="single"/>
              <w:right w:color="000000" w:sz="4" w:val="single"/>
            </w:tcBorders>
            <w:vAlign w:val="center"/>
          </w:tcPr>
          <w:p w14:paraId="F6030000">
            <w:pPr>
              <w:spacing w:after="0" w:line="240" w:lineRule="auto"/>
              <w:ind/>
              <w:jc w:val="center"/>
              <w:rPr>
                <w:sz w:val="20"/>
              </w:rPr>
            </w:pPr>
            <w:r>
              <w:rPr>
                <w:sz w:val="20"/>
              </w:rPr>
              <w:t>34,000</w:t>
            </w:r>
          </w:p>
        </w:tc>
        <w:tc>
          <w:tcPr>
            <w:tcW w:type="dxa" w:w="1831"/>
            <w:tcBorders>
              <w:top w:sz="4" w:val="nil"/>
              <w:left w:color="000000" w:sz="4" w:val="single"/>
              <w:bottom w:color="000000" w:sz="4" w:val="single"/>
              <w:right w:color="000000" w:sz="4" w:val="single"/>
            </w:tcBorders>
            <w:vAlign w:val="center"/>
          </w:tcPr>
          <w:p w14:paraId="F7030000">
            <w:pPr>
              <w:ind/>
              <w:jc w:val="center"/>
              <w:rPr>
                <w:sz w:val="20"/>
              </w:rPr>
            </w:pPr>
            <w:r>
              <w:rPr>
                <w:sz w:val="20"/>
              </w:rPr>
              <w:t>176,48</w:t>
            </w:r>
          </w:p>
        </w:tc>
        <w:tc>
          <w:tcPr>
            <w:tcW w:type="dxa" w:w="938"/>
            <w:tcBorders>
              <w:top w:color="000000" w:sz="4" w:val="single"/>
              <w:left w:color="000000" w:sz="4" w:val="single"/>
              <w:bottom w:color="000000" w:sz="4" w:val="single"/>
              <w:right w:color="000000" w:sz="4" w:val="single"/>
            </w:tcBorders>
            <w:vAlign w:val="center"/>
          </w:tcPr>
          <w:p w14:paraId="F8030000">
            <w:pPr>
              <w:spacing w:after="0" w:line="240" w:lineRule="auto"/>
              <w:ind/>
              <w:jc w:val="center"/>
              <w:rPr>
                <w:sz w:val="20"/>
              </w:rPr>
            </w:pPr>
            <w:r>
              <w:rPr>
                <w:sz w:val="20"/>
              </w:rPr>
              <w:t>-</w:t>
            </w:r>
          </w:p>
        </w:tc>
      </w:tr>
      <w:tr>
        <w:trPr>
          <w:trHeight w:hRule="atLeast" w:val="277"/>
        </w:trPr>
        <w:tc>
          <w:tcPr>
            <w:tcW w:type="dxa" w:w="3488"/>
            <w:tcBorders>
              <w:top w:color="000000" w:sz="4" w:val="single"/>
              <w:left w:color="000000" w:sz="4" w:val="single"/>
              <w:bottom w:color="000000" w:sz="4" w:val="single"/>
              <w:right w:color="000000" w:sz="4" w:val="single"/>
            </w:tcBorders>
            <w:vAlign w:val="center"/>
          </w:tcPr>
          <w:p w14:paraId="F9030000">
            <w:pPr>
              <w:ind/>
              <w:jc w:val="center"/>
              <w:rPr>
                <w:sz w:val="20"/>
              </w:rPr>
            </w:pPr>
            <w:r>
              <w:rPr>
                <w:sz w:val="20"/>
              </w:rPr>
              <w:t>с. Куйбышево, ул. Кузьменко, 3 а</w:t>
            </w:r>
          </w:p>
        </w:tc>
        <w:tc>
          <w:tcPr>
            <w:tcW w:type="dxa" w:w="1690"/>
            <w:tcBorders>
              <w:top w:sz="4" w:val="nil"/>
              <w:left w:color="000000" w:sz="4" w:val="single"/>
              <w:bottom w:color="000000" w:sz="4" w:val="single"/>
              <w:right w:color="000000" w:sz="4" w:val="single"/>
            </w:tcBorders>
            <w:vAlign w:val="center"/>
          </w:tcPr>
          <w:p w14:paraId="FA030000">
            <w:pPr>
              <w:spacing w:after="0" w:line="240" w:lineRule="auto"/>
              <w:ind/>
              <w:jc w:val="center"/>
              <w:rPr>
                <w:sz w:val="20"/>
              </w:rPr>
            </w:pPr>
            <w:r>
              <w:rPr>
                <w:sz w:val="20"/>
              </w:rPr>
              <w:t>10,417</w:t>
            </w:r>
          </w:p>
        </w:tc>
        <w:tc>
          <w:tcPr>
            <w:tcW w:type="dxa" w:w="1690"/>
            <w:tcBorders>
              <w:top w:sz="4" w:val="nil"/>
              <w:left w:color="000000" w:sz="4" w:val="single"/>
              <w:bottom w:color="000000" w:sz="4" w:val="single"/>
              <w:right w:color="000000" w:sz="4" w:val="single"/>
            </w:tcBorders>
            <w:vAlign w:val="center"/>
          </w:tcPr>
          <w:p w14:paraId="FB030000">
            <w:pPr>
              <w:spacing w:after="0" w:line="240" w:lineRule="auto"/>
              <w:ind/>
              <w:jc w:val="center"/>
              <w:rPr>
                <w:sz w:val="20"/>
              </w:rPr>
            </w:pPr>
            <w:r>
              <w:rPr>
                <w:sz w:val="20"/>
              </w:rPr>
              <w:t>53,000</w:t>
            </w:r>
          </w:p>
        </w:tc>
        <w:tc>
          <w:tcPr>
            <w:tcW w:type="dxa" w:w="1831"/>
            <w:tcBorders>
              <w:top w:sz="4" w:val="nil"/>
              <w:left w:color="000000" w:sz="4" w:val="single"/>
              <w:bottom w:color="000000" w:sz="4" w:val="single"/>
              <w:right w:color="000000" w:sz="4" w:val="single"/>
            </w:tcBorders>
            <w:vAlign w:val="center"/>
          </w:tcPr>
          <w:p w14:paraId="FC030000">
            <w:pPr>
              <w:ind/>
              <w:jc w:val="center"/>
              <w:rPr>
                <w:sz w:val="20"/>
              </w:rPr>
            </w:pPr>
            <w:r>
              <w:rPr>
                <w:sz w:val="20"/>
              </w:rPr>
              <w:t>186</w:t>
            </w:r>
          </w:p>
        </w:tc>
        <w:tc>
          <w:tcPr>
            <w:tcW w:type="dxa" w:w="938"/>
            <w:tcBorders>
              <w:top w:color="000000" w:sz="4" w:val="single"/>
              <w:left w:color="000000" w:sz="4" w:val="single"/>
              <w:bottom w:color="000000" w:sz="4" w:val="single"/>
              <w:right w:color="000000" w:sz="4" w:val="single"/>
            </w:tcBorders>
            <w:vAlign w:val="center"/>
          </w:tcPr>
          <w:p w14:paraId="FD030000">
            <w:pPr>
              <w:spacing w:after="0" w:line="240" w:lineRule="auto"/>
              <w:ind/>
              <w:jc w:val="center"/>
              <w:rPr>
                <w:sz w:val="20"/>
              </w:rPr>
            </w:pPr>
            <w:r>
              <w:rPr>
                <w:sz w:val="20"/>
              </w:rPr>
              <w:t>-</w:t>
            </w:r>
          </w:p>
        </w:tc>
      </w:tr>
      <w:tr>
        <w:trPr>
          <w:trHeight w:hRule="atLeast" w:val="277"/>
        </w:trPr>
        <w:tc>
          <w:tcPr>
            <w:tcW w:type="dxa" w:w="3488"/>
            <w:tcBorders>
              <w:top w:color="000000" w:sz="4" w:val="single"/>
              <w:left w:color="000000" w:sz="4" w:val="single"/>
              <w:bottom w:color="000000" w:sz="4" w:val="single"/>
              <w:right w:color="000000" w:sz="4" w:val="single"/>
            </w:tcBorders>
            <w:vAlign w:val="center"/>
          </w:tcPr>
          <w:p w14:paraId="FE030000">
            <w:pPr>
              <w:ind/>
              <w:jc w:val="center"/>
              <w:rPr>
                <w:sz w:val="20"/>
              </w:rPr>
            </w:pPr>
            <w:r>
              <w:rPr>
                <w:sz w:val="20"/>
              </w:rPr>
              <w:t>х. Свободный, ул. Молодёжная, 8</w:t>
            </w:r>
          </w:p>
        </w:tc>
        <w:tc>
          <w:tcPr>
            <w:tcW w:type="dxa" w:w="1690"/>
            <w:tcBorders>
              <w:top w:sz="4" w:val="nil"/>
              <w:left w:color="000000" w:sz="4" w:val="single"/>
              <w:bottom w:color="000000" w:sz="4" w:val="single"/>
              <w:right w:color="000000" w:sz="4" w:val="single"/>
            </w:tcBorders>
            <w:vAlign w:val="center"/>
          </w:tcPr>
          <w:p w14:paraId="FF030000">
            <w:pPr>
              <w:spacing w:after="0" w:line="240" w:lineRule="auto"/>
              <w:ind/>
              <w:jc w:val="center"/>
              <w:rPr>
                <w:sz w:val="20"/>
              </w:rPr>
            </w:pPr>
            <w:r>
              <w:rPr>
                <w:sz w:val="20"/>
              </w:rPr>
              <w:t>4,501</w:t>
            </w:r>
          </w:p>
        </w:tc>
        <w:tc>
          <w:tcPr>
            <w:tcW w:type="dxa" w:w="1690"/>
            <w:tcBorders>
              <w:top w:sz="4" w:val="nil"/>
              <w:left w:color="000000" w:sz="4" w:val="single"/>
              <w:bottom w:color="000000" w:sz="4" w:val="single"/>
              <w:right w:color="000000" w:sz="4" w:val="single"/>
            </w:tcBorders>
            <w:vAlign w:val="center"/>
          </w:tcPr>
          <w:p w14:paraId="00040000">
            <w:pPr>
              <w:spacing w:after="0" w:line="240" w:lineRule="auto"/>
              <w:ind/>
              <w:jc w:val="center"/>
              <w:rPr>
                <w:sz w:val="20"/>
              </w:rPr>
            </w:pPr>
            <w:r>
              <w:rPr>
                <w:sz w:val="20"/>
              </w:rPr>
              <w:t>22,900</w:t>
            </w:r>
          </w:p>
        </w:tc>
        <w:tc>
          <w:tcPr>
            <w:tcW w:type="dxa" w:w="1831"/>
            <w:tcBorders>
              <w:top w:sz="4" w:val="nil"/>
              <w:left w:color="000000" w:sz="4" w:val="single"/>
              <w:bottom w:color="000000" w:sz="4" w:val="single"/>
              <w:right w:color="000000" w:sz="4" w:val="single"/>
            </w:tcBorders>
            <w:vAlign w:val="center"/>
          </w:tcPr>
          <w:p w14:paraId="01040000">
            <w:pPr>
              <w:ind/>
              <w:jc w:val="center"/>
              <w:rPr>
                <w:sz w:val="20"/>
              </w:rPr>
            </w:pPr>
            <w:r>
              <w:rPr>
                <w:sz w:val="20"/>
              </w:rPr>
              <w:t>206,38</w:t>
            </w:r>
          </w:p>
        </w:tc>
        <w:tc>
          <w:tcPr>
            <w:tcW w:type="dxa" w:w="938"/>
            <w:tcBorders>
              <w:top w:color="000000" w:sz="4" w:val="single"/>
              <w:left w:color="000000" w:sz="4" w:val="single"/>
              <w:bottom w:color="000000" w:sz="4" w:val="single"/>
              <w:right w:color="000000" w:sz="4" w:val="single"/>
            </w:tcBorders>
            <w:vAlign w:val="center"/>
          </w:tcPr>
          <w:p w14:paraId="02040000">
            <w:pPr>
              <w:spacing w:after="0" w:line="240" w:lineRule="auto"/>
              <w:ind/>
              <w:jc w:val="center"/>
              <w:rPr>
                <w:sz w:val="20"/>
              </w:rPr>
            </w:pPr>
            <w:r>
              <w:rPr>
                <w:sz w:val="20"/>
              </w:rPr>
              <w:t>-</w:t>
            </w:r>
          </w:p>
        </w:tc>
      </w:tr>
      <w:tr>
        <w:trPr>
          <w:trHeight w:hRule="atLeast" w:val="277"/>
        </w:trPr>
        <w:tc>
          <w:tcPr>
            <w:tcW w:type="dxa" w:w="3488"/>
            <w:tcBorders>
              <w:top w:color="000000" w:sz="4" w:val="single"/>
              <w:left w:color="000000" w:sz="4" w:val="single"/>
              <w:bottom w:color="000000" w:sz="4" w:val="single"/>
              <w:right w:color="000000" w:sz="4" w:val="single"/>
            </w:tcBorders>
            <w:vAlign w:val="center"/>
          </w:tcPr>
          <w:p w14:paraId="03040000">
            <w:pPr>
              <w:ind/>
              <w:jc w:val="center"/>
              <w:rPr>
                <w:sz w:val="20"/>
              </w:rPr>
            </w:pPr>
            <w:r>
              <w:rPr>
                <w:sz w:val="20"/>
              </w:rPr>
              <w:t xml:space="preserve">х. Ольховский, ул. </w:t>
            </w:r>
            <w:r>
              <w:rPr>
                <w:sz w:val="20"/>
              </w:rPr>
              <w:t>Центральная, 3 а</w:t>
            </w:r>
          </w:p>
        </w:tc>
        <w:tc>
          <w:tcPr>
            <w:tcW w:type="dxa" w:w="1690"/>
            <w:tcBorders>
              <w:top w:sz="4" w:val="nil"/>
              <w:left w:color="000000" w:sz="4" w:val="single"/>
              <w:bottom w:color="000000" w:sz="4" w:val="single"/>
              <w:right w:color="000000" w:sz="4" w:val="single"/>
            </w:tcBorders>
            <w:vAlign w:val="center"/>
          </w:tcPr>
          <w:p w14:paraId="04040000">
            <w:pPr>
              <w:spacing w:after="0" w:line="240" w:lineRule="auto"/>
              <w:ind/>
              <w:jc w:val="center"/>
              <w:rPr>
                <w:sz w:val="20"/>
              </w:rPr>
            </w:pPr>
            <w:r>
              <w:rPr>
                <w:sz w:val="20"/>
              </w:rPr>
              <w:t>2,496</w:t>
            </w:r>
          </w:p>
        </w:tc>
        <w:tc>
          <w:tcPr>
            <w:tcW w:type="dxa" w:w="1690"/>
            <w:tcBorders>
              <w:top w:sz="4" w:val="nil"/>
              <w:left w:color="000000" w:sz="4" w:val="single"/>
              <w:bottom w:color="000000" w:sz="4" w:val="single"/>
              <w:right w:color="000000" w:sz="4" w:val="single"/>
            </w:tcBorders>
            <w:vAlign w:val="center"/>
          </w:tcPr>
          <w:p w14:paraId="05040000">
            <w:pPr>
              <w:spacing w:after="0" w:line="240" w:lineRule="auto"/>
              <w:ind/>
              <w:jc w:val="center"/>
              <w:rPr>
                <w:sz w:val="20"/>
              </w:rPr>
            </w:pPr>
            <w:r>
              <w:rPr>
                <w:sz w:val="20"/>
              </w:rPr>
              <w:t>12,700</w:t>
            </w:r>
          </w:p>
        </w:tc>
        <w:tc>
          <w:tcPr>
            <w:tcW w:type="dxa" w:w="1831"/>
            <w:tcBorders>
              <w:top w:sz="4" w:val="nil"/>
              <w:left w:color="000000" w:sz="4" w:val="single"/>
              <w:bottom w:color="000000" w:sz="4" w:val="single"/>
              <w:right w:color="000000" w:sz="4" w:val="single"/>
            </w:tcBorders>
            <w:vAlign w:val="center"/>
          </w:tcPr>
          <w:p w14:paraId="06040000">
            <w:pPr>
              <w:ind/>
              <w:jc w:val="center"/>
              <w:rPr>
                <w:sz w:val="20"/>
              </w:rPr>
            </w:pPr>
            <w:r>
              <w:rPr>
                <w:sz w:val="20"/>
              </w:rPr>
              <w:t>219,52</w:t>
            </w:r>
          </w:p>
        </w:tc>
        <w:tc>
          <w:tcPr>
            <w:tcW w:type="dxa" w:w="938"/>
            <w:tcBorders>
              <w:top w:color="000000" w:sz="4" w:val="single"/>
              <w:left w:color="000000" w:sz="4" w:val="single"/>
              <w:bottom w:color="000000" w:sz="4" w:val="single"/>
              <w:right w:color="000000" w:sz="4" w:val="single"/>
            </w:tcBorders>
            <w:vAlign w:val="center"/>
          </w:tcPr>
          <w:p w14:paraId="07040000">
            <w:pPr>
              <w:spacing w:after="0" w:line="240" w:lineRule="auto"/>
              <w:ind/>
              <w:jc w:val="center"/>
              <w:rPr>
                <w:sz w:val="20"/>
              </w:rPr>
            </w:pPr>
            <w:r>
              <w:rPr>
                <w:sz w:val="20"/>
              </w:rPr>
              <w:t>-</w:t>
            </w:r>
          </w:p>
        </w:tc>
      </w:tr>
      <w:tr>
        <w:trPr>
          <w:trHeight w:hRule="atLeast" w:val="263"/>
        </w:trPr>
        <w:tc>
          <w:tcPr>
            <w:tcW w:type="dxa" w:w="3488"/>
            <w:tcBorders>
              <w:top w:color="000000" w:sz="4" w:val="single"/>
              <w:left w:color="000000" w:sz="4" w:val="single"/>
              <w:bottom w:color="000000" w:sz="4" w:val="single"/>
              <w:right w:color="000000" w:sz="4" w:val="single"/>
            </w:tcBorders>
            <w:vAlign w:val="center"/>
          </w:tcPr>
          <w:p w14:paraId="08040000">
            <w:pPr>
              <w:ind/>
              <w:jc w:val="center"/>
              <w:rPr>
                <w:sz w:val="20"/>
              </w:rPr>
            </w:pPr>
            <w:r>
              <w:rPr>
                <w:sz w:val="20"/>
              </w:rPr>
              <w:t>с. Куйбышево, ул. Пролетарская, 5</w:t>
            </w:r>
          </w:p>
        </w:tc>
        <w:tc>
          <w:tcPr>
            <w:tcW w:type="dxa" w:w="1690"/>
            <w:tcBorders>
              <w:top w:sz="4" w:val="nil"/>
              <w:left w:color="000000" w:sz="4" w:val="single"/>
              <w:bottom w:color="000000" w:sz="4" w:val="single"/>
              <w:right w:color="000000" w:sz="4" w:val="single"/>
            </w:tcBorders>
            <w:vAlign w:val="center"/>
          </w:tcPr>
          <w:p w14:paraId="09040000">
            <w:pPr>
              <w:spacing w:after="0" w:line="240" w:lineRule="auto"/>
              <w:ind/>
              <w:jc w:val="center"/>
              <w:rPr>
                <w:sz w:val="20"/>
              </w:rPr>
            </w:pPr>
            <w:r>
              <w:rPr>
                <w:sz w:val="20"/>
              </w:rPr>
              <w:t>3,204</w:t>
            </w:r>
          </w:p>
        </w:tc>
        <w:tc>
          <w:tcPr>
            <w:tcW w:type="dxa" w:w="1690"/>
            <w:tcBorders>
              <w:top w:sz="4" w:val="nil"/>
              <w:left w:color="000000" w:sz="4" w:val="single"/>
              <w:bottom w:color="000000" w:sz="4" w:val="single"/>
              <w:right w:color="000000" w:sz="4" w:val="single"/>
            </w:tcBorders>
            <w:vAlign w:val="center"/>
          </w:tcPr>
          <w:p w14:paraId="0A040000">
            <w:pPr>
              <w:spacing w:after="0" w:line="240" w:lineRule="auto"/>
              <w:ind/>
              <w:jc w:val="center"/>
              <w:rPr>
                <w:sz w:val="20"/>
              </w:rPr>
            </w:pPr>
            <w:r>
              <w:rPr>
                <w:sz w:val="20"/>
              </w:rPr>
              <w:t>16,300</w:t>
            </w:r>
          </w:p>
        </w:tc>
        <w:tc>
          <w:tcPr>
            <w:tcW w:type="dxa" w:w="1831"/>
            <w:tcBorders>
              <w:top w:sz="4" w:val="nil"/>
              <w:left w:color="000000" w:sz="4" w:val="single"/>
              <w:bottom w:color="000000" w:sz="4" w:val="single"/>
              <w:right w:color="000000" w:sz="4" w:val="single"/>
            </w:tcBorders>
            <w:vAlign w:val="center"/>
          </w:tcPr>
          <w:p w14:paraId="0B040000">
            <w:pPr>
              <w:ind/>
              <w:jc w:val="center"/>
              <w:rPr>
                <w:sz w:val="20"/>
              </w:rPr>
            </w:pPr>
            <w:r>
              <w:rPr>
                <w:sz w:val="20"/>
              </w:rPr>
              <w:t>165,2</w:t>
            </w:r>
          </w:p>
        </w:tc>
        <w:tc>
          <w:tcPr>
            <w:tcW w:type="dxa" w:w="938"/>
            <w:tcBorders>
              <w:top w:color="000000" w:sz="4" w:val="single"/>
              <w:left w:color="000000" w:sz="4" w:val="single"/>
              <w:bottom w:color="000000" w:sz="4" w:val="single"/>
              <w:right w:color="000000" w:sz="4" w:val="single"/>
            </w:tcBorders>
            <w:vAlign w:val="center"/>
          </w:tcPr>
          <w:p w14:paraId="0C040000">
            <w:pPr>
              <w:spacing w:after="0" w:line="240" w:lineRule="auto"/>
              <w:ind/>
              <w:jc w:val="center"/>
              <w:rPr>
                <w:sz w:val="20"/>
              </w:rPr>
            </w:pPr>
            <w:r>
              <w:rPr>
                <w:sz w:val="20"/>
              </w:rPr>
              <w:t>-</w:t>
            </w:r>
          </w:p>
        </w:tc>
      </w:tr>
      <w:tr>
        <w:trPr>
          <w:trHeight w:hRule="atLeast" w:val="214"/>
        </w:trPr>
        <w:tc>
          <w:tcPr>
            <w:tcW w:type="dxa" w:w="3488"/>
            <w:tcBorders>
              <w:top w:color="000000" w:sz="4" w:val="single"/>
              <w:left w:color="000000" w:sz="4" w:val="single"/>
              <w:bottom w:color="000000" w:sz="4" w:val="single"/>
              <w:right w:color="000000" w:sz="4" w:val="single"/>
            </w:tcBorders>
            <w:vAlign w:val="center"/>
          </w:tcPr>
          <w:p w14:paraId="0D040000">
            <w:pPr>
              <w:ind/>
              <w:jc w:val="center"/>
              <w:rPr>
                <w:sz w:val="20"/>
              </w:rPr>
            </w:pPr>
            <w:r>
              <w:rPr>
                <w:sz w:val="20"/>
              </w:rPr>
              <w:t>с. Куйбышево, ул. Театральная, 22</w:t>
            </w:r>
          </w:p>
        </w:tc>
        <w:tc>
          <w:tcPr>
            <w:tcW w:type="dxa" w:w="1690"/>
            <w:tcBorders>
              <w:top w:sz="4" w:val="nil"/>
              <w:left w:color="000000" w:sz="4" w:val="single"/>
              <w:bottom w:color="000000" w:sz="4" w:val="single"/>
              <w:right w:color="000000" w:sz="4" w:val="single"/>
            </w:tcBorders>
            <w:vAlign w:val="center"/>
          </w:tcPr>
          <w:p w14:paraId="0E040000">
            <w:pPr>
              <w:spacing w:after="0" w:line="240" w:lineRule="auto"/>
              <w:ind/>
              <w:jc w:val="center"/>
              <w:rPr>
                <w:sz w:val="20"/>
              </w:rPr>
            </w:pPr>
            <w:r>
              <w:rPr>
                <w:sz w:val="20"/>
              </w:rPr>
              <w:t>5,896</w:t>
            </w:r>
          </w:p>
        </w:tc>
        <w:tc>
          <w:tcPr>
            <w:tcW w:type="dxa" w:w="1690"/>
            <w:tcBorders>
              <w:top w:sz="4" w:val="nil"/>
              <w:left w:color="000000" w:sz="4" w:val="single"/>
              <w:bottom w:color="000000" w:sz="4" w:val="single"/>
              <w:right w:color="000000" w:sz="4" w:val="single"/>
            </w:tcBorders>
            <w:vAlign w:val="center"/>
          </w:tcPr>
          <w:p w14:paraId="0F040000">
            <w:pPr>
              <w:spacing w:after="0" w:line="240" w:lineRule="auto"/>
              <w:ind/>
              <w:jc w:val="center"/>
              <w:rPr>
                <w:sz w:val="20"/>
              </w:rPr>
            </w:pPr>
            <w:r>
              <w:rPr>
                <w:sz w:val="20"/>
              </w:rPr>
              <w:t>30,000</w:t>
            </w:r>
          </w:p>
        </w:tc>
        <w:tc>
          <w:tcPr>
            <w:tcW w:type="dxa" w:w="1831"/>
            <w:tcBorders>
              <w:top w:sz="4" w:val="nil"/>
              <w:left w:color="000000" w:sz="4" w:val="single"/>
              <w:bottom w:color="000000" w:sz="4" w:val="single"/>
              <w:right w:color="000000" w:sz="4" w:val="single"/>
            </w:tcBorders>
            <w:vAlign w:val="center"/>
          </w:tcPr>
          <w:p w14:paraId="10040000">
            <w:pPr>
              <w:ind/>
              <w:jc w:val="center"/>
              <w:rPr>
                <w:sz w:val="20"/>
              </w:rPr>
            </w:pPr>
            <w:r>
              <w:rPr>
                <w:sz w:val="20"/>
              </w:rPr>
              <w:t>208,74</w:t>
            </w:r>
          </w:p>
        </w:tc>
        <w:tc>
          <w:tcPr>
            <w:tcW w:type="dxa" w:w="938"/>
            <w:tcBorders>
              <w:top w:color="000000" w:sz="4" w:val="single"/>
              <w:left w:color="000000" w:sz="4" w:val="single"/>
              <w:bottom w:color="000000" w:sz="4" w:val="single"/>
              <w:right w:color="000000" w:sz="4" w:val="single"/>
            </w:tcBorders>
            <w:vAlign w:val="center"/>
          </w:tcPr>
          <w:p w14:paraId="11040000">
            <w:pPr>
              <w:spacing w:after="0" w:line="240" w:lineRule="auto"/>
              <w:ind/>
              <w:jc w:val="center"/>
              <w:rPr>
                <w:sz w:val="20"/>
              </w:rPr>
            </w:pPr>
            <w:r>
              <w:rPr>
                <w:sz w:val="20"/>
              </w:rPr>
              <w:t>-</w:t>
            </w:r>
          </w:p>
        </w:tc>
      </w:tr>
      <w:tr>
        <w:trPr>
          <w:trHeight w:hRule="atLeast" w:val="209"/>
        </w:trPr>
        <w:tc>
          <w:tcPr>
            <w:tcW w:type="dxa" w:w="3488"/>
            <w:tcBorders>
              <w:top w:color="000000" w:sz="4" w:val="single"/>
              <w:left w:color="000000" w:sz="4" w:val="single"/>
              <w:bottom w:color="000000" w:sz="4" w:val="single"/>
              <w:right w:color="000000" w:sz="4" w:val="single"/>
            </w:tcBorders>
            <w:vAlign w:val="center"/>
          </w:tcPr>
          <w:p w14:paraId="12040000">
            <w:pPr>
              <w:ind/>
              <w:jc w:val="center"/>
              <w:rPr>
                <w:sz w:val="20"/>
              </w:rPr>
            </w:pPr>
            <w:r>
              <w:rPr>
                <w:sz w:val="20"/>
              </w:rPr>
              <w:t>х. Свободный, ул. Победы, 29</w:t>
            </w:r>
          </w:p>
        </w:tc>
        <w:tc>
          <w:tcPr>
            <w:tcW w:type="dxa" w:w="1690"/>
            <w:tcBorders>
              <w:top w:sz="4" w:val="nil"/>
              <w:left w:color="000000" w:sz="4" w:val="single"/>
              <w:bottom w:color="000000" w:sz="4" w:val="single"/>
              <w:right w:color="000000" w:sz="4" w:val="single"/>
            </w:tcBorders>
            <w:vAlign w:val="center"/>
          </w:tcPr>
          <w:p w14:paraId="13040000">
            <w:pPr>
              <w:spacing w:after="0" w:line="240" w:lineRule="auto"/>
              <w:ind/>
              <w:jc w:val="center"/>
              <w:rPr>
                <w:sz w:val="20"/>
              </w:rPr>
            </w:pPr>
            <w:r>
              <w:rPr>
                <w:sz w:val="20"/>
              </w:rPr>
              <w:t>1,101</w:t>
            </w:r>
          </w:p>
        </w:tc>
        <w:tc>
          <w:tcPr>
            <w:tcW w:type="dxa" w:w="1690"/>
            <w:tcBorders>
              <w:top w:sz="4" w:val="nil"/>
              <w:left w:color="000000" w:sz="4" w:val="single"/>
              <w:bottom w:color="000000" w:sz="4" w:val="single"/>
              <w:right w:color="000000" w:sz="4" w:val="single"/>
            </w:tcBorders>
            <w:vAlign w:val="center"/>
          </w:tcPr>
          <w:p w14:paraId="14040000">
            <w:pPr>
              <w:spacing w:after="0" w:line="240" w:lineRule="auto"/>
              <w:ind/>
              <w:jc w:val="center"/>
              <w:rPr>
                <w:sz w:val="20"/>
              </w:rPr>
            </w:pPr>
            <w:r>
              <w:rPr>
                <w:sz w:val="20"/>
              </w:rPr>
              <w:t>5,600</w:t>
            </w:r>
          </w:p>
        </w:tc>
        <w:tc>
          <w:tcPr>
            <w:tcW w:type="dxa" w:w="1831"/>
            <w:tcBorders>
              <w:top w:sz="4" w:val="nil"/>
              <w:left w:color="000000" w:sz="4" w:val="single"/>
              <w:bottom w:color="000000" w:sz="4" w:val="single"/>
              <w:right w:color="000000" w:sz="4" w:val="single"/>
            </w:tcBorders>
            <w:vAlign w:val="center"/>
          </w:tcPr>
          <w:p w14:paraId="15040000">
            <w:pPr>
              <w:ind/>
              <w:jc w:val="center"/>
              <w:rPr>
                <w:sz w:val="20"/>
              </w:rPr>
            </w:pPr>
            <w:r>
              <w:rPr>
                <w:sz w:val="20"/>
              </w:rPr>
              <w:t>165,2</w:t>
            </w:r>
          </w:p>
        </w:tc>
        <w:tc>
          <w:tcPr>
            <w:tcW w:type="dxa" w:w="938"/>
            <w:tcBorders>
              <w:top w:color="000000" w:sz="4" w:val="single"/>
              <w:left w:color="000000" w:sz="4" w:val="single"/>
              <w:bottom w:color="000000" w:sz="4" w:val="single"/>
              <w:right w:color="000000" w:sz="4" w:val="single"/>
            </w:tcBorders>
            <w:vAlign w:val="center"/>
          </w:tcPr>
          <w:p w14:paraId="16040000">
            <w:pPr>
              <w:spacing w:after="0" w:line="240" w:lineRule="auto"/>
              <w:ind/>
              <w:jc w:val="center"/>
              <w:rPr>
                <w:sz w:val="20"/>
              </w:rPr>
            </w:pPr>
            <w:r>
              <w:rPr>
                <w:sz w:val="20"/>
              </w:rPr>
              <w:t>-</w:t>
            </w:r>
          </w:p>
        </w:tc>
      </w:tr>
      <w:tr>
        <w:trPr>
          <w:trHeight w:hRule="atLeast" w:val="214"/>
        </w:trPr>
        <w:tc>
          <w:tcPr>
            <w:tcW w:type="dxa" w:w="3488"/>
            <w:tcBorders>
              <w:top w:color="000000" w:sz="4" w:val="single"/>
              <w:left w:color="000000" w:sz="4" w:val="single"/>
              <w:bottom w:color="000000" w:sz="4" w:val="single"/>
              <w:right w:color="000000" w:sz="4" w:val="single"/>
            </w:tcBorders>
            <w:vAlign w:val="center"/>
          </w:tcPr>
          <w:p w14:paraId="17040000">
            <w:pPr>
              <w:ind/>
              <w:jc w:val="center"/>
              <w:rPr>
                <w:sz w:val="20"/>
              </w:rPr>
            </w:pPr>
            <w:r>
              <w:rPr>
                <w:sz w:val="20"/>
              </w:rPr>
              <w:t>х. Новобахмутский, ул. Широкая, 89 а</w:t>
            </w:r>
          </w:p>
        </w:tc>
        <w:tc>
          <w:tcPr>
            <w:tcW w:type="dxa" w:w="1690"/>
            <w:tcBorders>
              <w:top w:sz="4" w:val="nil"/>
              <w:left w:color="000000" w:sz="4" w:val="single"/>
              <w:bottom w:color="000000" w:sz="4" w:val="single"/>
              <w:right w:color="000000" w:sz="4" w:val="single"/>
            </w:tcBorders>
            <w:vAlign w:val="center"/>
          </w:tcPr>
          <w:p w14:paraId="18040000">
            <w:pPr>
              <w:spacing w:after="0" w:line="240" w:lineRule="auto"/>
              <w:ind/>
              <w:jc w:val="center"/>
              <w:rPr>
                <w:sz w:val="20"/>
              </w:rPr>
            </w:pPr>
            <w:r>
              <w:rPr>
                <w:sz w:val="20"/>
              </w:rPr>
              <w:t>0,983</w:t>
            </w:r>
          </w:p>
        </w:tc>
        <w:tc>
          <w:tcPr>
            <w:tcW w:type="dxa" w:w="1690"/>
            <w:tcBorders>
              <w:top w:sz="4" w:val="nil"/>
              <w:left w:color="000000" w:sz="4" w:val="single"/>
              <w:bottom w:color="000000" w:sz="4" w:val="single"/>
              <w:right w:color="000000" w:sz="4" w:val="single"/>
            </w:tcBorders>
            <w:vAlign w:val="center"/>
          </w:tcPr>
          <w:p w14:paraId="19040000">
            <w:pPr>
              <w:spacing w:after="0" w:line="240" w:lineRule="auto"/>
              <w:ind/>
              <w:jc w:val="center"/>
              <w:rPr>
                <w:sz w:val="20"/>
              </w:rPr>
            </w:pPr>
            <w:r>
              <w:rPr>
                <w:sz w:val="20"/>
              </w:rPr>
              <w:t>5,000</w:t>
            </w:r>
          </w:p>
        </w:tc>
        <w:tc>
          <w:tcPr>
            <w:tcW w:type="dxa" w:w="1831"/>
            <w:tcBorders>
              <w:top w:sz="4" w:val="nil"/>
              <w:left w:color="000000" w:sz="4" w:val="single"/>
              <w:bottom w:color="000000" w:sz="4" w:val="single"/>
              <w:right w:color="000000" w:sz="4" w:val="single"/>
            </w:tcBorders>
            <w:vAlign w:val="center"/>
          </w:tcPr>
          <w:p w14:paraId="1A040000">
            <w:pPr>
              <w:ind/>
              <w:jc w:val="center"/>
              <w:rPr>
                <w:sz w:val="20"/>
              </w:rPr>
            </w:pPr>
            <w:r>
              <w:rPr>
                <w:sz w:val="20"/>
              </w:rPr>
              <w:t>165,2</w:t>
            </w:r>
          </w:p>
        </w:tc>
        <w:tc>
          <w:tcPr>
            <w:tcW w:type="dxa" w:w="938"/>
            <w:tcBorders>
              <w:top w:color="000000" w:sz="4" w:val="single"/>
              <w:left w:color="000000" w:sz="4" w:val="single"/>
              <w:bottom w:color="000000" w:sz="4" w:val="single"/>
              <w:right w:color="000000" w:sz="4" w:val="single"/>
            </w:tcBorders>
            <w:vAlign w:val="center"/>
          </w:tcPr>
          <w:p w14:paraId="1B040000">
            <w:pPr>
              <w:spacing w:after="0" w:line="240" w:lineRule="auto"/>
              <w:ind/>
              <w:jc w:val="center"/>
              <w:rPr>
                <w:sz w:val="20"/>
              </w:rPr>
            </w:pPr>
            <w:r>
              <w:rPr>
                <w:sz w:val="20"/>
              </w:rPr>
              <w:t>-</w:t>
            </w:r>
          </w:p>
        </w:tc>
      </w:tr>
      <w:tr>
        <w:trPr>
          <w:trHeight w:hRule="atLeast" w:val="214"/>
        </w:trPr>
        <w:tc>
          <w:tcPr>
            <w:tcW w:type="dxa" w:w="3488"/>
            <w:tcBorders>
              <w:top w:color="000000" w:sz="4" w:val="single"/>
              <w:left w:color="000000" w:sz="4" w:val="single"/>
              <w:bottom w:color="000000" w:sz="4" w:val="single"/>
              <w:right w:color="000000" w:sz="4" w:val="single"/>
            </w:tcBorders>
            <w:vAlign w:val="center"/>
          </w:tcPr>
          <w:p w14:paraId="1C040000">
            <w:pPr>
              <w:ind/>
              <w:jc w:val="center"/>
              <w:rPr>
                <w:sz w:val="20"/>
              </w:rPr>
            </w:pPr>
            <w:r>
              <w:rPr>
                <w:sz w:val="20"/>
              </w:rPr>
              <w:t>с. Русское, ул. Красноармейская, 1</w:t>
            </w:r>
          </w:p>
        </w:tc>
        <w:tc>
          <w:tcPr>
            <w:tcW w:type="dxa" w:w="1690"/>
            <w:tcBorders>
              <w:top w:sz="4" w:val="nil"/>
              <w:left w:color="000000" w:sz="4" w:val="single"/>
              <w:bottom w:color="000000" w:sz="4" w:val="single"/>
              <w:right w:color="000000" w:sz="4" w:val="single"/>
            </w:tcBorders>
            <w:vAlign w:val="center"/>
          </w:tcPr>
          <w:p w14:paraId="1D040000">
            <w:pPr>
              <w:spacing w:after="0" w:line="240" w:lineRule="auto"/>
              <w:ind/>
              <w:jc w:val="center"/>
              <w:rPr>
                <w:sz w:val="20"/>
              </w:rPr>
            </w:pPr>
            <w:r>
              <w:rPr>
                <w:sz w:val="20"/>
              </w:rPr>
              <w:t>3,439</w:t>
            </w:r>
          </w:p>
        </w:tc>
        <w:tc>
          <w:tcPr>
            <w:tcW w:type="dxa" w:w="1690"/>
            <w:tcBorders>
              <w:top w:sz="4" w:val="nil"/>
              <w:left w:color="000000" w:sz="4" w:val="single"/>
              <w:bottom w:color="000000" w:sz="4" w:val="single"/>
              <w:right w:color="000000" w:sz="4" w:val="single"/>
            </w:tcBorders>
            <w:vAlign w:val="center"/>
          </w:tcPr>
          <w:p w14:paraId="1E040000">
            <w:pPr>
              <w:spacing w:after="0" w:line="240" w:lineRule="auto"/>
              <w:ind/>
              <w:jc w:val="center"/>
              <w:rPr>
                <w:sz w:val="20"/>
              </w:rPr>
            </w:pPr>
            <w:r>
              <w:rPr>
                <w:sz w:val="20"/>
              </w:rPr>
              <w:t>17,500</w:t>
            </w:r>
          </w:p>
        </w:tc>
        <w:tc>
          <w:tcPr>
            <w:tcW w:type="dxa" w:w="1831"/>
            <w:tcBorders>
              <w:top w:sz="4" w:val="nil"/>
              <w:left w:color="000000" w:sz="4" w:val="single"/>
              <w:bottom w:color="000000" w:sz="4" w:val="single"/>
              <w:right w:color="000000" w:sz="4" w:val="single"/>
            </w:tcBorders>
            <w:vAlign w:val="center"/>
          </w:tcPr>
          <w:p w14:paraId="1F040000">
            <w:pPr>
              <w:ind/>
              <w:jc w:val="center"/>
              <w:rPr>
                <w:sz w:val="20"/>
              </w:rPr>
            </w:pPr>
            <w:r>
              <w:rPr>
                <w:sz w:val="20"/>
              </w:rPr>
              <w:t>165,2</w:t>
            </w:r>
          </w:p>
        </w:tc>
        <w:tc>
          <w:tcPr>
            <w:tcW w:type="dxa" w:w="938"/>
            <w:tcBorders>
              <w:top w:color="000000" w:sz="4" w:val="single"/>
              <w:left w:color="000000" w:sz="4" w:val="single"/>
              <w:bottom w:color="000000" w:sz="4" w:val="single"/>
              <w:right w:color="000000" w:sz="4" w:val="single"/>
            </w:tcBorders>
            <w:vAlign w:val="center"/>
          </w:tcPr>
          <w:p w14:paraId="20040000">
            <w:pPr>
              <w:spacing w:after="0" w:line="240" w:lineRule="auto"/>
              <w:ind/>
              <w:jc w:val="center"/>
              <w:rPr>
                <w:sz w:val="20"/>
              </w:rPr>
            </w:pPr>
            <w:r>
              <w:rPr>
                <w:sz w:val="20"/>
              </w:rPr>
              <w:t>-</w:t>
            </w:r>
          </w:p>
        </w:tc>
      </w:tr>
      <w:tr>
        <w:trPr>
          <w:trHeight w:hRule="atLeast" w:val="214"/>
        </w:trPr>
        <w:tc>
          <w:tcPr>
            <w:tcW w:type="dxa" w:w="3488"/>
            <w:tcBorders>
              <w:top w:color="000000" w:sz="4" w:val="single"/>
              <w:left w:color="000000" w:sz="4" w:val="single"/>
              <w:bottom w:color="000000" w:sz="4" w:val="single"/>
              <w:right w:color="000000" w:sz="4" w:val="single"/>
            </w:tcBorders>
            <w:vAlign w:val="center"/>
          </w:tcPr>
          <w:p w14:paraId="21040000">
            <w:pPr>
              <w:ind/>
              <w:jc w:val="center"/>
              <w:rPr>
                <w:sz w:val="20"/>
              </w:rPr>
            </w:pPr>
            <w:r>
              <w:rPr>
                <w:sz w:val="20"/>
              </w:rPr>
              <w:t>с. Куйбышево, ул. Цветаева, 31</w:t>
            </w:r>
          </w:p>
        </w:tc>
        <w:tc>
          <w:tcPr>
            <w:tcW w:type="dxa" w:w="1690"/>
            <w:tcBorders>
              <w:top w:sz="4" w:val="nil"/>
              <w:left w:color="000000" w:sz="4" w:val="single"/>
              <w:bottom w:color="000000" w:sz="4" w:val="single"/>
              <w:right w:color="000000" w:sz="4" w:val="single"/>
            </w:tcBorders>
            <w:vAlign w:val="center"/>
          </w:tcPr>
          <w:p w14:paraId="22040000">
            <w:pPr>
              <w:spacing w:after="0" w:line="240" w:lineRule="auto"/>
              <w:ind/>
              <w:jc w:val="center"/>
              <w:rPr>
                <w:sz w:val="20"/>
              </w:rPr>
            </w:pPr>
            <w:r>
              <w:rPr>
                <w:sz w:val="20"/>
              </w:rPr>
              <w:t>1,690</w:t>
            </w:r>
          </w:p>
        </w:tc>
        <w:tc>
          <w:tcPr>
            <w:tcW w:type="dxa" w:w="1690"/>
            <w:tcBorders>
              <w:top w:sz="4" w:val="nil"/>
              <w:left w:color="000000" w:sz="4" w:val="single"/>
              <w:bottom w:color="000000" w:sz="4" w:val="single"/>
              <w:right w:color="000000" w:sz="4" w:val="single"/>
            </w:tcBorders>
            <w:vAlign w:val="center"/>
          </w:tcPr>
          <w:p w14:paraId="23040000">
            <w:pPr>
              <w:spacing w:after="0" w:line="240" w:lineRule="auto"/>
              <w:ind/>
              <w:jc w:val="center"/>
              <w:rPr>
                <w:sz w:val="20"/>
              </w:rPr>
            </w:pPr>
            <w:r>
              <w:rPr>
                <w:sz w:val="20"/>
              </w:rPr>
              <w:t>8,600</w:t>
            </w:r>
          </w:p>
        </w:tc>
        <w:tc>
          <w:tcPr>
            <w:tcW w:type="dxa" w:w="1831"/>
            <w:tcBorders>
              <w:top w:sz="4" w:val="nil"/>
              <w:left w:color="000000" w:sz="4" w:val="single"/>
              <w:bottom w:color="000000" w:sz="4" w:val="single"/>
              <w:right w:color="000000" w:sz="4" w:val="single"/>
            </w:tcBorders>
            <w:vAlign w:val="center"/>
          </w:tcPr>
          <w:p w14:paraId="24040000">
            <w:pPr>
              <w:ind/>
              <w:jc w:val="center"/>
              <w:rPr>
                <w:sz w:val="20"/>
              </w:rPr>
            </w:pPr>
            <w:r>
              <w:rPr>
                <w:sz w:val="20"/>
              </w:rPr>
              <w:t>219,68</w:t>
            </w:r>
          </w:p>
        </w:tc>
        <w:tc>
          <w:tcPr>
            <w:tcW w:type="dxa" w:w="938"/>
            <w:tcBorders>
              <w:top w:color="000000" w:sz="4" w:val="single"/>
              <w:left w:color="000000" w:sz="4" w:val="single"/>
              <w:bottom w:color="000000" w:sz="4" w:val="single"/>
              <w:right w:color="000000" w:sz="4" w:val="single"/>
            </w:tcBorders>
            <w:vAlign w:val="center"/>
          </w:tcPr>
          <w:p w14:paraId="25040000">
            <w:pPr>
              <w:spacing w:after="0" w:line="240" w:lineRule="auto"/>
              <w:ind/>
              <w:jc w:val="center"/>
              <w:rPr>
                <w:sz w:val="20"/>
              </w:rPr>
            </w:pPr>
            <w:r>
              <w:rPr>
                <w:sz w:val="20"/>
              </w:rPr>
              <w:t>-</w:t>
            </w:r>
          </w:p>
        </w:tc>
      </w:tr>
      <w:tr>
        <w:trPr>
          <w:trHeight w:hRule="atLeast" w:val="214"/>
        </w:trPr>
        <w:tc>
          <w:tcPr>
            <w:tcW w:type="dxa" w:w="3488"/>
            <w:tcBorders>
              <w:top w:color="000000" w:sz="4" w:val="single"/>
              <w:left w:color="000000" w:sz="4" w:val="single"/>
              <w:bottom w:color="000000" w:sz="4" w:val="single"/>
              <w:right w:color="000000" w:sz="4" w:val="single"/>
            </w:tcBorders>
            <w:vAlign w:val="center"/>
          </w:tcPr>
          <w:p w14:paraId="26040000">
            <w:pPr>
              <w:ind/>
              <w:jc w:val="center"/>
              <w:rPr>
                <w:sz w:val="20"/>
              </w:rPr>
            </w:pPr>
            <w:r>
              <w:rPr>
                <w:sz w:val="20"/>
              </w:rPr>
              <w:t>с. Куйбышево, ул. Куйбышевская, 24</w:t>
            </w:r>
          </w:p>
        </w:tc>
        <w:tc>
          <w:tcPr>
            <w:tcW w:type="dxa" w:w="1690"/>
            <w:tcBorders>
              <w:top w:sz="4" w:val="nil"/>
              <w:left w:color="000000" w:sz="4" w:val="single"/>
              <w:bottom w:color="000000" w:sz="4" w:val="single"/>
              <w:right w:color="000000" w:sz="4" w:val="single"/>
            </w:tcBorders>
            <w:vAlign w:val="center"/>
          </w:tcPr>
          <w:p w14:paraId="27040000">
            <w:pPr>
              <w:spacing w:after="0" w:line="240" w:lineRule="auto"/>
              <w:ind/>
              <w:jc w:val="center"/>
              <w:rPr>
                <w:sz w:val="20"/>
              </w:rPr>
            </w:pPr>
            <w:r>
              <w:rPr>
                <w:sz w:val="20"/>
              </w:rPr>
              <w:t>7,174</w:t>
            </w:r>
          </w:p>
        </w:tc>
        <w:tc>
          <w:tcPr>
            <w:tcW w:type="dxa" w:w="1690"/>
            <w:tcBorders>
              <w:top w:sz="4" w:val="nil"/>
              <w:left w:color="000000" w:sz="4" w:val="single"/>
              <w:bottom w:color="000000" w:sz="4" w:val="single"/>
              <w:right w:color="000000" w:sz="4" w:val="single"/>
            </w:tcBorders>
            <w:vAlign w:val="center"/>
          </w:tcPr>
          <w:p w14:paraId="28040000">
            <w:pPr>
              <w:spacing w:after="0" w:line="240" w:lineRule="auto"/>
              <w:ind/>
              <w:jc w:val="center"/>
              <w:rPr>
                <w:sz w:val="20"/>
              </w:rPr>
            </w:pPr>
            <w:r>
              <w:rPr>
                <w:sz w:val="20"/>
              </w:rPr>
              <w:t>36,500</w:t>
            </w:r>
          </w:p>
        </w:tc>
        <w:tc>
          <w:tcPr>
            <w:tcW w:type="dxa" w:w="1831"/>
            <w:tcBorders>
              <w:top w:sz="4" w:val="nil"/>
              <w:left w:color="000000" w:sz="4" w:val="single"/>
              <w:bottom w:color="000000" w:sz="4" w:val="single"/>
              <w:right w:color="000000" w:sz="4" w:val="single"/>
            </w:tcBorders>
            <w:vAlign w:val="center"/>
          </w:tcPr>
          <w:p w14:paraId="29040000">
            <w:pPr>
              <w:ind/>
              <w:jc w:val="center"/>
              <w:rPr>
                <w:sz w:val="20"/>
              </w:rPr>
            </w:pPr>
            <w:r>
              <w:rPr>
                <w:sz w:val="20"/>
              </w:rPr>
              <w:t>188,73</w:t>
            </w:r>
          </w:p>
        </w:tc>
        <w:tc>
          <w:tcPr>
            <w:tcW w:type="dxa" w:w="938"/>
            <w:tcBorders>
              <w:top w:color="000000" w:sz="4" w:val="single"/>
              <w:left w:color="000000" w:sz="4" w:val="single"/>
              <w:bottom w:color="000000" w:sz="4" w:val="single"/>
              <w:right w:color="000000" w:sz="4" w:val="single"/>
            </w:tcBorders>
            <w:vAlign w:val="center"/>
          </w:tcPr>
          <w:p w14:paraId="2A040000">
            <w:pPr>
              <w:spacing w:after="0" w:line="240" w:lineRule="auto"/>
              <w:ind/>
              <w:jc w:val="center"/>
              <w:rPr>
                <w:sz w:val="20"/>
              </w:rPr>
            </w:pPr>
            <w:r>
              <w:rPr>
                <w:sz w:val="20"/>
              </w:rPr>
              <w:t>-</w:t>
            </w:r>
          </w:p>
        </w:tc>
      </w:tr>
      <w:tr>
        <w:trPr>
          <w:trHeight w:hRule="atLeast" w:val="214"/>
        </w:trPr>
        <w:tc>
          <w:tcPr>
            <w:tcW w:type="dxa" w:w="3488"/>
            <w:tcBorders>
              <w:top w:color="000000" w:sz="4" w:val="single"/>
              <w:left w:color="000000" w:sz="4" w:val="single"/>
              <w:bottom w:color="000000" w:sz="4" w:val="single"/>
              <w:right w:color="000000" w:sz="4" w:val="single"/>
            </w:tcBorders>
            <w:vAlign w:val="center"/>
          </w:tcPr>
          <w:p w14:paraId="2B040000">
            <w:pPr>
              <w:ind/>
              <w:jc w:val="center"/>
              <w:rPr>
                <w:sz w:val="20"/>
              </w:rPr>
            </w:pPr>
            <w:r>
              <w:rPr>
                <w:sz w:val="20"/>
              </w:rPr>
              <w:t>с. Куйбышево, ул. Куйбышевская, 20</w:t>
            </w:r>
          </w:p>
        </w:tc>
        <w:tc>
          <w:tcPr>
            <w:tcW w:type="dxa" w:w="1690"/>
            <w:tcBorders>
              <w:top w:sz="4" w:val="nil"/>
              <w:left w:color="000000" w:sz="4" w:val="single"/>
              <w:bottom w:color="000000" w:sz="4" w:val="single"/>
              <w:right w:color="000000" w:sz="4" w:val="single"/>
            </w:tcBorders>
            <w:vAlign w:val="center"/>
          </w:tcPr>
          <w:p w14:paraId="2C040000">
            <w:pPr>
              <w:spacing w:after="0" w:line="240" w:lineRule="auto"/>
              <w:ind/>
              <w:jc w:val="center"/>
              <w:rPr>
                <w:sz w:val="20"/>
              </w:rPr>
            </w:pPr>
            <w:r>
              <w:rPr>
                <w:sz w:val="20"/>
              </w:rPr>
              <w:t>2,064</w:t>
            </w:r>
          </w:p>
        </w:tc>
        <w:tc>
          <w:tcPr>
            <w:tcW w:type="dxa" w:w="1690"/>
            <w:tcBorders>
              <w:top w:sz="4" w:val="nil"/>
              <w:left w:color="000000" w:sz="4" w:val="single"/>
              <w:bottom w:color="000000" w:sz="4" w:val="single"/>
              <w:right w:color="000000" w:sz="4" w:val="single"/>
            </w:tcBorders>
            <w:vAlign w:val="center"/>
          </w:tcPr>
          <w:p w14:paraId="2D040000">
            <w:pPr>
              <w:spacing w:after="0" w:line="240" w:lineRule="auto"/>
              <w:ind/>
              <w:jc w:val="center"/>
              <w:rPr>
                <w:sz w:val="20"/>
              </w:rPr>
            </w:pPr>
            <w:r>
              <w:rPr>
                <w:sz w:val="20"/>
              </w:rPr>
              <w:t>10,500</w:t>
            </w:r>
          </w:p>
        </w:tc>
        <w:tc>
          <w:tcPr>
            <w:tcW w:type="dxa" w:w="1831"/>
            <w:tcBorders>
              <w:top w:sz="4" w:val="nil"/>
              <w:left w:color="000000" w:sz="4" w:val="single"/>
              <w:bottom w:color="000000" w:sz="4" w:val="single"/>
              <w:right w:color="000000" w:sz="4" w:val="single"/>
            </w:tcBorders>
            <w:vAlign w:val="center"/>
          </w:tcPr>
          <w:p w14:paraId="2E040000">
            <w:pPr>
              <w:ind/>
              <w:jc w:val="center"/>
              <w:rPr>
                <w:sz w:val="20"/>
              </w:rPr>
            </w:pPr>
            <w:r>
              <w:rPr>
                <w:sz w:val="20"/>
              </w:rPr>
              <w:t>165,2</w:t>
            </w:r>
          </w:p>
        </w:tc>
        <w:tc>
          <w:tcPr>
            <w:tcW w:type="dxa" w:w="938"/>
            <w:tcBorders>
              <w:top w:color="000000" w:sz="4" w:val="single"/>
              <w:left w:color="000000" w:sz="4" w:val="single"/>
              <w:bottom w:color="000000" w:sz="4" w:val="single"/>
              <w:right w:color="000000" w:sz="4" w:val="single"/>
            </w:tcBorders>
            <w:vAlign w:val="center"/>
          </w:tcPr>
          <w:p w14:paraId="2F040000">
            <w:pPr>
              <w:spacing w:after="0" w:line="240" w:lineRule="auto"/>
              <w:ind/>
              <w:jc w:val="center"/>
              <w:rPr>
                <w:sz w:val="20"/>
              </w:rPr>
            </w:pPr>
          </w:p>
        </w:tc>
      </w:tr>
      <w:tr>
        <w:trPr>
          <w:trHeight w:hRule="atLeast" w:val="214"/>
        </w:trPr>
        <w:tc>
          <w:tcPr>
            <w:tcW w:type="dxa" w:w="3488"/>
            <w:tcBorders>
              <w:top w:color="000000" w:sz="4" w:val="single"/>
              <w:left w:color="000000" w:sz="4" w:val="single"/>
              <w:bottom w:color="000000" w:sz="4" w:val="single"/>
              <w:right w:color="000000" w:sz="4" w:val="single"/>
            </w:tcBorders>
            <w:vAlign w:val="center"/>
          </w:tcPr>
          <w:p w14:paraId="30040000">
            <w:pPr>
              <w:ind/>
              <w:jc w:val="center"/>
              <w:rPr>
                <w:sz w:val="20"/>
              </w:rPr>
            </w:pPr>
            <w:r>
              <w:rPr>
                <w:sz w:val="20"/>
              </w:rPr>
              <w:t xml:space="preserve">с. Куйбышево, ул. </w:t>
            </w:r>
            <w:r>
              <w:rPr>
                <w:sz w:val="20"/>
              </w:rPr>
              <w:t>Миусская, 3</w:t>
            </w:r>
          </w:p>
        </w:tc>
        <w:tc>
          <w:tcPr>
            <w:tcW w:type="dxa" w:w="1690"/>
            <w:tcBorders>
              <w:top w:color="000000" w:sz="4" w:val="single"/>
              <w:left w:color="000000" w:sz="4" w:val="single"/>
              <w:bottom w:color="000000" w:sz="4" w:val="single"/>
              <w:right w:color="000000" w:sz="4" w:val="single"/>
            </w:tcBorders>
            <w:vAlign w:val="center"/>
          </w:tcPr>
          <w:p w14:paraId="31040000">
            <w:pPr>
              <w:spacing w:after="0" w:line="240" w:lineRule="auto"/>
              <w:ind/>
              <w:jc w:val="center"/>
              <w:rPr>
                <w:sz w:val="20"/>
              </w:rPr>
            </w:pPr>
            <w:r>
              <w:rPr>
                <w:sz w:val="20"/>
              </w:rPr>
              <w:t>26,946</w:t>
            </w:r>
          </w:p>
        </w:tc>
        <w:tc>
          <w:tcPr>
            <w:tcW w:type="dxa" w:w="1690"/>
            <w:tcBorders>
              <w:top w:color="000000" w:sz="4" w:val="single"/>
              <w:left w:color="000000" w:sz="4" w:val="single"/>
              <w:bottom w:color="000000" w:sz="4" w:val="single"/>
              <w:right w:color="000000" w:sz="4" w:val="single"/>
            </w:tcBorders>
            <w:vAlign w:val="center"/>
          </w:tcPr>
          <w:p w14:paraId="32040000">
            <w:pPr>
              <w:spacing w:after="0" w:line="240" w:lineRule="auto"/>
              <w:ind/>
              <w:jc w:val="center"/>
              <w:rPr>
                <w:sz w:val="20"/>
              </w:rPr>
            </w:pPr>
            <w:r>
              <w:rPr>
                <w:sz w:val="20"/>
              </w:rPr>
              <w:t>137,1</w:t>
            </w:r>
          </w:p>
        </w:tc>
        <w:tc>
          <w:tcPr>
            <w:tcW w:type="dxa" w:w="1831"/>
            <w:tcBorders>
              <w:top w:sz="4" w:val="nil"/>
              <w:left w:color="000000" w:sz="4" w:val="single"/>
              <w:bottom w:color="000000" w:sz="4" w:val="single"/>
              <w:right w:color="000000" w:sz="4" w:val="single"/>
            </w:tcBorders>
            <w:vAlign w:val="center"/>
          </w:tcPr>
          <w:p w14:paraId="33040000">
            <w:pPr>
              <w:ind/>
              <w:jc w:val="center"/>
              <w:rPr>
                <w:sz w:val="20"/>
              </w:rPr>
            </w:pPr>
            <w:r>
              <w:rPr>
                <w:sz w:val="20"/>
              </w:rPr>
              <w:t>171,4</w:t>
            </w:r>
          </w:p>
        </w:tc>
        <w:tc>
          <w:tcPr>
            <w:tcW w:type="dxa" w:w="938"/>
            <w:tcBorders>
              <w:top w:color="000000" w:sz="4" w:val="single"/>
              <w:left w:color="000000" w:sz="4" w:val="single"/>
              <w:bottom w:color="000000" w:sz="4" w:val="single"/>
              <w:right w:color="000000" w:sz="4" w:val="single"/>
            </w:tcBorders>
            <w:vAlign w:val="center"/>
          </w:tcPr>
          <w:p w14:paraId="34040000">
            <w:pPr>
              <w:spacing w:after="0" w:line="240" w:lineRule="auto"/>
              <w:ind/>
              <w:jc w:val="center"/>
              <w:rPr>
                <w:sz w:val="20"/>
              </w:rPr>
            </w:pPr>
          </w:p>
        </w:tc>
      </w:tr>
    </w:tbl>
    <w:p w14:paraId="35040000">
      <w:pPr>
        <w:spacing w:before="200" w:line="240" w:lineRule="auto"/>
        <w:ind w:firstLine="709" w:left="0"/>
        <w:jc w:val="both"/>
        <w:rPr>
          <w:b w:val="1"/>
          <w:sz w:val="28"/>
        </w:rPr>
      </w:pPr>
    </w:p>
    <w:p w14:paraId="36040000">
      <w:pPr>
        <w:spacing w:before="200" w:line="240" w:lineRule="auto"/>
        <w:ind w:firstLine="709" w:left="0"/>
        <w:jc w:val="both"/>
        <w:rPr>
          <w:b w:val="1"/>
          <w:sz w:val="28"/>
        </w:rPr>
      </w:pPr>
      <w:r>
        <w:rPr>
          <w:b w:val="1"/>
          <w:sz w:val="28"/>
        </w:rPr>
        <w:t xml:space="preserve">8.2 Потребляемые источником тепловой энергии виды топлива, включая местные виды топлива, а также используемые возобновляемыеисточники энергии </w:t>
      </w:r>
    </w:p>
    <w:p w14:paraId="37040000">
      <w:pPr>
        <w:spacing w:line="20" w:lineRule="atLeast"/>
        <w:ind w:firstLine="709" w:left="0"/>
        <w:jc w:val="both"/>
        <w:rPr>
          <w:sz w:val="28"/>
        </w:rPr>
      </w:pPr>
      <w:r>
        <w:rPr>
          <w:sz w:val="28"/>
        </w:rPr>
        <w:t xml:space="preserve">На территории Куйбышевского сельского поселения все котельные работают на </w:t>
      </w:r>
      <w:r>
        <w:rPr>
          <w:sz w:val="28"/>
        </w:rPr>
        <w:t>природном газе. Состав и характеристики используемых видов топлива практически неизменны. Резервное топливо не предусмотрено. Ввиду ограниченности ресурсов ВИЭ (ветер, вода, солнце, биомасса) и отсутствия приливных и геотермальных источников, ВИЭ в настоящ</w:t>
      </w:r>
      <w:r>
        <w:rPr>
          <w:sz w:val="28"/>
        </w:rPr>
        <w:t>ее время не применяются.</w:t>
      </w:r>
    </w:p>
    <w:p w14:paraId="38040000">
      <w:pPr>
        <w:spacing w:line="20" w:lineRule="atLeast"/>
        <w:ind w:firstLine="709" w:left="0"/>
        <w:jc w:val="both"/>
        <w:rPr>
          <w:b w:val="1"/>
          <w:sz w:val="28"/>
        </w:rPr>
      </w:pPr>
      <w:r>
        <w:rPr>
          <w:b w:val="1"/>
          <w:sz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14:paraId="39040000">
      <w:pPr>
        <w:spacing w:line="20" w:lineRule="atLeast"/>
        <w:ind w:firstLine="709" w:left="0"/>
        <w:jc w:val="both"/>
        <w:rPr>
          <w:sz w:val="28"/>
        </w:rPr>
      </w:pPr>
      <w:r>
        <w:rPr>
          <w:sz w:val="28"/>
        </w:rPr>
        <w:t>Вид топлива – природный газ. Принята доля и значение низшей теплоты сгорания топл</w:t>
      </w:r>
      <w:r>
        <w:rPr>
          <w:sz w:val="28"/>
        </w:rPr>
        <w:t>ива, используемые для производства тепловой энергии – 35,88 МДж/м</w:t>
      </w:r>
      <w:r>
        <w:rPr>
          <w:sz w:val="28"/>
          <w:vertAlign w:val="superscript"/>
        </w:rPr>
        <w:t>3</w:t>
      </w:r>
      <w:r>
        <w:rPr>
          <w:sz w:val="28"/>
        </w:rPr>
        <w:t>, 8062ккал/м</w:t>
      </w:r>
      <w:r>
        <w:rPr>
          <w:sz w:val="28"/>
          <w:vertAlign w:val="superscript"/>
        </w:rPr>
        <w:t>3</w:t>
      </w:r>
      <w:r>
        <w:rPr>
          <w:sz w:val="28"/>
        </w:rPr>
        <w:t xml:space="preserve">. </w:t>
      </w:r>
    </w:p>
    <w:p w14:paraId="3A040000">
      <w:pPr>
        <w:spacing w:line="20" w:lineRule="atLeast"/>
        <w:ind w:firstLine="709" w:left="0"/>
        <w:jc w:val="both"/>
        <w:rPr>
          <w:sz w:val="28"/>
        </w:rPr>
      </w:pPr>
      <w:r>
        <w:rPr>
          <w:b w:val="1"/>
          <w:sz w:val="28"/>
        </w:rPr>
        <w:t>8.4 Преобладающий в Куйбышевском сельском поселении Куйбышевского района,вид топлива, определяемый по совокупности всехсистем теплоснабжения, находящихся в Куйбышевском сельс</w:t>
      </w:r>
      <w:r>
        <w:rPr>
          <w:b w:val="1"/>
          <w:sz w:val="28"/>
        </w:rPr>
        <w:t>ком поселении Куйбышевского района</w:t>
      </w:r>
    </w:p>
    <w:p w14:paraId="3B040000">
      <w:pPr>
        <w:spacing w:line="20" w:lineRule="atLeast"/>
        <w:ind w:firstLine="709" w:left="0"/>
        <w:jc w:val="both"/>
        <w:rPr>
          <w:sz w:val="28"/>
        </w:rPr>
      </w:pPr>
      <w:r>
        <w:rPr>
          <w:sz w:val="28"/>
        </w:rPr>
        <w:t xml:space="preserve">Преобладающий вид топлива – это природный газ.  </w:t>
      </w:r>
    </w:p>
    <w:p w14:paraId="3C040000">
      <w:pPr>
        <w:spacing w:line="20" w:lineRule="atLeast"/>
        <w:ind w:firstLine="709" w:left="0"/>
        <w:jc w:val="both"/>
        <w:rPr>
          <w:b w:val="1"/>
          <w:sz w:val="28"/>
        </w:rPr>
      </w:pPr>
      <w:r>
        <w:rPr>
          <w:b w:val="1"/>
          <w:sz w:val="28"/>
        </w:rPr>
        <w:t xml:space="preserve">8.5 Приоритетное направление развития топливного баланса Куйбышевского сельского поселения Куйбышевского района </w:t>
      </w:r>
    </w:p>
    <w:p w14:paraId="3D040000">
      <w:pPr>
        <w:spacing w:line="20" w:lineRule="atLeast"/>
        <w:ind w:firstLine="709" w:left="0"/>
        <w:jc w:val="both"/>
        <w:rPr>
          <w:sz w:val="28"/>
        </w:rPr>
      </w:pPr>
      <w:r>
        <w:rPr>
          <w:sz w:val="28"/>
        </w:rPr>
        <w:t>Ввиду достаточной газификации Куйбышевского сельского посел</w:t>
      </w:r>
      <w:r>
        <w:rPr>
          <w:sz w:val="28"/>
        </w:rPr>
        <w:t xml:space="preserve">ения, перспективный топливный баланс сведён в таблицу 11. </w:t>
      </w:r>
    </w:p>
    <w:p w14:paraId="3E040000">
      <w:pPr>
        <w:spacing w:line="20" w:lineRule="atLeast"/>
        <w:ind w:firstLine="709" w:left="0"/>
        <w:jc w:val="both"/>
        <w:rPr>
          <w:sz w:val="28"/>
        </w:rPr>
      </w:pPr>
      <w:r>
        <w:rPr>
          <w:sz w:val="28"/>
        </w:rPr>
        <w:t xml:space="preserve">Таблица 11 Перспективный топливный баланс на 2033 год </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262"/>
        <w:gridCol w:w="1262"/>
        <w:gridCol w:w="981"/>
        <w:gridCol w:w="3503"/>
        <w:gridCol w:w="1262"/>
        <w:gridCol w:w="1261"/>
      </w:tblGrid>
      <w:tr>
        <w:trPr>
          <w:trHeight w:hRule="atLeast" w:val="288"/>
        </w:trPr>
        <w:tc>
          <w:tcPr>
            <w:tcW w:type="dxa" w:w="1262"/>
            <w:vMerge w:val="restart"/>
            <w:tcBorders>
              <w:top w:color="000000" w:sz="4" w:val="single"/>
              <w:left w:color="000000" w:sz="4" w:val="single"/>
              <w:bottom w:color="000000" w:sz="4" w:val="single"/>
              <w:right w:color="000000" w:sz="4" w:val="single"/>
            </w:tcBorders>
            <w:vAlign w:val="center"/>
          </w:tcPr>
          <w:p w14:paraId="3F040000">
            <w:pPr>
              <w:tabs>
                <w:tab w:leader="none" w:pos="960" w:val="left"/>
              </w:tabs>
              <w:spacing w:after="0" w:line="240" w:lineRule="auto"/>
              <w:ind/>
              <w:jc w:val="center"/>
              <w:rPr>
                <w:sz w:val="20"/>
              </w:rPr>
            </w:pPr>
            <w:r>
              <w:rPr>
                <w:sz w:val="20"/>
              </w:rPr>
              <w:t>Сельское поселение</w:t>
            </w:r>
          </w:p>
        </w:tc>
        <w:tc>
          <w:tcPr>
            <w:tcW w:type="dxa" w:w="2243"/>
            <w:gridSpan w:val="2"/>
            <w:tcBorders>
              <w:top w:color="000000" w:sz="4" w:val="single"/>
              <w:left w:color="000000" w:sz="4" w:val="single"/>
              <w:bottom w:color="000000" w:sz="4" w:val="single"/>
              <w:right w:color="000000" w:sz="4" w:val="single"/>
            </w:tcBorders>
            <w:vAlign w:val="center"/>
          </w:tcPr>
          <w:p w14:paraId="40040000">
            <w:pPr>
              <w:tabs>
                <w:tab w:leader="none" w:pos="960" w:val="left"/>
              </w:tabs>
              <w:spacing w:after="0" w:line="240" w:lineRule="auto"/>
              <w:ind/>
              <w:jc w:val="center"/>
              <w:rPr>
                <w:sz w:val="20"/>
              </w:rPr>
            </w:pPr>
            <w:r>
              <w:rPr>
                <w:sz w:val="20"/>
              </w:rPr>
              <w:t>Численность населения, тыс. чел.</w:t>
            </w:r>
          </w:p>
        </w:tc>
        <w:tc>
          <w:tcPr>
            <w:tcW w:type="dxa" w:w="3503"/>
            <w:vMerge w:val="restart"/>
            <w:tcBorders>
              <w:top w:color="000000" w:sz="4" w:val="single"/>
              <w:left w:color="000000" w:sz="4" w:val="single"/>
              <w:bottom w:color="000000" w:sz="4" w:val="single"/>
              <w:right w:color="000000" w:sz="4" w:val="single"/>
            </w:tcBorders>
            <w:vAlign w:val="center"/>
          </w:tcPr>
          <w:p w14:paraId="41040000">
            <w:pPr>
              <w:tabs>
                <w:tab w:leader="none" w:pos="960" w:val="left"/>
              </w:tabs>
              <w:spacing w:after="0" w:line="240" w:lineRule="auto"/>
              <w:ind/>
              <w:jc w:val="center"/>
              <w:rPr>
                <w:sz w:val="20"/>
              </w:rPr>
            </w:pPr>
            <w:r>
              <w:rPr>
                <w:sz w:val="20"/>
              </w:rPr>
              <w:t>Укрупненный показатель потребления газа м</w:t>
            </w:r>
            <w:r>
              <w:rPr>
                <w:sz w:val="20"/>
                <w:vertAlign w:val="superscript"/>
              </w:rPr>
              <w:t>3</w:t>
            </w:r>
            <w:r>
              <w:rPr>
                <w:sz w:val="20"/>
              </w:rPr>
              <w:t>/год на 1 чел. до 2033 года</w:t>
            </w:r>
          </w:p>
        </w:tc>
        <w:tc>
          <w:tcPr>
            <w:tcW w:type="dxa" w:w="2523"/>
            <w:gridSpan w:val="2"/>
            <w:tcBorders>
              <w:top w:color="000000" w:sz="4" w:val="single"/>
              <w:left w:color="000000" w:sz="4" w:val="single"/>
              <w:bottom w:color="000000" w:sz="4" w:val="single"/>
              <w:right w:color="000000" w:sz="4" w:val="single"/>
            </w:tcBorders>
            <w:vAlign w:val="center"/>
          </w:tcPr>
          <w:p w14:paraId="42040000">
            <w:pPr>
              <w:tabs>
                <w:tab w:leader="none" w:pos="960" w:val="left"/>
              </w:tabs>
              <w:spacing w:after="0" w:line="240" w:lineRule="auto"/>
              <w:ind/>
              <w:jc w:val="center"/>
              <w:rPr>
                <w:sz w:val="20"/>
              </w:rPr>
            </w:pPr>
            <w:r>
              <w:rPr>
                <w:sz w:val="20"/>
              </w:rPr>
              <w:t xml:space="preserve">Потребление газа    </w:t>
            </w:r>
            <w:r>
              <w:rPr>
                <w:sz w:val="20"/>
              </w:rPr>
              <w:t xml:space="preserve">            (тыс. м</w:t>
            </w:r>
            <w:r>
              <w:rPr>
                <w:sz w:val="20"/>
                <w:vertAlign w:val="superscript"/>
              </w:rPr>
              <w:t>3</w:t>
            </w:r>
            <w:r>
              <w:rPr>
                <w:sz w:val="20"/>
              </w:rPr>
              <w:t>/год)</w:t>
            </w:r>
          </w:p>
        </w:tc>
      </w:tr>
      <w:tr>
        <w:trPr>
          <w:trHeight w:hRule="atLeast" w:val="288"/>
        </w:trPr>
        <w:tc>
          <w:tcPr>
            <w:tcW w:type="dxa" w:w="1262"/>
            <w:gridSpan w:val="1"/>
            <w:vMerge w:val="continue"/>
            <w:tcBorders>
              <w:top w:color="000000" w:sz="4" w:val="single"/>
              <w:left w:color="000000" w:sz="4" w:val="single"/>
              <w:bottom w:color="000000" w:sz="4" w:val="single"/>
              <w:right w:color="000000" w:sz="4" w:val="single"/>
            </w:tcBorders>
            <w:vAlign w:val="center"/>
          </w:tcPr>
          <w:p/>
        </w:tc>
        <w:tc>
          <w:tcPr>
            <w:tcW w:type="dxa" w:w="1262"/>
            <w:tcBorders>
              <w:top w:color="000000" w:sz="4" w:val="single"/>
              <w:left w:color="000000" w:sz="4" w:val="single"/>
              <w:bottom w:color="000000" w:sz="4" w:val="single"/>
              <w:right w:color="000000" w:sz="4" w:val="single"/>
            </w:tcBorders>
            <w:vAlign w:val="center"/>
          </w:tcPr>
          <w:p w14:paraId="43040000">
            <w:pPr>
              <w:tabs>
                <w:tab w:leader="none" w:pos="960" w:val="left"/>
              </w:tabs>
              <w:spacing w:after="0" w:line="240" w:lineRule="auto"/>
              <w:ind/>
              <w:jc w:val="center"/>
              <w:rPr>
                <w:sz w:val="20"/>
              </w:rPr>
            </w:pPr>
            <w:r>
              <w:rPr>
                <w:sz w:val="20"/>
              </w:rPr>
              <w:t>2023 год</w:t>
            </w:r>
          </w:p>
        </w:tc>
        <w:tc>
          <w:tcPr>
            <w:tcW w:type="dxa" w:w="981"/>
            <w:tcBorders>
              <w:top w:color="000000" w:sz="4" w:val="single"/>
              <w:left w:color="000000" w:sz="4" w:val="single"/>
              <w:bottom w:color="000000" w:sz="4" w:val="single"/>
              <w:right w:color="000000" w:sz="4" w:val="single"/>
            </w:tcBorders>
            <w:vAlign w:val="center"/>
          </w:tcPr>
          <w:p w14:paraId="44040000">
            <w:pPr>
              <w:tabs>
                <w:tab w:leader="none" w:pos="960" w:val="left"/>
              </w:tabs>
              <w:spacing w:after="0" w:line="240" w:lineRule="auto"/>
              <w:ind/>
              <w:jc w:val="center"/>
              <w:rPr>
                <w:sz w:val="20"/>
              </w:rPr>
            </w:pPr>
            <w:r>
              <w:rPr>
                <w:sz w:val="20"/>
              </w:rPr>
              <w:t>2033 год</w:t>
            </w:r>
          </w:p>
        </w:tc>
        <w:tc>
          <w:tcPr>
            <w:tcW w:type="dxa" w:w="3503"/>
            <w:gridSpan w:val="1"/>
            <w:vMerge w:val="continue"/>
            <w:tcBorders>
              <w:top w:color="000000" w:sz="4" w:val="single"/>
              <w:left w:color="000000" w:sz="4" w:val="single"/>
              <w:bottom w:color="000000" w:sz="4" w:val="single"/>
              <w:right w:color="000000" w:sz="4" w:val="single"/>
            </w:tcBorders>
            <w:vAlign w:val="center"/>
          </w:tcPr>
          <w:p/>
        </w:tc>
        <w:tc>
          <w:tcPr>
            <w:tcW w:type="dxa" w:w="1262"/>
            <w:tcBorders>
              <w:top w:color="000000" w:sz="4" w:val="single"/>
              <w:left w:color="000000" w:sz="4" w:val="single"/>
              <w:bottom w:color="000000" w:sz="4" w:val="single"/>
              <w:right w:color="000000" w:sz="4" w:val="single"/>
            </w:tcBorders>
            <w:vAlign w:val="center"/>
          </w:tcPr>
          <w:p w14:paraId="45040000">
            <w:pPr>
              <w:tabs>
                <w:tab w:leader="none" w:pos="960" w:val="left"/>
              </w:tabs>
              <w:spacing w:after="0" w:line="240" w:lineRule="auto"/>
              <w:ind/>
              <w:jc w:val="center"/>
              <w:rPr>
                <w:sz w:val="20"/>
              </w:rPr>
            </w:pPr>
            <w:r>
              <w:rPr>
                <w:sz w:val="20"/>
              </w:rPr>
              <w:t>2023 год</w:t>
            </w:r>
          </w:p>
        </w:tc>
        <w:tc>
          <w:tcPr>
            <w:tcW w:type="dxa" w:w="1261"/>
            <w:tcBorders>
              <w:top w:color="000000" w:sz="4" w:val="single"/>
              <w:left w:color="000000" w:sz="4" w:val="single"/>
              <w:bottom w:color="000000" w:sz="4" w:val="single"/>
              <w:right w:color="000000" w:sz="4" w:val="single"/>
            </w:tcBorders>
            <w:vAlign w:val="center"/>
          </w:tcPr>
          <w:p w14:paraId="46040000">
            <w:pPr>
              <w:tabs>
                <w:tab w:leader="none" w:pos="960" w:val="left"/>
              </w:tabs>
              <w:spacing w:after="0" w:line="240" w:lineRule="auto"/>
              <w:ind/>
              <w:jc w:val="center"/>
              <w:rPr>
                <w:sz w:val="20"/>
              </w:rPr>
            </w:pPr>
            <w:r>
              <w:rPr>
                <w:sz w:val="20"/>
              </w:rPr>
              <w:t>2033 год</w:t>
            </w:r>
          </w:p>
        </w:tc>
      </w:tr>
      <w:tr>
        <w:trPr>
          <w:trHeight w:hRule="atLeast" w:val="329"/>
        </w:trPr>
        <w:tc>
          <w:tcPr>
            <w:tcW w:type="dxa" w:w="1262"/>
            <w:tcBorders>
              <w:top w:color="000000" w:sz="4" w:val="single"/>
              <w:left w:color="000000" w:sz="4" w:val="single"/>
              <w:bottom w:color="000000" w:sz="4" w:val="single"/>
              <w:right w:color="000000" w:sz="4" w:val="single"/>
            </w:tcBorders>
            <w:vAlign w:val="center"/>
          </w:tcPr>
          <w:p w14:paraId="47040000">
            <w:pPr>
              <w:tabs>
                <w:tab w:leader="none" w:pos="960" w:val="left"/>
              </w:tabs>
              <w:spacing w:after="0" w:line="240" w:lineRule="auto"/>
              <w:ind/>
              <w:jc w:val="center"/>
              <w:rPr>
                <w:sz w:val="20"/>
              </w:rPr>
            </w:pPr>
            <w:r>
              <w:rPr>
                <w:sz w:val="20"/>
              </w:rPr>
              <w:t>Куйбы-шевское</w:t>
            </w:r>
          </w:p>
        </w:tc>
        <w:tc>
          <w:tcPr>
            <w:tcW w:type="dxa" w:w="1262"/>
            <w:tcBorders>
              <w:top w:color="000000" w:sz="4" w:val="single"/>
              <w:left w:color="000000" w:sz="4" w:val="single"/>
              <w:bottom w:color="000000" w:sz="4" w:val="single"/>
              <w:right w:color="000000" w:sz="4" w:val="single"/>
            </w:tcBorders>
            <w:vAlign w:val="center"/>
          </w:tcPr>
          <w:p w14:paraId="48040000">
            <w:pPr>
              <w:tabs>
                <w:tab w:leader="none" w:pos="960" w:val="left"/>
              </w:tabs>
              <w:spacing w:after="0" w:line="240" w:lineRule="auto"/>
              <w:ind/>
              <w:jc w:val="center"/>
              <w:rPr>
                <w:sz w:val="20"/>
              </w:rPr>
            </w:pPr>
            <w:r>
              <w:rPr>
                <w:sz w:val="20"/>
              </w:rPr>
              <w:t>7,598</w:t>
            </w:r>
          </w:p>
        </w:tc>
        <w:tc>
          <w:tcPr>
            <w:tcW w:type="dxa" w:w="981"/>
            <w:tcBorders>
              <w:top w:color="000000" w:sz="4" w:val="single"/>
              <w:left w:color="000000" w:sz="4" w:val="single"/>
              <w:bottom w:color="000000" w:sz="4" w:val="single"/>
              <w:right w:color="000000" w:sz="4" w:val="single"/>
            </w:tcBorders>
            <w:vAlign w:val="center"/>
          </w:tcPr>
          <w:p w14:paraId="49040000">
            <w:pPr>
              <w:tabs>
                <w:tab w:leader="none" w:pos="960" w:val="left"/>
              </w:tabs>
              <w:spacing w:after="0" w:line="240" w:lineRule="auto"/>
              <w:ind/>
              <w:jc w:val="center"/>
              <w:rPr>
                <w:sz w:val="20"/>
              </w:rPr>
            </w:pPr>
            <w:r>
              <w:rPr>
                <w:sz w:val="20"/>
              </w:rPr>
              <w:t>8,155</w:t>
            </w:r>
          </w:p>
        </w:tc>
        <w:tc>
          <w:tcPr>
            <w:tcW w:type="dxa" w:w="3503"/>
            <w:tcBorders>
              <w:top w:color="000000" w:sz="4" w:val="single"/>
              <w:left w:color="000000" w:sz="4" w:val="single"/>
              <w:bottom w:color="000000" w:sz="4" w:val="single"/>
              <w:right w:color="000000" w:sz="4" w:val="single"/>
            </w:tcBorders>
            <w:vAlign w:val="center"/>
          </w:tcPr>
          <w:p w14:paraId="4A040000">
            <w:pPr>
              <w:tabs>
                <w:tab w:leader="none" w:pos="960" w:val="left"/>
              </w:tabs>
              <w:spacing w:after="0" w:line="240" w:lineRule="auto"/>
              <w:ind/>
              <w:jc w:val="center"/>
              <w:rPr>
                <w:sz w:val="20"/>
              </w:rPr>
            </w:pPr>
            <w:r>
              <w:rPr>
                <w:sz w:val="20"/>
              </w:rPr>
              <w:t>2,71</w:t>
            </w:r>
          </w:p>
        </w:tc>
        <w:tc>
          <w:tcPr>
            <w:tcW w:type="dxa" w:w="1262"/>
            <w:tcBorders>
              <w:top w:color="000000" w:sz="4" w:val="single"/>
              <w:left w:color="000000" w:sz="4" w:val="single"/>
              <w:bottom w:color="000000" w:sz="4" w:val="single"/>
              <w:right w:color="000000" w:sz="4" w:val="single"/>
            </w:tcBorders>
            <w:vAlign w:val="center"/>
          </w:tcPr>
          <w:p w14:paraId="4B040000">
            <w:pPr>
              <w:tabs>
                <w:tab w:leader="none" w:pos="960" w:val="left"/>
              </w:tabs>
              <w:spacing w:after="0" w:line="240" w:lineRule="auto"/>
              <w:ind/>
              <w:jc w:val="center"/>
              <w:rPr>
                <w:sz w:val="20"/>
              </w:rPr>
            </w:pPr>
            <w:r>
              <w:rPr>
                <w:sz w:val="20"/>
              </w:rPr>
              <w:t>16261</w:t>
            </w:r>
          </w:p>
        </w:tc>
        <w:tc>
          <w:tcPr>
            <w:tcW w:type="dxa" w:w="1261"/>
            <w:tcBorders>
              <w:top w:color="000000" w:sz="4" w:val="single"/>
              <w:left w:color="000000" w:sz="4" w:val="single"/>
              <w:bottom w:color="000000" w:sz="4" w:val="single"/>
              <w:right w:color="000000" w:sz="4" w:val="single"/>
            </w:tcBorders>
            <w:vAlign w:val="center"/>
          </w:tcPr>
          <w:p w14:paraId="4C040000">
            <w:pPr>
              <w:tabs>
                <w:tab w:leader="none" w:pos="960" w:val="left"/>
              </w:tabs>
              <w:spacing w:after="0" w:line="240" w:lineRule="auto"/>
              <w:ind/>
              <w:jc w:val="center"/>
              <w:rPr>
                <w:sz w:val="20"/>
              </w:rPr>
            </w:pPr>
            <w:r>
              <w:rPr>
                <w:sz w:val="20"/>
              </w:rPr>
              <w:t>22132</w:t>
            </w:r>
          </w:p>
        </w:tc>
      </w:tr>
    </w:tbl>
    <w:p w14:paraId="4D040000">
      <w:pPr>
        <w:spacing w:before="200" w:line="20" w:lineRule="atLeast"/>
        <w:ind w:firstLine="709" w:left="0"/>
        <w:jc w:val="both"/>
        <w:rPr>
          <w:b w:val="1"/>
          <w:sz w:val="28"/>
        </w:rPr>
      </w:pPr>
      <w:r>
        <w:rPr>
          <w:b w:val="1"/>
          <w:sz w:val="28"/>
        </w:rPr>
        <w:t xml:space="preserve">РАЗДЕЛ 9. ИНВЕСТИЦИИ В СТРОИТЕЛЬСТВО, РЕКОНСТРУКЦИЮ, ТЕХНИЧЕСКОЕ ПЕРЕВООРУЖЕНИЕИ (ИЛИ) МОДЕРНИЗАЦИЮ КУЙБЫШЕВСКОГО СЕЛЬСКОГО ПОСЕЛЕНИЯ </w:t>
      </w:r>
      <w:r>
        <w:rPr>
          <w:b w:val="1"/>
          <w:sz w:val="28"/>
        </w:rPr>
        <w:t>КУЙБЫШЕВСКОГО РАЙОНА</w:t>
      </w:r>
    </w:p>
    <w:p w14:paraId="4E040000">
      <w:pPr>
        <w:spacing w:before="200" w:line="20" w:lineRule="atLeast"/>
        <w:ind w:firstLine="709" w:left="0"/>
        <w:jc w:val="both"/>
        <w:rPr>
          <w:b w:val="1"/>
          <w:sz w:val="28"/>
        </w:rPr>
      </w:pPr>
      <w:r>
        <w:rPr>
          <w:b w:val="1"/>
          <w:sz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14:paraId="4F040000">
      <w:pPr>
        <w:spacing w:line="20" w:lineRule="atLeast"/>
        <w:ind/>
        <w:jc w:val="both"/>
        <w:rPr>
          <w:sz w:val="28"/>
        </w:rPr>
      </w:pPr>
      <w:r>
        <w:rPr>
          <w:sz w:val="28"/>
        </w:rPr>
        <w:t>Таблица 12 Предложения по величине необходимых инвестиций</w:t>
      </w:r>
    </w:p>
    <w:tbl>
      <w:tblPr>
        <w:tblStyle w:val="Style_4"/>
        <w:tblInd w:type="dxa" w:w="11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37"/>
        <w:gridCol w:w="5626"/>
        <w:gridCol w:w="701"/>
        <w:gridCol w:w="1261"/>
      </w:tblGrid>
      <w:tr>
        <w:trPr>
          <w:trHeight w:hRule="atLeast" w:val="645"/>
        </w:trPr>
        <w:tc>
          <w:tcPr>
            <w:tcW w:type="dxa" w:w="1937"/>
            <w:tcBorders>
              <w:top w:color="000000" w:sz="4" w:val="single"/>
              <w:left w:color="000000" w:sz="4" w:val="single"/>
              <w:bottom w:color="000000" w:sz="4" w:val="single"/>
              <w:right w:color="000000" w:sz="4" w:val="single"/>
            </w:tcBorders>
            <w:vAlign w:val="center"/>
          </w:tcPr>
          <w:p w14:paraId="50040000">
            <w:pPr>
              <w:spacing w:after="0" w:line="240" w:lineRule="auto"/>
              <w:ind/>
              <w:jc w:val="center"/>
              <w:rPr>
                <w:sz w:val="20"/>
              </w:rPr>
            </w:pPr>
            <w:r>
              <w:rPr>
                <w:sz w:val="20"/>
              </w:rPr>
              <w:t>Ад</w:t>
            </w:r>
            <w:r>
              <w:rPr>
                <w:sz w:val="20"/>
              </w:rPr>
              <w:t>рес котельной</w:t>
            </w:r>
          </w:p>
        </w:tc>
        <w:tc>
          <w:tcPr>
            <w:tcW w:type="dxa" w:w="5626"/>
            <w:tcBorders>
              <w:top w:color="000000" w:sz="4" w:val="single"/>
              <w:left w:color="000000" w:sz="4" w:val="single"/>
              <w:bottom w:color="000000" w:sz="4" w:val="single"/>
              <w:right w:color="000000" w:sz="4" w:val="single"/>
            </w:tcBorders>
            <w:vAlign w:val="center"/>
          </w:tcPr>
          <w:p w14:paraId="51040000">
            <w:pPr>
              <w:spacing w:after="0" w:line="240" w:lineRule="auto"/>
              <w:ind/>
              <w:jc w:val="center"/>
              <w:rPr>
                <w:sz w:val="20"/>
              </w:rPr>
            </w:pPr>
            <w:r>
              <w:rPr>
                <w:sz w:val="20"/>
              </w:rPr>
              <w:t>Перечень планируемых инвестиционных мероприятий</w:t>
            </w:r>
          </w:p>
        </w:tc>
        <w:tc>
          <w:tcPr>
            <w:tcW w:type="dxa" w:w="701"/>
            <w:tcBorders>
              <w:top w:color="000000" w:sz="4" w:val="single"/>
              <w:left w:color="000000" w:sz="4" w:val="single"/>
              <w:bottom w:color="000000" w:sz="4" w:val="single"/>
              <w:right w:color="000000" w:sz="4" w:val="single"/>
            </w:tcBorders>
            <w:vAlign w:val="center"/>
          </w:tcPr>
          <w:p w14:paraId="52040000">
            <w:pPr>
              <w:spacing w:after="0" w:line="240" w:lineRule="auto"/>
              <w:ind/>
              <w:jc w:val="center"/>
              <w:rPr>
                <w:sz w:val="20"/>
              </w:rPr>
            </w:pPr>
            <w:r>
              <w:rPr>
                <w:sz w:val="20"/>
              </w:rPr>
              <w:t xml:space="preserve">Срок </w:t>
            </w:r>
          </w:p>
        </w:tc>
        <w:tc>
          <w:tcPr>
            <w:tcW w:type="dxa" w:w="1261"/>
            <w:tcBorders>
              <w:top w:color="000000" w:sz="4" w:val="single"/>
              <w:left w:color="000000" w:sz="4" w:val="single"/>
              <w:bottom w:color="000000" w:sz="4" w:val="single"/>
              <w:right w:color="000000" w:sz="4" w:val="single"/>
            </w:tcBorders>
          </w:tcPr>
          <w:p w14:paraId="53040000">
            <w:pPr>
              <w:spacing w:after="0" w:line="240" w:lineRule="auto"/>
              <w:ind/>
              <w:jc w:val="center"/>
              <w:rPr>
                <w:sz w:val="20"/>
              </w:rPr>
            </w:pPr>
            <w:r>
              <w:rPr>
                <w:sz w:val="20"/>
              </w:rPr>
              <w:t>Планируе-мый объём инвестиций,              тыс. руб.</w:t>
            </w:r>
          </w:p>
        </w:tc>
      </w:tr>
      <w:tr>
        <w:trPr>
          <w:trHeight w:hRule="atLeast" w:val="1361"/>
        </w:trPr>
        <w:tc>
          <w:tcPr>
            <w:tcW w:type="dxa" w:w="1937"/>
            <w:tcBorders>
              <w:top w:color="000000" w:sz="4" w:val="single"/>
              <w:left w:color="000000" w:sz="4" w:val="single"/>
              <w:bottom w:color="000000" w:sz="4" w:val="single"/>
              <w:right w:color="000000" w:sz="4" w:val="single"/>
            </w:tcBorders>
          </w:tcPr>
          <w:p w14:paraId="54040000">
            <w:pPr>
              <w:spacing w:after="0" w:line="240" w:lineRule="auto"/>
              <w:ind/>
              <w:rPr>
                <w:sz w:val="20"/>
              </w:rPr>
            </w:pPr>
            <w:r>
              <w:rPr>
                <w:sz w:val="20"/>
              </w:rPr>
              <w:t>с. Русское, ул. Красноармейская,8-а</w:t>
            </w:r>
          </w:p>
        </w:tc>
        <w:tc>
          <w:tcPr>
            <w:tcW w:type="dxa" w:w="5626"/>
            <w:tcBorders>
              <w:top w:color="000000" w:sz="4" w:val="single"/>
              <w:left w:color="000000" w:sz="4" w:val="single"/>
              <w:bottom w:color="000000" w:sz="4" w:val="single"/>
              <w:right w:color="000000" w:sz="4" w:val="single"/>
            </w:tcBorders>
          </w:tcPr>
          <w:p w14:paraId="55040000">
            <w:pPr>
              <w:spacing w:after="0" w:line="240" w:lineRule="auto"/>
              <w:ind/>
              <w:rPr>
                <w:sz w:val="20"/>
              </w:rPr>
            </w:pPr>
            <w:r>
              <w:rPr>
                <w:sz w:val="20"/>
              </w:rPr>
              <w:t xml:space="preserve">Замена котла марки КЧМ-5 (9 секций) </w:t>
            </w:r>
            <w:r>
              <w:rPr>
                <w:sz w:val="20"/>
              </w:rPr>
              <w:br/>
            </w:r>
            <w:r>
              <w:rPr>
                <w:sz w:val="20"/>
              </w:rPr>
              <w:t>Замена вычислительного комплекса СГ-ТК-Д25</w:t>
            </w:r>
            <w:r>
              <w:rPr>
                <w:sz w:val="20"/>
              </w:rPr>
              <w:br/>
            </w:r>
            <w:r>
              <w:rPr>
                <w:sz w:val="20"/>
              </w:rPr>
              <w:t xml:space="preserve">Замена </w:t>
            </w:r>
            <w:r>
              <w:rPr>
                <w:sz w:val="20"/>
              </w:rPr>
              <w:t>циркуляционного насоса Grundfos UPS 60-180F</w:t>
            </w:r>
            <w:r>
              <w:rPr>
                <w:sz w:val="20"/>
              </w:rPr>
              <w:br/>
            </w:r>
            <w:r>
              <w:rPr>
                <w:sz w:val="20"/>
              </w:rPr>
              <w:t xml:space="preserve">Замена окна </w:t>
            </w:r>
            <w:r>
              <w:rPr>
                <w:sz w:val="20"/>
              </w:rPr>
              <w:br/>
            </w:r>
            <w:r>
              <w:rPr>
                <w:sz w:val="20"/>
              </w:rPr>
              <w:t xml:space="preserve">Замена двери </w:t>
            </w:r>
            <w:r>
              <w:rPr>
                <w:sz w:val="20"/>
              </w:rPr>
              <w:br/>
            </w:r>
            <w:r>
              <w:rPr>
                <w:sz w:val="20"/>
              </w:rPr>
              <w:t xml:space="preserve">Ремонт кровли </w:t>
            </w:r>
          </w:p>
        </w:tc>
        <w:tc>
          <w:tcPr>
            <w:tcW w:type="dxa" w:w="701"/>
            <w:tcBorders>
              <w:top w:color="000000" w:sz="4" w:val="single"/>
              <w:left w:color="000000" w:sz="4" w:val="single"/>
              <w:bottom w:color="000000" w:sz="4" w:val="single"/>
              <w:right w:color="000000" w:sz="4" w:val="single"/>
            </w:tcBorders>
          </w:tcPr>
          <w:p w14:paraId="56040000">
            <w:pPr>
              <w:spacing w:after="0" w:line="240" w:lineRule="auto"/>
              <w:ind/>
              <w:rPr>
                <w:sz w:val="20"/>
              </w:rPr>
            </w:pPr>
            <w:r>
              <w:rPr>
                <w:sz w:val="20"/>
              </w:rPr>
              <w:t>2035</w:t>
            </w:r>
            <w:r>
              <w:rPr>
                <w:sz w:val="20"/>
              </w:rPr>
              <w:br/>
            </w:r>
            <w:r>
              <w:rPr>
                <w:sz w:val="20"/>
              </w:rPr>
              <w:t>2035</w:t>
            </w:r>
            <w:r>
              <w:rPr>
                <w:sz w:val="20"/>
              </w:rPr>
              <w:br/>
            </w:r>
            <w:r>
              <w:rPr>
                <w:sz w:val="20"/>
              </w:rPr>
              <w:t>2024</w:t>
            </w:r>
          </w:p>
          <w:p w14:paraId="57040000">
            <w:pPr>
              <w:spacing w:after="0" w:line="240" w:lineRule="auto"/>
              <w:ind/>
              <w:rPr>
                <w:sz w:val="20"/>
              </w:rPr>
            </w:pPr>
            <w:r>
              <w:rPr>
                <w:sz w:val="20"/>
              </w:rPr>
              <w:t>2024</w:t>
            </w:r>
            <w:r>
              <w:rPr>
                <w:sz w:val="20"/>
              </w:rPr>
              <w:br/>
            </w:r>
            <w:r>
              <w:rPr>
                <w:sz w:val="20"/>
              </w:rPr>
              <w:t>2045</w:t>
            </w:r>
            <w:r>
              <w:rPr>
                <w:sz w:val="20"/>
              </w:rPr>
              <w:br/>
            </w:r>
            <w:r>
              <w:rPr>
                <w:sz w:val="20"/>
              </w:rPr>
              <w:t>2032</w:t>
            </w:r>
            <w:r>
              <w:rPr>
                <w:sz w:val="20"/>
              </w:rPr>
              <w:br/>
            </w:r>
          </w:p>
        </w:tc>
        <w:tc>
          <w:tcPr>
            <w:tcW w:type="dxa" w:w="1261"/>
            <w:tcBorders>
              <w:top w:color="000000" w:sz="4" w:val="single"/>
              <w:left w:color="000000" w:sz="4" w:val="single"/>
              <w:bottom w:color="000000" w:sz="4" w:val="single"/>
              <w:right w:color="000000" w:sz="4" w:val="single"/>
            </w:tcBorders>
            <w:vAlign w:val="center"/>
          </w:tcPr>
          <w:p w14:paraId="58040000">
            <w:pPr>
              <w:spacing w:after="0" w:line="240" w:lineRule="auto"/>
              <w:ind/>
              <w:jc w:val="center"/>
              <w:rPr>
                <w:sz w:val="20"/>
              </w:rPr>
            </w:pPr>
            <w:r>
              <w:rPr>
                <w:sz w:val="20"/>
              </w:rPr>
              <w:t>1502,0</w:t>
            </w:r>
          </w:p>
        </w:tc>
      </w:tr>
      <w:tr>
        <w:trPr>
          <w:trHeight w:hRule="atLeast" w:val="203"/>
        </w:trPr>
        <w:tc>
          <w:tcPr>
            <w:tcW w:type="dxa" w:w="1937"/>
            <w:tcBorders>
              <w:top w:color="000000" w:sz="4" w:val="single"/>
              <w:left w:color="000000" w:sz="4" w:val="single"/>
              <w:bottom w:color="000000" w:sz="4" w:val="single"/>
              <w:right w:color="000000" w:sz="4" w:val="single"/>
            </w:tcBorders>
          </w:tcPr>
          <w:p w14:paraId="59040000">
            <w:pPr>
              <w:spacing w:after="0" w:line="240" w:lineRule="auto"/>
              <w:ind/>
              <w:rPr>
                <w:sz w:val="20"/>
              </w:rPr>
            </w:pPr>
            <w:r>
              <w:rPr>
                <w:sz w:val="20"/>
              </w:rPr>
              <w:t xml:space="preserve">с. Русское, ул. Героя Советского Союза М. П. Алексеева, 8 </w:t>
            </w:r>
          </w:p>
        </w:tc>
        <w:tc>
          <w:tcPr>
            <w:tcW w:type="dxa" w:w="5626"/>
            <w:tcBorders>
              <w:top w:color="000000" w:sz="4" w:val="single"/>
              <w:left w:color="000000" w:sz="4" w:val="single"/>
              <w:bottom w:color="000000" w:sz="4" w:val="single"/>
              <w:right w:color="000000" w:sz="4" w:val="single"/>
            </w:tcBorders>
          </w:tcPr>
          <w:p w14:paraId="5A040000">
            <w:pPr>
              <w:spacing w:after="240" w:line="240" w:lineRule="auto"/>
              <w:ind/>
              <w:rPr>
                <w:sz w:val="20"/>
              </w:rPr>
            </w:pPr>
            <w:r>
              <w:rPr>
                <w:sz w:val="20"/>
              </w:rPr>
              <w:t xml:space="preserve">Замена котла марки КСГВ-31,5 </w:t>
            </w:r>
            <w:r>
              <w:rPr>
                <w:sz w:val="20"/>
              </w:rPr>
              <w:br/>
            </w:r>
            <w:r>
              <w:rPr>
                <w:sz w:val="20"/>
              </w:rPr>
              <w:t>Замена циркуляционного насоса UPS 32-60</w:t>
            </w:r>
            <w:r>
              <w:rPr>
                <w:sz w:val="20"/>
              </w:rPr>
              <w:br/>
            </w:r>
            <w:r>
              <w:rPr>
                <w:sz w:val="20"/>
              </w:rPr>
              <w:t>Замена счетчика газа Metrix G6T</w:t>
            </w:r>
            <w:r>
              <w:rPr>
                <w:sz w:val="20"/>
              </w:rPr>
              <w:br/>
            </w:r>
            <w:r>
              <w:rPr>
                <w:sz w:val="20"/>
              </w:rPr>
              <w:t xml:space="preserve">Замена котла марки Атон КСГ-30 </w:t>
            </w:r>
            <w:r>
              <w:rPr>
                <w:sz w:val="20"/>
              </w:rPr>
              <w:br/>
            </w:r>
            <w:r>
              <w:rPr>
                <w:sz w:val="20"/>
              </w:rPr>
              <w:t>Замена окна на пластиковое</w:t>
            </w:r>
            <w:r>
              <w:rPr>
                <w:sz w:val="20"/>
              </w:rPr>
              <w:br/>
            </w:r>
            <w:r>
              <w:rPr>
                <w:sz w:val="20"/>
              </w:rPr>
              <w:t xml:space="preserve">Ремонт кровли </w:t>
            </w:r>
          </w:p>
        </w:tc>
        <w:tc>
          <w:tcPr>
            <w:tcW w:type="dxa" w:w="701"/>
            <w:tcBorders>
              <w:top w:color="000000" w:sz="4" w:val="single"/>
              <w:left w:color="000000" w:sz="4" w:val="single"/>
              <w:bottom w:color="000000" w:sz="4" w:val="single"/>
              <w:right w:color="000000" w:sz="4" w:val="single"/>
            </w:tcBorders>
          </w:tcPr>
          <w:p w14:paraId="5B040000">
            <w:pPr>
              <w:spacing w:after="0" w:line="240" w:lineRule="auto"/>
              <w:ind/>
              <w:rPr>
                <w:sz w:val="20"/>
              </w:rPr>
            </w:pPr>
            <w:r>
              <w:rPr>
                <w:sz w:val="20"/>
              </w:rPr>
              <w:t>2025</w:t>
            </w:r>
            <w:r>
              <w:rPr>
                <w:sz w:val="20"/>
              </w:rPr>
              <w:br/>
            </w:r>
            <w:r>
              <w:rPr>
                <w:sz w:val="20"/>
              </w:rPr>
              <w:t>2023</w:t>
            </w:r>
            <w:r>
              <w:rPr>
                <w:sz w:val="20"/>
              </w:rPr>
              <w:br/>
            </w:r>
            <w:r>
              <w:rPr>
                <w:sz w:val="20"/>
              </w:rPr>
              <w:t>2025</w:t>
            </w:r>
            <w:r>
              <w:rPr>
                <w:sz w:val="20"/>
              </w:rPr>
              <w:br/>
            </w:r>
            <w:r>
              <w:rPr>
                <w:sz w:val="20"/>
              </w:rPr>
              <w:t>2025</w:t>
            </w:r>
            <w:r>
              <w:rPr>
                <w:sz w:val="20"/>
              </w:rPr>
              <w:br/>
            </w:r>
            <w:r>
              <w:rPr>
                <w:sz w:val="20"/>
              </w:rPr>
              <w:t>2026</w:t>
            </w:r>
            <w:r>
              <w:rPr>
                <w:sz w:val="20"/>
              </w:rPr>
              <w:br/>
            </w:r>
            <w:r>
              <w:rPr>
                <w:sz w:val="20"/>
              </w:rPr>
              <w:t>2026</w:t>
            </w:r>
          </w:p>
        </w:tc>
        <w:tc>
          <w:tcPr>
            <w:tcW w:type="dxa" w:w="1261"/>
            <w:tcBorders>
              <w:top w:color="000000" w:sz="4" w:val="single"/>
              <w:left w:color="000000" w:sz="4" w:val="single"/>
              <w:bottom w:color="000000" w:sz="4" w:val="single"/>
              <w:right w:color="000000" w:sz="4" w:val="single"/>
            </w:tcBorders>
            <w:vAlign w:val="center"/>
          </w:tcPr>
          <w:p w14:paraId="5C040000">
            <w:pPr>
              <w:spacing w:after="0" w:line="240" w:lineRule="auto"/>
              <w:ind/>
              <w:jc w:val="center"/>
              <w:rPr>
                <w:sz w:val="20"/>
              </w:rPr>
            </w:pPr>
            <w:r>
              <w:rPr>
                <w:sz w:val="20"/>
              </w:rPr>
              <w:t>378,0</w:t>
            </w:r>
          </w:p>
        </w:tc>
      </w:tr>
      <w:tr>
        <w:trPr>
          <w:trHeight w:hRule="atLeast" w:val="713"/>
        </w:trPr>
        <w:tc>
          <w:tcPr>
            <w:tcW w:type="dxa" w:w="1937"/>
            <w:tcBorders>
              <w:top w:color="000000" w:sz="4" w:val="single"/>
              <w:left w:color="000000" w:sz="4" w:val="single"/>
              <w:bottom w:color="000000" w:sz="4" w:val="single"/>
              <w:right w:color="000000" w:sz="4" w:val="single"/>
            </w:tcBorders>
          </w:tcPr>
          <w:p w14:paraId="5D040000">
            <w:pPr>
              <w:spacing w:after="0" w:line="240" w:lineRule="auto"/>
              <w:ind/>
              <w:rPr>
                <w:sz w:val="20"/>
              </w:rPr>
            </w:pPr>
            <w:r>
              <w:rPr>
                <w:sz w:val="20"/>
              </w:rPr>
              <w:t xml:space="preserve">с. Куйбышево, ул. Театральная, 72 </w:t>
            </w:r>
          </w:p>
        </w:tc>
        <w:tc>
          <w:tcPr>
            <w:tcW w:type="dxa" w:w="5626"/>
            <w:tcBorders>
              <w:top w:color="000000" w:sz="4" w:val="single"/>
              <w:left w:color="000000" w:sz="4" w:val="single"/>
              <w:bottom w:color="000000" w:sz="4" w:val="single"/>
              <w:right w:color="000000" w:sz="4" w:val="single"/>
            </w:tcBorders>
          </w:tcPr>
          <w:p w14:paraId="5E040000">
            <w:pPr>
              <w:spacing w:after="0" w:line="240" w:lineRule="auto"/>
              <w:ind/>
              <w:rPr>
                <w:sz w:val="20"/>
              </w:rPr>
            </w:pPr>
            <w:r>
              <w:rPr>
                <w:sz w:val="20"/>
              </w:rPr>
              <w:t xml:space="preserve">Замена котлов марки КСТГ 31,5 в количестве 2шт. </w:t>
            </w:r>
            <w:r>
              <w:rPr>
                <w:sz w:val="20"/>
              </w:rPr>
              <w:br/>
            </w:r>
            <w:r>
              <w:rPr>
                <w:sz w:val="20"/>
              </w:rPr>
              <w:t xml:space="preserve">Замена счетчика газа Metrix </w:t>
            </w:r>
            <w:r>
              <w:rPr>
                <w:sz w:val="20"/>
              </w:rPr>
              <w:t>G6T</w:t>
            </w:r>
            <w:r>
              <w:rPr>
                <w:sz w:val="20"/>
              </w:rPr>
              <w:br/>
            </w:r>
            <w:r>
              <w:rPr>
                <w:sz w:val="20"/>
              </w:rPr>
              <w:t>Замена циркуляционного насоса Grundfos UPS 32-60</w:t>
            </w:r>
          </w:p>
        </w:tc>
        <w:tc>
          <w:tcPr>
            <w:tcW w:type="dxa" w:w="701"/>
            <w:tcBorders>
              <w:top w:color="000000" w:sz="4" w:val="single"/>
              <w:left w:color="000000" w:sz="4" w:val="single"/>
              <w:bottom w:color="000000" w:sz="4" w:val="single"/>
              <w:right w:color="000000" w:sz="4" w:val="single"/>
            </w:tcBorders>
          </w:tcPr>
          <w:p w14:paraId="5F040000">
            <w:pPr>
              <w:spacing w:after="0" w:line="240" w:lineRule="auto"/>
              <w:ind/>
              <w:rPr>
                <w:sz w:val="20"/>
              </w:rPr>
            </w:pPr>
            <w:r>
              <w:rPr>
                <w:sz w:val="20"/>
              </w:rPr>
              <w:t>2028</w:t>
            </w:r>
            <w:r>
              <w:rPr>
                <w:sz w:val="20"/>
              </w:rPr>
              <w:br/>
            </w:r>
            <w:r>
              <w:rPr>
                <w:sz w:val="20"/>
              </w:rPr>
              <w:t>2028</w:t>
            </w:r>
            <w:r>
              <w:rPr>
                <w:sz w:val="20"/>
              </w:rPr>
              <w:br/>
            </w:r>
            <w:r>
              <w:rPr>
                <w:sz w:val="20"/>
              </w:rPr>
              <w:t>2023</w:t>
            </w:r>
          </w:p>
        </w:tc>
        <w:tc>
          <w:tcPr>
            <w:tcW w:type="dxa" w:w="1261"/>
            <w:tcBorders>
              <w:top w:color="000000" w:sz="4" w:val="single"/>
              <w:left w:color="000000" w:sz="4" w:val="single"/>
              <w:bottom w:color="000000" w:sz="4" w:val="single"/>
              <w:right w:color="000000" w:sz="4" w:val="single"/>
            </w:tcBorders>
            <w:vAlign w:val="center"/>
          </w:tcPr>
          <w:p w14:paraId="60040000">
            <w:pPr>
              <w:spacing w:after="0" w:line="240" w:lineRule="auto"/>
              <w:ind/>
              <w:jc w:val="center"/>
              <w:rPr>
                <w:sz w:val="20"/>
              </w:rPr>
            </w:pPr>
            <w:r>
              <w:rPr>
                <w:sz w:val="20"/>
              </w:rPr>
              <w:t>173,0</w:t>
            </w:r>
          </w:p>
        </w:tc>
      </w:tr>
      <w:tr>
        <w:trPr>
          <w:trHeight w:hRule="atLeast" w:val="1762"/>
        </w:trPr>
        <w:tc>
          <w:tcPr>
            <w:tcW w:type="dxa" w:w="1937"/>
            <w:tcBorders>
              <w:top w:color="000000" w:sz="4" w:val="single"/>
              <w:left w:color="000000" w:sz="4" w:val="single"/>
              <w:bottom w:color="000000" w:sz="4" w:val="single"/>
              <w:right w:color="000000" w:sz="4" w:val="single"/>
            </w:tcBorders>
          </w:tcPr>
          <w:p w14:paraId="61040000">
            <w:pPr>
              <w:spacing w:after="0" w:line="240" w:lineRule="auto"/>
              <w:ind/>
              <w:rPr>
                <w:sz w:val="20"/>
              </w:rPr>
            </w:pPr>
            <w:r>
              <w:rPr>
                <w:sz w:val="20"/>
              </w:rPr>
              <w:t xml:space="preserve">с. Куйбышево, ул. Пролетарская, 2 а </w:t>
            </w:r>
          </w:p>
        </w:tc>
        <w:tc>
          <w:tcPr>
            <w:tcW w:type="dxa" w:w="5626"/>
            <w:tcBorders>
              <w:top w:color="000000" w:sz="4" w:val="single"/>
              <w:left w:color="000000" w:sz="4" w:val="single"/>
              <w:bottom w:color="000000" w:sz="4" w:val="single"/>
              <w:right w:color="000000" w:sz="4" w:val="single"/>
            </w:tcBorders>
          </w:tcPr>
          <w:p w14:paraId="62040000">
            <w:pPr>
              <w:spacing w:after="0" w:line="240" w:lineRule="auto"/>
              <w:ind/>
              <w:rPr>
                <w:sz w:val="20"/>
              </w:rPr>
            </w:pPr>
            <w:r>
              <w:rPr>
                <w:sz w:val="20"/>
              </w:rPr>
              <w:t>Замена котла АОГВ-50</w:t>
            </w:r>
            <w:r>
              <w:rPr>
                <w:sz w:val="20"/>
              </w:rPr>
              <w:br/>
            </w:r>
            <w:r>
              <w:rPr>
                <w:sz w:val="20"/>
              </w:rPr>
              <w:t>Замена котла Protherm-50</w:t>
            </w:r>
            <w:r>
              <w:rPr>
                <w:sz w:val="20"/>
              </w:rPr>
              <w:br/>
            </w:r>
            <w:r>
              <w:rPr>
                <w:sz w:val="20"/>
              </w:rPr>
              <w:t>Замена счетчика газа Metrix G10T</w:t>
            </w:r>
            <w:r>
              <w:rPr>
                <w:sz w:val="20"/>
              </w:rPr>
              <w:br/>
            </w:r>
            <w:r>
              <w:rPr>
                <w:sz w:val="20"/>
              </w:rPr>
              <w:t>На измерительный комплекс СГ-ТК-Д16</w:t>
            </w:r>
            <w:r>
              <w:rPr>
                <w:sz w:val="20"/>
              </w:rPr>
              <w:br/>
            </w:r>
            <w:r>
              <w:rPr>
                <w:sz w:val="20"/>
              </w:rPr>
              <w:t>Замена циркуляционного насоса</w:t>
            </w:r>
            <w:r>
              <w:rPr>
                <w:sz w:val="20"/>
              </w:rPr>
              <w:t xml:space="preserve"> Grundfos UPS 32-80</w:t>
            </w:r>
            <w:r>
              <w:rPr>
                <w:sz w:val="20"/>
              </w:rPr>
              <w:br/>
            </w:r>
            <w:r>
              <w:rPr>
                <w:sz w:val="20"/>
              </w:rPr>
              <w:t xml:space="preserve">Замена окна на пластиковое </w:t>
            </w:r>
            <w:r>
              <w:rPr>
                <w:sz w:val="20"/>
              </w:rPr>
              <w:br/>
            </w:r>
            <w:r>
              <w:rPr>
                <w:sz w:val="20"/>
              </w:rPr>
              <w:t xml:space="preserve">Ремонт кровли </w:t>
            </w:r>
            <w:r>
              <w:rPr>
                <w:sz w:val="20"/>
              </w:rPr>
              <w:br/>
            </w:r>
            <w:r>
              <w:rPr>
                <w:sz w:val="20"/>
              </w:rPr>
              <w:t xml:space="preserve">Замена двери </w:t>
            </w:r>
          </w:p>
        </w:tc>
        <w:tc>
          <w:tcPr>
            <w:tcW w:type="dxa" w:w="701"/>
            <w:tcBorders>
              <w:top w:color="000000" w:sz="4" w:val="single"/>
              <w:left w:color="000000" w:sz="4" w:val="single"/>
              <w:bottom w:color="000000" w:sz="4" w:val="single"/>
              <w:right w:color="000000" w:sz="4" w:val="single"/>
            </w:tcBorders>
          </w:tcPr>
          <w:p w14:paraId="63040000">
            <w:pPr>
              <w:spacing w:after="0" w:line="240" w:lineRule="auto"/>
              <w:ind/>
              <w:rPr>
                <w:sz w:val="20"/>
              </w:rPr>
            </w:pPr>
            <w:r>
              <w:rPr>
                <w:sz w:val="20"/>
              </w:rPr>
              <w:t>2033</w:t>
            </w:r>
            <w:r>
              <w:rPr>
                <w:sz w:val="20"/>
              </w:rPr>
              <w:br/>
            </w:r>
            <w:r>
              <w:rPr>
                <w:sz w:val="20"/>
              </w:rPr>
              <w:t>2040</w:t>
            </w:r>
            <w:r>
              <w:rPr>
                <w:sz w:val="20"/>
              </w:rPr>
              <w:br/>
            </w:r>
            <w:r>
              <w:rPr>
                <w:sz w:val="20"/>
              </w:rPr>
              <w:t>2033</w:t>
            </w:r>
            <w:r>
              <w:rPr>
                <w:sz w:val="20"/>
              </w:rPr>
              <w:br/>
            </w:r>
            <w:r>
              <w:rPr>
                <w:sz w:val="20"/>
              </w:rPr>
              <w:t>2024</w:t>
            </w:r>
            <w:r>
              <w:rPr>
                <w:sz w:val="20"/>
              </w:rPr>
              <w:br/>
            </w:r>
            <w:r>
              <w:rPr>
                <w:sz w:val="20"/>
              </w:rPr>
              <w:t>2040</w:t>
            </w:r>
            <w:r>
              <w:rPr>
                <w:sz w:val="20"/>
              </w:rPr>
              <w:br/>
            </w:r>
            <w:r>
              <w:rPr>
                <w:sz w:val="20"/>
              </w:rPr>
              <w:t>2023</w:t>
            </w:r>
            <w:r>
              <w:rPr>
                <w:sz w:val="20"/>
              </w:rPr>
              <w:br/>
            </w:r>
            <w:r>
              <w:rPr>
                <w:sz w:val="20"/>
              </w:rPr>
              <w:t>2034</w:t>
            </w:r>
          </w:p>
        </w:tc>
        <w:tc>
          <w:tcPr>
            <w:tcW w:type="dxa" w:w="1261"/>
            <w:tcBorders>
              <w:top w:color="000000" w:sz="4" w:val="single"/>
              <w:left w:color="000000" w:sz="4" w:val="single"/>
              <w:bottom w:color="000000" w:sz="4" w:val="single"/>
              <w:right w:color="000000" w:sz="4" w:val="single"/>
            </w:tcBorders>
            <w:vAlign w:val="center"/>
          </w:tcPr>
          <w:p w14:paraId="64040000">
            <w:pPr>
              <w:spacing w:after="0" w:line="240" w:lineRule="auto"/>
              <w:ind/>
              <w:jc w:val="center"/>
              <w:rPr>
                <w:sz w:val="20"/>
              </w:rPr>
            </w:pPr>
            <w:r>
              <w:rPr>
                <w:sz w:val="20"/>
              </w:rPr>
              <w:t>695,0</w:t>
            </w:r>
          </w:p>
        </w:tc>
      </w:tr>
      <w:tr>
        <w:trPr>
          <w:trHeight w:hRule="atLeast" w:val="2471"/>
        </w:trPr>
        <w:tc>
          <w:tcPr>
            <w:tcW w:type="dxa" w:w="1937"/>
            <w:tcBorders>
              <w:top w:color="000000" w:sz="4" w:val="single"/>
              <w:left w:color="000000" w:sz="4" w:val="single"/>
              <w:bottom w:color="000000" w:sz="4" w:val="single"/>
              <w:right w:color="000000" w:sz="4" w:val="single"/>
            </w:tcBorders>
          </w:tcPr>
          <w:p w14:paraId="65040000">
            <w:pPr>
              <w:spacing w:after="0" w:line="240" w:lineRule="auto"/>
              <w:ind/>
              <w:rPr>
                <w:sz w:val="20"/>
              </w:rPr>
            </w:pPr>
            <w:r>
              <w:rPr>
                <w:sz w:val="20"/>
              </w:rPr>
              <w:t xml:space="preserve">с. Куйбышево, ул. Кузьменко, 3 а </w:t>
            </w:r>
          </w:p>
        </w:tc>
        <w:tc>
          <w:tcPr>
            <w:tcW w:type="dxa" w:w="5626"/>
            <w:tcBorders>
              <w:top w:color="000000" w:sz="4" w:val="single"/>
              <w:left w:color="000000" w:sz="4" w:val="single"/>
              <w:bottom w:color="000000" w:sz="4" w:val="single"/>
              <w:right w:color="000000" w:sz="4" w:val="single"/>
            </w:tcBorders>
          </w:tcPr>
          <w:p w14:paraId="66040000">
            <w:pPr>
              <w:spacing w:after="0" w:line="240" w:lineRule="auto"/>
              <w:ind/>
              <w:rPr>
                <w:sz w:val="20"/>
              </w:rPr>
            </w:pPr>
            <w:r>
              <w:rPr>
                <w:sz w:val="20"/>
              </w:rPr>
              <w:t xml:space="preserve">Замена котлов в количестве 2 шт. </w:t>
            </w:r>
            <w:r>
              <w:rPr>
                <w:sz w:val="20"/>
              </w:rPr>
              <w:br/>
            </w:r>
            <w:r>
              <w:rPr>
                <w:sz w:val="20"/>
              </w:rPr>
              <w:t>Замена счетчика газа на комплекс СГ-ТК-Д25</w:t>
            </w:r>
            <w:r>
              <w:rPr>
                <w:sz w:val="20"/>
              </w:rPr>
              <w:br/>
            </w:r>
            <w:r>
              <w:rPr>
                <w:sz w:val="20"/>
              </w:rPr>
              <w:t xml:space="preserve">Замена циркуляционного </w:t>
            </w:r>
            <w:r>
              <w:rPr>
                <w:sz w:val="20"/>
              </w:rPr>
              <w:t>насоса Wilo 30/10</w:t>
            </w:r>
            <w:r>
              <w:rPr>
                <w:sz w:val="20"/>
              </w:rPr>
              <w:br/>
            </w:r>
            <w:r>
              <w:rPr>
                <w:sz w:val="20"/>
              </w:rPr>
              <w:t>Замена подпиточного насоса Aquamotor ARQB60</w:t>
            </w:r>
            <w:r>
              <w:rPr>
                <w:sz w:val="20"/>
              </w:rPr>
              <w:br/>
            </w:r>
            <w:r>
              <w:rPr>
                <w:sz w:val="20"/>
              </w:rPr>
              <w:t>Ремонт крыши</w:t>
            </w:r>
            <w:r>
              <w:rPr>
                <w:sz w:val="20"/>
              </w:rPr>
              <w:br/>
            </w:r>
            <w:r>
              <w:rPr>
                <w:sz w:val="20"/>
              </w:rPr>
              <w:t>Ремонт крыши</w:t>
            </w:r>
            <w:r>
              <w:rPr>
                <w:sz w:val="20"/>
              </w:rPr>
              <w:br/>
            </w:r>
            <w:r>
              <w:rPr>
                <w:sz w:val="20"/>
              </w:rPr>
              <w:t>Ремонт крыши</w:t>
            </w:r>
            <w:r>
              <w:rPr>
                <w:sz w:val="20"/>
              </w:rPr>
              <w:br/>
            </w:r>
            <w:r>
              <w:rPr>
                <w:sz w:val="20"/>
              </w:rPr>
              <w:t>Замена дверей в количестве 2 шт.</w:t>
            </w:r>
            <w:r>
              <w:rPr>
                <w:sz w:val="20"/>
              </w:rPr>
              <w:br/>
            </w:r>
            <w:r>
              <w:rPr>
                <w:sz w:val="20"/>
              </w:rPr>
              <w:t>Замена окон в количестве 9 шт. на металлопластиковые</w:t>
            </w:r>
            <w:r>
              <w:rPr>
                <w:sz w:val="20"/>
              </w:rPr>
              <w:br/>
            </w:r>
            <w:r>
              <w:rPr>
                <w:sz w:val="20"/>
              </w:rPr>
              <w:t xml:space="preserve">Текущий ремонт здания котельной </w:t>
            </w:r>
            <w:r>
              <w:rPr>
                <w:sz w:val="20"/>
              </w:rPr>
              <w:br/>
            </w:r>
            <w:r>
              <w:rPr>
                <w:sz w:val="20"/>
              </w:rPr>
              <w:t>Текущий ремонт здания котельной</w:t>
            </w:r>
          </w:p>
        </w:tc>
        <w:tc>
          <w:tcPr>
            <w:tcW w:type="dxa" w:w="701"/>
            <w:tcBorders>
              <w:top w:color="000000" w:sz="4" w:val="single"/>
              <w:left w:color="000000" w:sz="4" w:val="single"/>
              <w:bottom w:color="000000" w:sz="4" w:val="single"/>
              <w:right w:color="000000" w:sz="4" w:val="single"/>
            </w:tcBorders>
          </w:tcPr>
          <w:p w14:paraId="67040000">
            <w:pPr>
              <w:spacing w:after="0" w:line="240" w:lineRule="auto"/>
              <w:ind/>
              <w:rPr>
                <w:sz w:val="20"/>
              </w:rPr>
            </w:pPr>
            <w:r>
              <w:rPr>
                <w:sz w:val="20"/>
              </w:rPr>
              <w:t>2035</w:t>
            </w:r>
            <w:r>
              <w:rPr>
                <w:sz w:val="20"/>
              </w:rPr>
              <w:br/>
            </w:r>
            <w:r>
              <w:rPr>
                <w:sz w:val="20"/>
              </w:rPr>
              <w:t>2035</w:t>
            </w:r>
            <w:r>
              <w:rPr>
                <w:sz w:val="20"/>
              </w:rPr>
              <w:br/>
            </w:r>
            <w:r>
              <w:rPr>
                <w:sz w:val="20"/>
              </w:rPr>
              <w:t>2025</w:t>
            </w:r>
            <w:r>
              <w:rPr>
                <w:sz w:val="20"/>
              </w:rPr>
              <w:br/>
            </w:r>
            <w:r>
              <w:rPr>
                <w:sz w:val="20"/>
              </w:rPr>
              <w:t>2025</w:t>
            </w:r>
            <w:r>
              <w:rPr>
                <w:sz w:val="20"/>
              </w:rPr>
              <w:br/>
            </w:r>
            <w:r>
              <w:rPr>
                <w:sz w:val="20"/>
              </w:rPr>
              <w:t>2028</w:t>
            </w:r>
            <w:r>
              <w:rPr>
                <w:sz w:val="20"/>
              </w:rPr>
              <w:br/>
            </w:r>
            <w:r>
              <w:rPr>
                <w:sz w:val="20"/>
              </w:rPr>
              <w:t>2035</w:t>
            </w:r>
            <w:r>
              <w:rPr>
                <w:sz w:val="20"/>
              </w:rPr>
              <w:br/>
            </w:r>
            <w:r>
              <w:rPr>
                <w:sz w:val="20"/>
              </w:rPr>
              <w:t>2042</w:t>
            </w:r>
            <w:r>
              <w:rPr>
                <w:sz w:val="20"/>
              </w:rPr>
              <w:br/>
            </w:r>
            <w:r>
              <w:rPr>
                <w:sz w:val="20"/>
              </w:rPr>
              <w:t>2035</w:t>
            </w:r>
            <w:r>
              <w:rPr>
                <w:sz w:val="20"/>
              </w:rPr>
              <w:br/>
            </w:r>
            <w:r>
              <w:rPr>
                <w:sz w:val="20"/>
              </w:rPr>
              <w:t>2035</w:t>
            </w:r>
            <w:r>
              <w:rPr>
                <w:sz w:val="20"/>
              </w:rPr>
              <w:br/>
            </w:r>
            <w:r>
              <w:rPr>
                <w:sz w:val="20"/>
              </w:rPr>
              <w:t>2034</w:t>
            </w:r>
            <w:r>
              <w:rPr>
                <w:sz w:val="20"/>
              </w:rPr>
              <w:br/>
            </w:r>
            <w:r>
              <w:rPr>
                <w:sz w:val="20"/>
              </w:rPr>
              <w:t>2046</w:t>
            </w:r>
          </w:p>
        </w:tc>
        <w:tc>
          <w:tcPr>
            <w:tcW w:type="dxa" w:w="1261"/>
            <w:tcBorders>
              <w:top w:color="000000" w:sz="4" w:val="single"/>
              <w:left w:color="000000" w:sz="4" w:val="single"/>
              <w:bottom w:color="000000" w:sz="4" w:val="single"/>
              <w:right w:color="000000" w:sz="4" w:val="single"/>
            </w:tcBorders>
            <w:vAlign w:val="center"/>
          </w:tcPr>
          <w:p w14:paraId="68040000">
            <w:pPr>
              <w:spacing w:after="0" w:line="240" w:lineRule="auto"/>
              <w:ind/>
              <w:jc w:val="center"/>
              <w:rPr>
                <w:sz w:val="20"/>
              </w:rPr>
            </w:pPr>
            <w:r>
              <w:rPr>
                <w:sz w:val="20"/>
              </w:rPr>
              <w:t>2300,0</w:t>
            </w:r>
          </w:p>
        </w:tc>
      </w:tr>
      <w:tr>
        <w:trPr>
          <w:trHeight w:hRule="atLeast" w:val="649"/>
        </w:trPr>
        <w:tc>
          <w:tcPr>
            <w:tcW w:type="dxa" w:w="1937"/>
            <w:tcBorders>
              <w:top w:color="000000" w:sz="4" w:val="single"/>
              <w:left w:color="000000" w:sz="4" w:val="single"/>
              <w:bottom w:color="000000" w:sz="4" w:val="single"/>
              <w:right w:color="000000" w:sz="4" w:val="single"/>
            </w:tcBorders>
          </w:tcPr>
          <w:p w14:paraId="69040000">
            <w:pPr>
              <w:spacing w:after="0" w:line="240" w:lineRule="auto"/>
              <w:ind/>
              <w:rPr>
                <w:sz w:val="20"/>
              </w:rPr>
            </w:pPr>
            <w:r>
              <w:rPr>
                <w:sz w:val="20"/>
              </w:rPr>
              <w:t xml:space="preserve">с. Куйбышево, ул. Пролетарская, 5 </w:t>
            </w:r>
          </w:p>
        </w:tc>
        <w:tc>
          <w:tcPr>
            <w:tcW w:type="dxa" w:w="5626"/>
            <w:tcBorders>
              <w:top w:color="000000" w:sz="4" w:val="single"/>
              <w:left w:color="000000" w:sz="4" w:val="single"/>
              <w:bottom w:color="000000" w:sz="4" w:val="single"/>
              <w:right w:color="000000" w:sz="4" w:val="single"/>
            </w:tcBorders>
          </w:tcPr>
          <w:p w14:paraId="6A040000">
            <w:pPr>
              <w:spacing w:after="0" w:line="240" w:lineRule="auto"/>
              <w:ind/>
              <w:rPr>
                <w:sz w:val="20"/>
              </w:rPr>
            </w:pPr>
            <w:r>
              <w:rPr>
                <w:sz w:val="20"/>
              </w:rPr>
              <w:t>Замена циркуляционного насоса    Wilo  Top-rl 30/6,5</w:t>
            </w:r>
            <w:r>
              <w:rPr>
                <w:sz w:val="20"/>
              </w:rPr>
              <w:br/>
            </w:r>
            <w:r>
              <w:rPr>
                <w:sz w:val="20"/>
              </w:rPr>
              <w:t>Замена котла КСТГВ-20 в кол-ве 2 шт.</w:t>
            </w:r>
            <w:r>
              <w:rPr>
                <w:sz w:val="20"/>
              </w:rPr>
              <w:br/>
            </w:r>
            <w:r>
              <w:rPr>
                <w:sz w:val="20"/>
              </w:rPr>
              <w:t>Замена счетчика газа Metrix G6T</w:t>
            </w:r>
          </w:p>
        </w:tc>
        <w:tc>
          <w:tcPr>
            <w:tcW w:type="dxa" w:w="701"/>
            <w:tcBorders>
              <w:top w:color="000000" w:sz="4" w:val="single"/>
              <w:left w:color="000000" w:sz="4" w:val="single"/>
              <w:bottom w:color="000000" w:sz="4" w:val="single"/>
              <w:right w:color="000000" w:sz="4" w:val="single"/>
            </w:tcBorders>
          </w:tcPr>
          <w:p w14:paraId="6B040000">
            <w:pPr>
              <w:spacing w:after="0" w:line="240" w:lineRule="auto"/>
              <w:ind/>
              <w:rPr>
                <w:sz w:val="20"/>
              </w:rPr>
            </w:pPr>
            <w:r>
              <w:rPr>
                <w:sz w:val="20"/>
              </w:rPr>
              <w:t xml:space="preserve">2025 </w:t>
            </w:r>
            <w:r>
              <w:rPr>
                <w:sz w:val="20"/>
              </w:rPr>
              <w:br/>
            </w:r>
            <w:r>
              <w:rPr>
                <w:sz w:val="20"/>
              </w:rPr>
              <w:t>2028</w:t>
            </w:r>
            <w:r>
              <w:rPr>
                <w:sz w:val="20"/>
              </w:rPr>
              <w:br/>
            </w:r>
            <w:r>
              <w:rPr>
                <w:sz w:val="20"/>
              </w:rPr>
              <w:t>2028</w:t>
            </w:r>
          </w:p>
        </w:tc>
        <w:tc>
          <w:tcPr>
            <w:tcW w:type="dxa" w:w="1261"/>
            <w:tcBorders>
              <w:top w:color="000000" w:sz="4" w:val="single"/>
              <w:left w:color="000000" w:sz="4" w:val="single"/>
              <w:bottom w:color="000000" w:sz="4" w:val="single"/>
              <w:right w:color="000000" w:sz="4" w:val="single"/>
            </w:tcBorders>
            <w:vAlign w:val="center"/>
          </w:tcPr>
          <w:p w14:paraId="6C040000">
            <w:pPr>
              <w:spacing w:after="0" w:line="240" w:lineRule="auto"/>
              <w:ind/>
              <w:jc w:val="center"/>
              <w:rPr>
                <w:sz w:val="20"/>
              </w:rPr>
            </w:pPr>
            <w:r>
              <w:rPr>
                <w:sz w:val="20"/>
              </w:rPr>
              <w:t>126,0</w:t>
            </w:r>
          </w:p>
        </w:tc>
      </w:tr>
      <w:tr>
        <w:trPr>
          <w:trHeight w:hRule="atLeast" w:val="1540"/>
        </w:trPr>
        <w:tc>
          <w:tcPr>
            <w:tcW w:type="dxa" w:w="1937"/>
            <w:tcBorders>
              <w:top w:color="000000" w:sz="4" w:val="single"/>
              <w:left w:color="000000" w:sz="4" w:val="single"/>
              <w:bottom w:color="000000" w:sz="4" w:val="single"/>
              <w:right w:color="000000" w:sz="4" w:val="single"/>
            </w:tcBorders>
          </w:tcPr>
          <w:p w14:paraId="6D040000">
            <w:pPr>
              <w:spacing w:after="0" w:line="240" w:lineRule="auto"/>
              <w:ind/>
              <w:rPr>
                <w:sz w:val="20"/>
              </w:rPr>
            </w:pPr>
            <w:r>
              <w:rPr>
                <w:sz w:val="20"/>
              </w:rPr>
              <w:t>с. Куйбышево, ул.</w:t>
            </w:r>
            <w:r>
              <w:rPr>
                <w:sz w:val="20"/>
              </w:rPr>
              <w:t xml:space="preserve"> Театральная, 22</w:t>
            </w:r>
          </w:p>
        </w:tc>
        <w:tc>
          <w:tcPr>
            <w:tcW w:type="dxa" w:w="5626"/>
            <w:tcBorders>
              <w:top w:color="000000" w:sz="4" w:val="single"/>
              <w:left w:color="000000" w:sz="4" w:val="single"/>
              <w:bottom w:color="000000" w:sz="4" w:val="single"/>
              <w:right w:color="000000" w:sz="4" w:val="single"/>
            </w:tcBorders>
          </w:tcPr>
          <w:p w14:paraId="6E040000">
            <w:pPr>
              <w:spacing w:after="0" w:line="240" w:lineRule="auto"/>
              <w:ind/>
              <w:rPr>
                <w:sz w:val="20"/>
              </w:rPr>
            </w:pPr>
            <w:r>
              <w:rPr>
                <w:sz w:val="20"/>
              </w:rPr>
              <w:t>Замена циркуляционного насоса    Grundfos UPS 32-80</w:t>
            </w:r>
            <w:r>
              <w:rPr>
                <w:sz w:val="20"/>
              </w:rPr>
              <w:br/>
            </w:r>
            <w:r>
              <w:rPr>
                <w:sz w:val="20"/>
              </w:rPr>
              <w:t>Установка резервного циркуляционного насоса Grundfos UPS 32-80</w:t>
            </w:r>
            <w:r>
              <w:rPr>
                <w:sz w:val="20"/>
              </w:rPr>
              <w:br/>
            </w:r>
            <w:r>
              <w:rPr>
                <w:sz w:val="20"/>
              </w:rPr>
              <w:t xml:space="preserve">Замена котла КЧМ-5 (9 секций) </w:t>
            </w:r>
            <w:r>
              <w:rPr>
                <w:sz w:val="20"/>
              </w:rPr>
              <w:br/>
            </w:r>
            <w:r>
              <w:rPr>
                <w:sz w:val="20"/>
              </w:rPr>
              <w:t>Замена вычислительного комплекса СГ-ТК-Д25</w:t>
            </w:r>
            <w:r>
              <w:rPr>
                <w:sz w:val="20"/>
              </w:rPr>
              <w:br/>
            </w:r>
            <w:r>
              <w:rPr>
                <w:sz w:val="20"/>
              </w:rPr>
              <w:t xml:space="preserve">Замена окна на пластиковое </w:t>
            </w:r>
            <w:r>
              <w:rPr>
                <w:sz w:val="20"/>
              </w:rPr>
              <w:br/>
            </w:r>
            <w:r>
              <w:rPr>
                <w:sz w:val="20"/>
              </w:rPr>
              <w:t xml:space="preserve">Ремонт кровли </w:t>
            </w:r>
          </w:p>
        </w:tc>
        <w:tc>
          <w:tcPr>
            <w:tcW w:type="dxa" w:w="701"/>
            <w:tcBorders>
              <w:top w:color="000000" w:sz="4" w:val="single"/>
              <w:left w:color="000000" w:sz="4" w:val="single"/>
              <w:bottom w:color="000000" w:sz="4" w:val="single"/>
              <w:right w:color="000000" w:sz="4" w:val="single"/>
            </w:tcBorders>
          </w:tcPr>
          <w:p w14:paraId="6F040000">
            <w:pPr>
              <w:spacing w:after="0" w:line="240" w:lineRule="auto"/>
              <w:ind/>
              <w:rPr>
                <w:sz w:val="20"/>
              </w:rPr>
            </w:pPr>
            <w:r>
              <w:rPr>
                <w:sz w:val="20"/>
              </w:rPr>
              <w:t>2023</w:t>
            </w:r>
            <w:r>
              <w:rPr>
                <w:sz w:val="20"/>
              </w:rPr>
              <w:br/>
            </w:r>
            <w:r>
              <w:rPr>
                <w:sz w:val="20"/>
              </w:rPr>
              <w:t>20</w:t>
            </w:r>
            <w:r>
              <w:rPr>
                <w:sz w:val="20"/>
              </w:rPr>
              <w:t>23</w:t>
            </w:r>
          </w:p>
          <w:p w14:paraId="70040000">
            <w:pPr>
              <w:spacing w:after="0" w:line="240" w:lineRule="auto"/>
              <w:ind/>
              <w:rPr>
                <w:sz w:val="20"/>
              </w:rPr>
            </w:pPr>
            <w:r>
              <w:rPr>
                <w:sz w:val="20"/>
              </w:rPr>
              <w:br/>
            </w:r>
            <w:r>
              <w:rPr>
                <w:sz w:val="20"/>
              </w:rPr>
              <w:t>2035</w:t>
            </w:r>
            <w:r>
              <w:rPr>
                <w:sz w:val="20"/>
              </w:rPr>
              <w:br/>
            </w:r>
            <w:r>
              <w:rPr>
                <w:sz w:val="20"/>
              </w:rPr>
              <w:t>2035</w:t>
            </w:r>
            <w:r>
              <w:rPr>
                <w:sz w:val="20"/>
              </w:rPr>
              <w:br/>
            </w:r>
            <w:r>
              <w:rPr>
                <w:sz w:val="20"/>
              </w:rPr>
              <w:t>2040</w:t>
            </w:r>
            <w:r>
              <w:rPr>
                <w:sz w:val="20"/>
              </w:rPr>
              <w:br/>
            </w:r>
            <w:r>
              <w:rPr>
                <w:sz w:val="20"/>
              </w:rPr>
              <w:t>2040</w:t>
            </w:r>
          </w:p>
        </w:tc>
        <w:tc>
          <w:tcPr>
            <w:tcW w:type="dxa" w:w="1261"/>
            <w:tcBorders>
              <w:top w:color="000000" w:sz="4" w:val="single"/>
              <w:left w:color="000000" w:sz="4" w:val="single"/>
              <w:bottom w:color="000000" w:sz="4" w:val="single"/>
              <w:right w:color="000000" w:sz="4" w:val="single"/>
            </w:tcBorders>
            <w:vAlign w:val="center"/>
          </w:tcPr>
          <w:p w14:paraId="71040000">
            <w:pPr>
              <w:spacing w:after="0" w:line="240" w:lineRule="auto"/>
              <w:ind/>
              <w:jc w:val="center"/>
              <w:rPr>
                <w:sz w:val="20"/>
              </w:rPr>
            </w:pPr>
            <w:r>
              <w:rPr>
                <w:sz w:val="20"/>
              </w:rPr>
              <w:t>880,0</w:t>
            </w:r>
          </w:p>
        </w:tc>
      </w:tr>
      <w:tr>
        <w:trPr>
          <w:trHeight w:hRule="atLeast" w:val="1124"/>
        </w:trPr>
        <w:tc>
          <w:tcPr>
            <w:tcW w:type="dxa" w:w="1937"/>
            <w:tcBorders>
              <w:top w:color="000000" w:sz="4" w:val="single"/>
              <w:left w:color="000000" w:sz="4" w:val="single"/>
              <w:bottom w:color="000000" w:sz="4" w:val="single"/>
              <w:right w:color="000000" w:sz="4" w:val="single"/>
            </w:tcBorders>
          </w:tcPr>
          <w:p w14:paraId="72040000">
            <w:pPr>
              <w:spacing w:after="0" w:line="240" w:lineRule="auto"/>
              <w:ind/>
              <w:rPr>
                <w:sz w:val="20"/>
              </w:rPr>
            </w:pPr>
            <w:r>
              <w:rPr>
                <w:sz w:val="20"/>
              </w:rPr>
              <w:t xml:space="preserve">х. Свободный, ул. Победы, 29 </w:t>
            </w:r>
          </w:p>
        </w:tc>
        <w:tc>
          <w:tcPr>
            <w:tcW w:type="dxa" w:w="5626"/>
            <w:tcBorders>
              <w:top w:color="000000" w:sz="4" w:val="single"/>
              <w:left w:color="000000" w:sz="4" w:val="single"/>
              <w:bottom w:color="000000" w:sz="4" w:val="single"/>
              <w:right w:color="000000" w:sz="4" w:val="single"/>
            </w:tcBorders>
          </w:tcPr>
          <w:p w14:paraId="73040000">
            <w:pPr>
              <w:spacing w:after="0" w:line="240" w:lineRule="auto"/>
              <w:ind/>
              <w:rPr>
                <w:sz w:val="20"/>
              </w:rPr>
            </w:pPr>
            <w:r>
              <w:rPr>
                <w:sz w:val="20"/>
              </w:rPr>
              <w:t>Проектные работы</w:t>
            </w:r>
            <w:r>
              <w:rPr>
                <w:sz w:val="20"/>
              </w:rPr>
              <w:br/>
            </w:r>
            <w:r>
              <w:rPr>
                <w:sz w:val="20"/>
              </w:rPr>
              <w:t>Замена котла Гефест КСГ-16 – 1 шт. - 1 шт.</w:t>
            </w:r>
            <w:r>
              <w:rPr>
                <w:sz w:val="20"/>
              </w:rPr>
              <w:br/>
            </w:r>
            <w:r>
              <w:rPr>
                <w:sz w:val="20"/>
              </w:rPr>
              <w:t xml:space="preserve">Замена счетчика газа </w:t>
            </w:r>
            <w:r>
              <w:rPr>
                <w:sz w:val="20"/>
              </w:rPr>
              <w:br/>
            </w:r>
            <w:r>
              <w:rPr>
                <w:sz w:val="20"/>
              </w:rPr>
              <w:t>Замена окна на металлопластиковое</w:t>
            </w:r>
            <w:r>
              <w:rPr>
                <w:sz w:val="20"/>
              </w:rPr>
              <w:br/>
            </w:r>
            <w:r>
              <w:rPr>
                <w:sz w:val="20"/>
              </w:rPr>
              <w:t>Замена двери</w:t>
            </w:r>
          </w:p>
        </w:tc>
        <w:tc>
          <w:tcPr>
            <w:tcW w:type="dxa" w:w="701"/>
            <w:tcBorders>
              <w:top w:color="000000" w:sz="4" w:val="single"/>
              <w:left w:color="000000" w:sz="4" w:val="single"/>
              <w:bottom w:color="000000" w:sz="4" w:val="single"/>
              <w:right w:color="000000" w:sz="4" w:val="single"/>
            </w:tcBorders>
          </w:tcPr>
          <w:p w14:paraId="74040000">
            <w:pPr>
              <w:spacing w:after="0" w:line="240" w:lineRule="auto"/>
              <w:ind/>
              <w:rPr>
                <w:sz w:val="20"/>
              </w:rPr>
            </w:pPr>
            <w:r>
              <w:rPr>
                <w:sz w:val="20"/>
              </w:rPr>
              <w:t>2037</w:t>
            </w:r>
          </w:p>
          <w:p w14:paraId="75040000">
            <w:pPr>
              <w:spacing w:after="0" w:line="240" w:lineRule="auto"/>
              <w:ind/>
              <w:rPr>
                <w:sz w:val="20"/>
              </w:rPr>
            </w:pPr>
            <w:r>
              <w:rPr>
                <w:sz w:val="20"/>
              </w:rPr>
              <w:t>2047</w:t>
            </w:r>
            <w:r>
              <w:rPr>
                <w:sz w:val="20"/>
              </w:rPr>
              <w:br/>
            </w:r>
            <w:r>
              <w:rPr>
                <w:sz w:val="20"/>
              </w:rPr>
              <w:t>2037</w:t>
            </w:r>
            <w:r>
              <w:rPr>
                <w:sz w:val="20"/>
              </w:rPr>
              <w:br/>
            </w:r>
            <w:r>
              <w:rPr>
                <w:sz w:val="20"/>
              </w:rPr>
              <w:t>2047</w:t>
            </w:r>
            <w:r>
              <w:rPr>
                <w:sz w:val="20"/>
              </w:rPr>
              <w:br/>
            </w:r>
            <w:r>
              <w:rPr>
                <w:sz w:val="20"/>
              </w:rPr>
              <w:t>2025</w:t>
            </w:r>
          </w:p>
        </w:tc>
        <w:tc>
          <w:tcPr>
            <w:tcW w:type="dxa" w:w="1261"/>
            <w:tcBorders>
              <w:top w:color="000000" w:sz="4" w:val="single"/>
              <w:left w:color="000000" w:sz="4" w:val="single"/>
              <w:bottom w:color="000000" w:sz="4" w:val="single"/>
              <w:right w:color="000000" w:sz="4" w:val="single"/>
            </w:tcBorders>
            <w:vAlign w:val="center"/>
          </w:tcPr>
          <w:p w14:paraId="76040000">
            <w:pPr>
              <w:spacing w:after="0" w:line="240" w:lineRule="auto"/>
              <w:ind/>
              <w:jc w:val="center"/>
              <w:rPr>
                <w:sz w:val="20"/>
              </w:rPr>
            </w:pPr>
            <w:r>
              <w:rPr>
                <w:sz w:val="20"/>
              </w:rPr>
              <w:t>202,0</w:t>
            </w:r>
          </w:p>
        </w:tc>
      </w:tr>
      <w:tr>
        <w:trPr>
          <w:trHeight w:hRule="atLeast" w:val="1098"/>
        </w:trPr>
        <w:tc>
          <w:tcPr>
            <w:tcW w:type="dxa" w:w="1937"/>
            <w:tcBorders>
              <w:top w:color="000000" w:sz="4" w:val="single"/>
              <w:left w:color="000000" w:sz="4" w:val="single"/>
              <w:bottom w:color="000000" w:sz="4" w:val="single"/>
              <w:right w:color="000000" w:sz="4" w:val="single"/>
            </w:tcBorders>
          </w:tcPr>
          <w:p w14:paraId="77040000">
            <w:pPr>
              <w:spacing w:after="0" w:line="240" w:lineRule="auto"/>
              <w:ind/>
              <w:rPr>
                <w:sz w:val="20"/>
              </w:rPr>
            </w:pPr>
            <w:r>
              <w:rPr>
                <w:sz w:val="20"/>
              </w:rPr>
              <w:t>х. Новобахмутский, ул. Широкая, 89</w:t>
            </w:r>
            <w:r>
              <w:rPr>
                <w:sz w:val="20"/>
              </w:rPr>
              <w:t xml:space="preserve"> а</w:t>
            </w:r>
          </w:p>
        </w:tc>
        <w:tc>
          <w:tcPr>
            <w:tcW w:type="dxa" w:w="5626"/>
            <w:tcBorders>
              <w:top w:color="000000" w:sz="4" w:val="single"/>
              <w:left w:color="000000" w:sz="4" w:val="single"/>
              <w:bottom w:color="000000" w:sz="4" w:val="single"/>
              <w:right w:color="000000" w:sz="4" w:val="single"/>
            </w:tcBorders>
          </w:tcPr>
          <w:p w14:paraId="78040000">
            <w:pPr>
              <w:spacing w:after="0" w:line="240" w:lineRule="auto"/>
              <w:ind/>
              <w:rPr>
                <w:sz w:val="20"/>
              </w:rPr>
            </w:pPr>
            <w:r>
              <w:rPr>
                <w:sz w:val="20"/>
              </w:rPr>
              <w:t>Проектные работы</w:t>
            </w:r>
            <w:r>
              <w:rPr>
                <w:sz w:val="20"/>
              </w:rPr>
              <w:br/>
            </w:r>
            <w:r>
              <w:rPr>
                <w:sz w:val="20"/>
              </w:rPr>
              <w:t>Замена котла Гефест КСГ-16 – 1 шт.</w:t>
            </w:r>
            <w:r>
              <w:rPr>
                <w:sz w:val="20"/>
              </w:rPr>
              <w:br/>
            </w:r>
            <w:r>
              <w:rPr>
                <w:sz w:val="20"/>
              </w:rPr>
              <w:t xml:space="preserve">Замена счетчика газа </w:t>
            </w:r>
            <w:r>
              <w:rPr>
                <w:sz w:val="20"/>
              </w:rPr>
              <w:br/>
            </w:r>
            <w:r>
              <w:rPr>
                <w:sz w:val="20"/>
              </w:rPr>
              <w:t>Замена окна на металлопластиковое</w:t>
            </w:r>
            <w:r>
              <w:rPr>
                <w:sz w:val="20"/>
              </w:rPr>
              <w:br/>
            </w:r>
            <w:r>
              <w:rPr>
                <w:sz w:val="20"/>
              </w:rPr>
              <w:t>Замена двери</w:t>
            </w:r>
          </w:p>
        </w:tc>
        <w:tc>
          <w:tcPr>
            <w:tcW w:type="dxa" w:w="701"/>
            <w:tcBorders>
              <w:top w:color="000000" w:sz="4" w:val="single"/>
              <w:left w:color="000000" w:sz="4" w:val="single"/>
              <w:bottom w:color="000000" w:sz="4" w:val="single"/>
              <w:right w:color="000000" w:sz="4" w:val="single"/>
            </w:tcBorders>
          </w:tcPr>
          <w:p w14:paraId="79040000">
            <w:pPr>
              <w:spacing w:after="0" w:line="240" w:lineRule="auto"/>
              <w:ind/>
              <w:rPr>
                <w:sz w:val="20"/>
              </w:rPr>
            </w:pPr>
            <w:r>
              <w:rPr>
                <w:sz w:val="20"/>
              </w:rPr>
              <w:t>2036</w:t>
            </w:r>
            <w:r>
              <w:rPr>
                <w:sz w:val="20"/>
              </w:rPr>
              <w:br/>
            </w:r>
            <w:r>
              <w:rPr>
                <w:sz w:val="20"/>
              </w:rPr>
              <w:t>2046</w:t>
            </w:r>
            <w:r>
              <w:rPr>
                <w:sz w:val="20"/>
              </w:rPr>
              <w:br/>
            </w:r>
            <w:r>
              <w:rPr>
                <w:sz w:val="20"/>
              </w:rPr>
              <w:t>2036</w:t>
            </w:r>
            <w:r>
              <w:rPr>
                <w:sz w:val="20"/>
              </w:rPr>
              <w:br/>
            </w:r>
            <w:r>
              <w:rPr>
                <w:sz w:val="20"/>
              </w:rPr>
              <w:t>2046</w:t>
            </w:r>
            <w:r>
              <w:rPr>
                <w:sz w:val="20"/>
              </w:rPr>
              <w:br/>
            </w:r>
            <w:r>
              <w:rPr>
                <w:sz w:val="20"/>
              </w:rPr>
              <w:t>2026</w:t>
            </w:r>
          </w:p>
        </w:tc>
        <w:tc>
          <w:tcPr>
            <w:tcW w:type="dxa" w:w="1261"/>
            <w:tcBorders>
              <w:top w:color="000000" w:sz="4" w:val="single"/>
              <w:left w:color="000000" w:sz="4" w:val="single"/>
              <w:bottom w:color="000000" w:sz="4" w:val="single"/>
              <w:right w:color="000000" w:sz="4" w:val="single"/>
            </w:tcBorders>
            <w:vAlign w:val="center"/>
          </w:tcPr>
          <w:p w14:paraId="7A040000">
            <w:pPr>
              <w:spacing w:after="0" w:line="240" w:lineRule="auto"/>
              <w:ind/>
              <w:jc w:val="center"/>
              <w:rPr>
                <w:sz w:val="20"/>
              </w:rPr>
            </w:pPr>
            <w:r>
              <w:rPr>
                <w:sz w:val="20"/>
              </w:rPr>
              <w:t>200,0</w:t>
            </w:r>
          </w:p>
        </w:tc>
      </w:tr>
      <w:tr>
        <w:trPr>
          <w:trHeight w:hRule="atLeast" w:val="1158"/>
        </w:trPr>
        <w:tc>
          <w:tcPr>
            <w:tcW w:type="dxa" w:w="1937"/>
            <w:tcBorders>
              <w:top w:color="000000" w:sz="4" w:val="single"/>
              <w:left w:color="000000" w:sz="4" w:val="single"/>
              <w:bottom w:color="000000" w:sz="4" w:val="single"/>
              <w:right w:color="000000" w:sz="4" w:val="single"/>
            </w:tcBorders>
          </w:tcPr>
          <w:p w14:paraId="7B040000">
            <w:pPr>
              <w:spacing w:after="0" w:line="240" w:lineRule="auto"/>
              <w:ind/>
              <w:rPr>
                <w:sz w:val="20"/>
              </w:rPr>
            </w:pPr>
            <w:r>
              <w:rPr>
                <w:sz w:val="20"/>
              </w:rPr>
              <w:t xml:space="preserve">с. Русское, ул. Красноармейская, 1 </w:t>
            </w:r>
          </w:p>
        </w:tc>
        <w:tc>
          <w:tcPr>
            <w:tcW w:type="dxa" w:w="5626"/>
            <w:tcBorders>
              <w:top w:color="000000" w:sz="4" w:val="single"/>
              <w:left w:color="000000" w:sz="4" w:val="single"/>
              <w:bottom w:color="000000" w:sz="4" w:val="single"/>
              <w:right w:color="000000" w:sz="4" w:val="single"/>
            </w:tcBorders>
          </w:tcPr>
          <w:p w14:paraId="7C040000">
            <w:pPr>
              <w:spacing w:after="0" w:line="240" w:lineRule="auto"/>
              <w:ind/>
              <w:rPr>
                <w:sz w:val="20"/>
              </w:rPr>
            </w:pPr>
            <w:r>
              <w:rPr>
                <w:sz w:val="20"/>
              </w:rPr>
              <w:t>Проектные работы</w:t>
            </w:r>
            <w:r>
              <w:rPr>
                <w:sz w:val="20"/>
              </w:rPr>
              <w:br/>
            </w:r>
            <w:r>
              <w:rPr>
                <w:sz w:val="20"/>
              </w:rPr>
              <w:t xml:space="preserve">Замена котла марки «Beretta»  NOVELLA  MAXIMA </w:t>
            </w:r>
            <w:r>
              <w:rPr>
                <w:sz w:val="20"/>
              </w:rPr>
              <w:t>99 - 1 шт.</w:t>
            </w:r>
            <w:r>
              <w:rPr>
                <w:sz w:val="20"/>
              </w:rPr>
              <w:br/>
            </w:r>
            <w:r>
              <w:rPr>
                <w:sz w:val="20"/>
              </w:rPr>
              <w:t>Замена счетчика газа на комплекс по учету расхода газа</w:t>
            </w:r>
            <w:r>
              <w:rPr>
                <w:sz w:val="20"/>
              </w:rPr>
              <w:br/>
            </w:r>
            <w:r>
              <w:rPr>
                <w:sz w:val="20"/>
              </w:rPr>
              <w:t>Замена окна на металлопластиковое</w:t>
            </w:r>
            <w:r>
              <w:rPr>
                <w:sz w:val="20"/>
              </w:rPr>
              <w:br/>
            </w:r>
            <w:r>
              <w:rPr>
                <w:sz w:val="20"/>
              </w:rPr>
              <w:t>Замена двери</w:t>
            </w:r>
          </w:p>
        </w:tc>
        <w:tc>
          <w:tcPr>
            <w:tcW w:type="dxa" w:w="701"/>
            <w:tcBorders>
              <w:top w:color="000000" w:sz="4" w:val="single"/>
              <w:left w:color="000000" w:sz="4" w:val="single"/>
              <w:bottom w:color="000000" w:sz="4" w:val="single"/>
              <w:right w:color="000000" w:sz="4" w:val="single"/>
            </w:tcBorders>
          </w:tcPr>
          <w:p w14:paraId="7D040000">
            <w:pPr>
              <w:spacing w:after="0" w:line="240" w:lineRule="auto"/>
              <w:ind/>
              <w:rPr>
                <w:sz w:val="20"/>
              </w:rPr>
            </w:pPr>
            <w:r>
              <w:rPr>
                <w:sz w:val="20"/>
              </w:rPr>
              <w:t>2031, 2040</w:t>
            </w:r>
          </w:p>
          <w:p w14:paraId="7E040000">
            <w:pPr>
              <w:spacing w:after="0" w:line="240" w:lineRule="auto"/>
              <w:ind/>
              <w:rPr>
                <w:sz w:val="20"/>
              </w:rPr>
            </w:pPr>
            <w:r>
              <w:rPr>
                <w:sz w:val="20"/>
              </w:rPr>
              <w:t>2040</w:t>
            </w:r>
            <w:r>
              <w:rPr>
                <w:sz w:val="20"/>
              </w:rPr>
              <w:br/>
            </w:r>
            <w:r>
              <w:rPr>
                <w:sz w:val="20"/>
              </w:rPr>
              <w:t>2031</w:t>
            </w:r>
            <w:r>
              <w:rPr>
                <w:sz w:val="20"/>
              </w:rPr>
              <w:br/>
            </w:r>
            <w:r>
              <w:rPr>
                <w:sz w:val="20"/>
              </w:rPr>
              <w:t>2024</w:t>
            </w:r>
          </w:p>
        </w:tc>
        <w:tc>
          <w:tcPr>
            <w:tcW w:type="dxa" w:w="1261"/>
            <w:tcBorders>
              <w:top w:color="000000" w:sz="4" w:val="single"/>
              <w:left w:color="000000" w:sz="4" w:val="single"/>
              <w:bottom w:color="000000" w:sz="4" w:val="single"/>
              <w:right w:color="000000" w:sz="4" w:val="single"/>
            </w:tcBorders>
            <w:vAlign w:val="center"/>
          </w:tcPr>
          <w:p w14:paraId="7F040000">
            <w:pPr>
              <w:spacing w:after="0" w:line="240" w:lineRule="auto"/>
              <w:ind/>
              <w:jc w:val="center"/>
              <w:rPr>
                <w:sz w:val="20"/>
              </w:rPr>
            </w:pPr>
            <w:r>
              <w:rPr>
                <w:sz w:val="20"/>
              </w:rPr>
              <w:t>643,0</w:t>
            </w:r>
          </w:p>
        </w:tc>
      </w:tr>
      <w:tr>
        <w:trPr>
          <w:trHeight w:hRule="atLeast" w:val="587"/>
        </w:trPr>
        <w:tc>
          <w:tcPr>
            <w:tcW w:type="dxa" w:w="1937"/>
            <w:tcBorders>
              <w:top w:color="000000" w:sz="4" w:val="single"/>
              <w:left w:color="000000" w:sz="4" w:val="single"/>
              <w:bottom w:color="000000" w:sz="4" w:val="single"/>
              <w:right w:color="000000" w:sz="4" w:val="single"/>
            </w:tcBorders>
          </w:tcPr>
          <w:p w14:paraId="80040000">
            <w:pPr>
              <w:spacing w:after="0" w:line="240" w:lineRule="auto"/>
              <w:ind/>
              <w:rPr>
                <w:sz w:val="20"/>
              </w:rPr>
            </w:pPr>
            <w:r>
              <w:rPr>
                <w:sz w:val="20"/>
              </w:rPr>
              <w:t xml:space="preserve">с. Куйбышево, ул. Цветаева, 31 </w:t>
            </w:r>
          </w:p>
        </w:tc>
        <w:tc>
          <w:tcPr>
            <w:tcW w:type="dxa" w:w="5626"/>
            <w:tcBorders>
              <w:top w:color="000000" w:sz="4" w:val="single"/>
              <w:left w:color="000000" w:sz="4" w:val="single"/>
              <w:bottom w:color="000000" w:sz="4" w:val="single"/>
              <w:right w:color="000000" w:sz="4" w:val="single"/>
            </w:tcBorders>
          </w:tcPr>
          <w:p w14:paraId="81040000">
            <w:pPr>
              <w:spacing w:after="0" w:line="240" w:lineRule="auto"/>
              <w:ind/>
              <w:rPr>
                <w:sz w:val="20"/>
              </w:rPr>
            </w:pPr>
            <w:r>
              <w:rPr>
                <w:sz w:val="20"/>
              </w:rPr>
              <w:t>Замена циркуляционного насоса Grundfos UPS 25-40</w:t>
            </w:r>
            <w:r>
              <w:rPr>
                <w:sz w:val="20"/>
              </w:rPr>
              <w:br/>
            </w:r>
            <w:r>
              <w:rPr>
                <w:sz w:val="20"/>
              </w:rPr>
              <w:t>Замена котла КСГ-20</w:t>
            </w:r>
            <w:r>
              <w:rPr>
                <w:sz w:val="20"/>
              </w:rPr>
              <w:br/>
            </w:r>
            <w:r>
              <w:rPr>
                <w:sz w:val="20"/>
              </w:rPr>
              <w:t xml:space="preserve">Замена </w:t>
            </w:r>
            <w:r>
              <w:rPr>
                <w:sz w:val="20"/>
              </w:rPr>
              <w:t>счетчика газа Metrix G6T</w:t>
            </w:r>
          </w:p>
        </w:tc>
        <w:tc>
          <w:tcPr>
            <w:tcW w:type="dxa" w:w="701"/>
            <w:tcBorders>
              <w:top w:color="000000" w:sz="4" w:val="single"/>
              <w:left w:color="000000" w:sz="4" w:val="single"/>
              <w:bottom w:color="000000" w:sz="4" w:val="single"/>
              <w:right w:color="000000" w:sz="4" w:val="single"/>
            </w:tcBorders>
          </w:tcPr>
          <w:p w14:paraId="82040000">
            <w:pPr>
              <w:spacing w:after="0" w:line="240" w:lineRule="auto"/>
              <w:ind/>
              <w:rPr>
                <w:sz w:val="20"/>
              </w:rPr>
            </w:pPr>
            <w:r>
              <w:rPr>
                <w:sz w:val="20"/>
              </w:rPr>
              <w:t>2025</w:t>
            </w:r>
            <w:r>
              <w:rPr>
                <w:sz w:val="20"/>
              </w:rPr>
              <w:br/>
            </w:r>
            <w:r>
              <w:rPr>
                <w:sz w:val="20"/>
              </w:rPr>
              <w:t>2039</w:t>
            </w:r>
            <w:r>
              <w:rPr>
                <w:sz w:val="20"/>
              </w:rPr>
              <w:br/>
            </w:r>
            <w:r>
              <w:rPr>
                <w:sz w:val="20"/>
              </w:rPr>
              <w:t>2039</w:t>
            </w:r>
          </w:p>
        </w:tc>
        <w:tc>
          <w:tcPr>
            <w:tcW w:type="dxa" w:w="1261"/>
            <w:tcBorders>
              <w:top w:color="000000" w:sz="4" w:val="single"/>
              <w:left w:color="000000" w:sz="4" w:val="single"/>
              <w:bottom w:color="000000" w:sz="4" w:val="single"/>
              <w:right w:color="000000" w:sz="4" w:val="single"/>
            </w:tcBorders>
            <w:vAlign w:val="center"/>
          </w:tcPr>
          <w:p w14:paraId="83040000">
            <w:pPr>
              <w:spacing w:after="0" w:line="240" w:lineRule="auto"/>
              <w:ind/>
              <w:jc w:val="center"/>
              <w:rPr>
                <w:sz w:val="20"/>
              </w:rPr>
            </w:pPr>
            <w:r>
              <w:rPr>
                <w:sz w:val="20"/>
              </w:rPr>
              <w:t>120,0</w:t>
            </w:r>
          </w:p>
        </w:tc>
      </w:tr>
      <w:tr>
        <w:trPr>
          <w:trHeight w:hRule="atLeast" w:val="912"/>
        </w:trPr>
        <w:tc>
          <w:tcPr>
            <w:tcW w:type="dxa" w:w="1937"/>
            <w:tcBorders>
              <w:top w:color="000000" w:sz="4" w:val="single"/>
              <w:left w:color="000000" w:sz="4" w:val="single"/>
              <w:bottom w:color="000000" w:sz="4" w:val="single"/>
              <w:right w:color="000000" w:sz="4" w:val="single"/>
            </w:tcBorders>
          </w:tcPr>
          <w:p w14:paraId="84040000">
            <w:pPr>
              <w:spacing w:after="0" w:line="240" w:lineRule="auto"/>
              <w:ind/>
              <w:rPr>
                <w:sz w:val="20"/>
              </w:rPr>
            </w:pPr>
            <w:r>
              <w:rPr>
                <w:sz w:val="20"/>
              </w:rPr>
              <w:t>с. Куйбышево, ул. Куйбышевская, 24</w:t>
            </w:r>
          </w:p>
        </w:tc>
        <w:tc>
          <w:tcPr>
            <w:tcW w:type="dxa" w:w="5626"/>
            <w:tcBorders>
              <w:top w:color="000000" w:sz="4" w:val="single"/>
              <w:left w:color="000000" w:sz="4" w:val="single"/>
              <w:bottom w:color="000000" w:sz="4" w:val="single"/>
              <w:right w:color="000000" w:sz="4" w:val="single"/>
            </w:tcBorders>
          </w:tcPr>
          <w:p w14:paraId="85040000">
            <w:pPr>
              <w:spacing w:after="0" w:line="240" w:lineRule="auto"/>
              <w:ind/>
              <w:rPr>
                <w:sz w:val="20"/>
              </w:rPr>
            </w:pPr>
            <w:r>
              <w:rPr>
                <w:sz w:val="20"/>
              </w:rPr>
              <w:t>Замена циркуляционного насоса    Wilo TOP-S 30/10</w:t>
            </w:r>
            <w:r>
              <w:rPr>
                <w:sz w:val="20"/>
              </w:rPr>
              <w:br/>
            </w:r>
            <w:r>
              <w:rPr>
                <w:sz w:val="20"/>
              </w:rPr>
              <w:t>Замена циркуляционного насоса    Wilo TOP-S 30/10</w:t>
            </w:r>
            <w:r>
              <w:rPr>
                <w:sz w:val="20"/>
              </w:rPr>
              <w:br/>
            </w:r>
            <w:r>
              <w:rPr>
                <w:sz w:val="20"/>
              </w:rPr>
              <w:t>Замена вычислительного комплекса СГ-ТК-Д25</w:t>
            </w:r>
            <w:r>
              <w:rPr>
                <w:sz w:val="20"/>
              </w:rPr>
              <w:br/>
            </w:r>
            <w:r>
              <w:rPr>
                <w:sz w:val="20"/>
              </w:rPr>
              <w:t xml:space="preserve">Замена котла КЧМ-5 (9 секций) </w:t>
            </w:r>
          </w:p>
        </w:tc>
        <w:tc>
          <w:tcPr>
            <w:tcW w:type="dxa" w:w="701"/>
            <w:tcBorders>
              <w:top w:color="000000" w:sz="4" w:val="single"/>
              <w:left w:color="000000" w:sz="4" w:val="single"/>
              <w:bottom w:color="000000" w:sz="4" w:val="single"/>
              <w:right w:color="000000" w:sz="4" w:val="single"/>
            </w:tcBorders>
          </w:tcPr>
          <w:p w14:paraId="86040000">
            <w:pPr>
              <w:spacing w:after="0" w:line="240" w:lineRule="auto"/>
              <w:ind/>
              <w:rPr>
                <w:sz w:val="20"/>
              </w:rPr>
            </w:pPr>
            <w:r>
              <w:rPr>
                <w:sz w:val="20"/>
              </w:rPr>
              <w:t>2024</w:t>
            </w:r>
            <w:r>
              <w:rPr>
                <w:sz w:val="20"/>
              </w:rPr>
              <w:br/>
            </w:r>
            <w:r>
              <w:rPr>
                <w:sz w:val="20"/>
              </w:rPr>
              <w:t>2026</w:t>
            </w:r>
            <w:r>
              <w:rPr>
                <w:sz w:val="20"/>
              </w:rPr>
              <w:br/>
            </w:r>
            <w:r>
              <w:rPr>
                <w:sz w:val="20"/>
              </w:rPr>
              <w:t>2035</w:t>
            </w:r>
            <w:r>
              <w:rPr>
                <w:sz w:val="20"/>
              </w:rPr>
              <w:br/>
            </w:r>
            <w:r>
              <w:rPr>
                <w:sz w:val="20"/>
              </w:rPr>
              <w:t>2035</w:t>
            </w:r>
          </w:p>
        </w:tc>
        <w:tc>
          <w:tcPr>
            <w:tcW w:type="dxa" w:w="1261"/>
            <w:tcBorders>
              <w:top w:color="000000" w:sz="4" w:val="single"/>
              <w:left w:color="000000" w:sz="4" w:val="single"/>
              <w:bottom w:color="000000" w:sz="4" w:val="single"/>
              <w:right w:color="000000" w:sz="4" w:val="single"/>
            </w:tcBorders>
            <w:vAlign w:val="center"/>
          </w:tcPr>
          <w:p w14:paraId="87040000">
            <w:pPr>
              <w:spacing w:after="0" w:line="240" w:lineRule="auto"/>
              <w:ind/>
              <w:jc w:val="center"/>
              <w:rPr>
                <w:sz w:val="20"/>
              </w:rPr>
            </w:pPr>
            <w:r>
              <w:rPr>
                <w:sz w:val="20"/>
              </w:rPr>
              <w:t>874,0</w:t>
            </w:r>
          </w:p>
        </w:tc>
      </w:tr>
      <w:tr>
        <w:trPr>
          <w:trHeight w:hRule="atLeast" w:val="980"/>
        </w:trPr>
        <w:tc>
          <w:tcPr>
            <w:tcW w:type="dxa" w:w="1937"/>
            <w:tcBorders>
              <w:top w:color="000000" w:sz="4" w:val="single"/>
              <w:left w:color="000000" w:sz="4" w:val="single"/>
              <w:bottom w:color="000000" w:sz="4" w:val="single"/>
              <w:right w:color="000000" w:sz="4" w:val="single"/>
            </w:tcBorders>
          </w:tcPr>
          <w:p w14:paraId="88040000">
            <w:pPr>
              <w:spacing w:after="0" w:line="240" w:lineRule="auto"/>
              <w:ind/>
              <w:rPr>
                <w:sz w:val="20"/>
              </w:rPr>
            </w:pPr>
            <w:r>
              <w:rPr>
                <w:sz w:val="20"/>
              </w:rPr>
              <w:t xml:space="preserve">с. Куйбышево, ул. Куйбышевская, 20 </w:t>
            </w:r>
          </w:p>
        </w:tc>
        <w:tc>
          <w:tcPr>
            <w:tcW w:type="dxa" w:w="5626"/>
            <w:tcBorders>
              <w:top w:color="000000" w:sz="4" w:val="single"/>
              <w:left w:color="000000" w:sz="4" w:val="single"/>
              <w:bottom w:color="000000" w:sz="4" w:val="single"/>
              <w:right w:color="000000" w:sz="4" w:val="single"/>
            </w:tcBorders>
          </w:tcPr>
          <w:p w14:paraId="89040000">
            <w:pPr>
              <w:spacing w:after="0" w:line="240" w:lineRule="auto"/>
              <w:ind/>
              <w:rPr>
                <w:sz w:val="20"/>
              </w:rPr>
            </w:pPr>
            <w:r>
              <w:rPr>
                <w:sz w:val="20"/>
              </w:rPr>
              <w:t>Замена котла КСГВ – 31,5</w:t>
            </w:r>
            <w:r>
              <w:rPr>
                <w:sz w:val="20"/>
              </w:rPr>
              <w:br/>
            </w:r>
            <w:r>
              <w:rPr>
                <w:sz w:val="20"/>
              </w:rPr>
              <w:t xml:space="preserve">Установка циркуляционного насоса с заменой запорной арматуры и трубопроводов </w:t>
            </w:r>
            <w:r>
              <w:rPr>
                <w:sz w:val="20"/>
              </w:rPr>
              <w:br/>
            </w:r>
            <w:r>
              <w:rPr>
                <w:sz w:val="20"/>
              </w:rPr>
              <w:t xml:space="preserve">Замена счетчика газа </w:t>
            </w:r>
          </w:p>
        </w:tc>
        <w:tc>
          <w:tcPr>
            <w:tcW w:type="dxa" w:w="701"/>
            <w:tcBorders>
              <w:top w:color="000000" w:sz="4" w:val="single"/>
              <w:left w:color="000000" w:sz="4" w:val="single"/>
              <w:bottom w:color="000000" w:sz="4" w:val="single"/>
              <w:right w:color="000000" w:sz="4" w:val="single"/>
            </w:tcBorders>
          </w:tcPr>
          <w:p w14:paraId="8A040000">
            <w:pPr>
              <w:spacing w:after="0" w:line="240" w:lineRule="auto"/>
              <w:ind/>
              <w:rPr>
                <w:sz w:val="20"/>
              </w:rPr>
            </w:pPr>
            <w:r>
              <w:rPr>
                <w:sz w:val="20"/>
              </w:rPr>
              <w:t>2035</w:t>
            </w:r>
            <w:r>
              <w:rPr>
                <w:sz w:val="20"/>
              </w:rPr>
              <w:br/>
            </w:r>
            <w:r>
              <w:rPr>
                <w:sz w:val="20"/>
              </w:rPr>
              <w:t>2023</w:t>
            </w:r>
          </w:p>
          <w:p w14:paraId="8B040000">
            <w:pPr>
              <w:spacing w:after="0" w:line="240" w:lineRule="auto"/>
              <w:ind/>
              <w:rPr>
                <w:sz w:val="20"/>
              </w:rPr>
            </w:pPr>
            <w:r>
              <w:rPr>
                <w:sz w:val="20"/>
              </w:rPr>
              <w:br/>
            </w:r>
            <w:r>
              <w:rPr>
                <w:sz w:val="20"/>
              </w:rPr>
              <w:t>2035</w:t>
            </w:r>
          </w:p>
        </w:tc>
        <w:tc>
          <w:tcPr>
            <w:tcW w:type="dxa" w:w="1261"/>
            <w:tcBorders>
              <w:top w:color="000000" w:sz="4" w:val="single"/>
              <w:left w:color="000000" w:sz="4" w:val="single"/>
              <w:bottom w:color="000000" w:sz="4" w:val="single"/>
              <w:right w:color="000000" w:sz="4" w:val="single"/>
            </w:tcBorders>
            <w:vAlign w:val="center"/>
          </w:tcPr>
          <w:p w14:paraId="8C040000">
            <w:pPr>
              <w:spacing w:after="0" w:line="240" w:lineRule="auto"/>
              <w:ind/>
              <w:jc w:val="center"/>
              <w:rPr>
                <w:sz w:val="20"/>
              </w:rPr>
            </w:pPr>
            <w:r>
              <w:rPr>
                <w:sz w:val="20"/>
              </w:rPr>
              <w:t>135,0</w:t>
            </w:r>
          </w:p>
        </w:tc>
      </w:tr>
      <w:tr>
        <w:trPr>
          <w:trHeight w:hRule="atLeast" w:val="1384"/>
        </w:trPr>
        <w:tc>
          <w:tcPr>
            <w:tcW w:type="dxa" w:w="1937"/>
            <w:tcBorders>
              <w:top w:color="000000" w:sz="4" w:val="single"/>
              <w:left w:color="000000" w:sz="4" w:val="single"/>
              <w:bottom w:color="000000" w:sz="4" w:val="single"/>
              <w:right w:color="000000" w:sz="4" w:val="single"/>
            </w:tcBorders>
          </w:tcPr>
          <w:p w14:paraId="8D040000">
            <w:pPr>
              <w:spacing w:after="0" w:line="240" w:lineRule="auto"/>
              <w:ind/>
              <w:rPr>
                <w:sz w:val="20"/>
              </w:rPr>
            </w:pPr>
            <w:r>
              <w:rPr>
                <w:sz w:val="20"/>
              </w:rPr>
              <w:t xml:space="preserve">с. Куйбышево, ул. Миусская, 3 (ГБУ РО </w:t>
            </w:r>
            <w:r>
              <w:rPr>
                <w:sz w:val="20"/>
              </w:rPr>
              <w:t>"Центральная районная больница" (стационар)</w:t>
            </w:r>
          </w:p>
        </w:tc>
        <w:tc>
          <w:tcPr>
            <w:tcW w:type="dxa" w:w="5626"/>
            <w:tcBorders>
              <w:top w:color="000000" w:sz="4" w:val="single"/>
              <w:left w:color="000000" w:sz="4" w:val="single"/>
              <w:bottom w:color="000000" w:sz="4" w:val="single"/>
              <w:right w:color="000000" w:sz="4" w:val="single"/>
            </w:tcBorders>
          </w:tcPr>
          <w:p w14:paraId="8E040000">
            <w:pPr>
              <w:spacing w:after="0" w:line="240" w:lineRule="auto"/>
              <w:ind/>
              <w:rPr>
                <w:sz w:val="20"/>
              </w:rPr>
            </w:pPr>
            <w:r>
              <w:rPr>
                <w:sz w:val="20"/>
              </w:rPr>
              <w:t xml:space="preserve">Замена котла марки "КЧМ-5" 9сек. </w:t>
            </w:r>
            <w:r>
              <w:rPr>
                <w:sz w:val="20"/>
              </w:rPr>
              <w:br/>
            </w:r>
            <w:r>
              <w:rPr>
                <w:sz w:val="20"/>
              </w:rPr>
              <w:t>Замена циркуляционного насоса Wilo Top-s 30/10</w:t>
            </w:r>
            <w:r>
              <w:rPr>
                <w:sz w:val="20"/>
              </w:rPr>
              <w:br/>
            </w:r>
            <w:r>
              <w:rPr>
                <w:sz w:val="20"/>
              </w:rPr>
              <w:t xml:space="preserve">Замена счетчика газа </w:t>
            </w:r>
            <w:r>
              <w:rPr>
                <w:sz w:val="20"/>
              </w:rPr>
              <w:br/>
            </w:r>
            <w:r>
              <w:rPr>
                <w:sz w:val="20"/>
              </w:rPr>
              <w:t>Замена окна на пластиковое</w:t>
            </w:r>
            <w:r>
              <w:rPr>
                <w:sz w:val="20"/>
              </w:rPr>
              <w:br/>
            </w:r>
            <w:r>
              <w:rPr>
                <w:sz w:val="20"/>
              </w:rPr>
              <w:t xml:space="preserve">Замена двери </w:t>
            </w:r>
            <w:r>
              <w:rPr>
                <w:sz w:val="20"/>
              </w:rPr>
              <w:br/>
            </w:r>
            <w:r>
              <w:rPr>
                <w:sz w:val="20"/>
              </w:rPr>
              <w:t xml:space="preserve">Ремонт кровли </w:t>
            </w:r>
          </w:p>
        </w:tc>
        <w:tc>
          <w:tcPr>
            <w:tcW w:type="dxa" w:w="701"/>
            <w:tcBorders>
              <w:top w:color="000000" w:sz="4" w:val="single"/>
              <w:left w:color="000000" w:sz="4" w:val="single"/>
              <w:bottom w:color="000000" w:sz="4" w:val="single"/>
              <w:right w:color="000000" w:sz="4" w:val="single"/>
            </w:tcBorders>
          </w:tcPr>
          <w:p w14:paraId="8F040000">
            <w:pPr>
              <w:spacing w:after="0" w:line="240" w:lineRule="auto"/>
              <w:ind/>
              <w:rPr>
                <w:sz w:val="20"/>
              </w:rPr>
            </w:pPr>
            <w:r>
              <w:rPr>
                <w:sz w:val="20"/>
              </w:rPr>
              <w:t>2043</w:t>
            </w:r>
            <w:r>
              <w:rPr>
                <w:sz w:val="20"/>
              </w:rPr>
              <w:br/>
            </w:r>
            <w:r>
              <w:rPr>
                <w:sz w:val="20"/>
              </w:rPr>
              <w:t>2032</w:t>
            </w:r>
            <w:r>
              <w:rPr>
                <w:sz w:val="20"/>
              </w:rPr>
              <w:br/>
            </w:r>
            <w:r>
              <w:rPr>
                <w:sz w:val="20"/>
              </w:rPr>
              <w:t>2036</w:t>
            </w:r>
            <w:r>
              <w:rPr>
                <w:sz w:val="20"/>
              </w:rPr>
              <w:br/>
            </w:r>
            <w:r>
              <w:rPr>
                <w:sz w:val="20"/>
              </w:rPr>
              <w:t>2043</w:t>
            </w:r>
            <w:r>
              <w:rPr>
                <w:sz w:val="20"/>
              </w:rPr>
              <w:br/>
            </w:r>
            <w:r>
              <w:rPr>
                <w:sz w:val="20"/>
              </w:rPr>
              <w:t>2043</w:t>
            </w:r>
            <w:r>
              <w:rPr>
                <w:sz w:val="20"/>
              </w:rPr>
              <w:br/>
            </w:r>
            <w:r>
              <w:rPr>
                <w:sz w:val="20"/>
              </w:rPr>
              <w:t>2037</w:t>
            </w:r>
          </w:p>
        </w:tc>
        <w:tc>
          <w:tcPr>
            <w:tcW w:type="dxa" w:w="1261"/>
            <w:tcBorders>
              <w:top w:color="000000" w:sz="4" w:val="single"/>
              <w:left w:color="000000" w:sz="4" w:val="single"/>
              <w:bottom w:color="000000" w:sz="4" w:val="single"/>
              <w:right w:color="000000" w:sz="4" w:val="single"/>
            </w:tcBorders>
            <w:vAlign w:val="center"/>
          </w:tcPr>
          <w:p w14:paraId="90040000">
            <w:pPr>
              <w:spacing w:after="0" w:line="240" w:lineRule="auto"/>
              <w:ind/>
              <w:jc w:val="center"/>
              <w:rPr>
                <w:sz w:val="20"/>
              </w:rPr>
            </w:pPr>
            <w:r>
              <w:rPr>
                <w:sz w:val="20"/>
              </w:rPr>
              <w:t>1385,0</w:t>
            </w:r>
          </w:p>
        </w:tc>
      </w:tr>
      <w:tr>
        <w:trPr>
          <w:trHeight w:hRule="atLeast" w:val="1195"/>
        </w:trPr>
        <w:tc>
          <w:tcPr>
            <w:tcW w:type="dxa" w:w="1937"/>
            <w:tcBorders>
              <w:top w:color="000000" w:sz="4" w:val="single"/>
              <w:left w:color="000000" w:sz="4" w:val="single"/>
              <w:bottom w:color="000000" w:sz="4" w:val="single"/>
              <w:right w:color="000000" w:sz="4" w:val="single"/>
            </w:tcBorders>
          </w:tcPr>
          <w:p w14:paraId="91040000">
            <w:pPr>
              <w:spacing w:after="0" w:line="240" w:lineRule="auto"/>
              <w:ind/>
              <w:rPr>
                <w:sz w:val="20"/>
              </w:rPr>
            </w:pPr>
            <w:r>
              <w:rPr>
                <w:sz w:val="20"/>
              </w:rPr>
              <w:t xml:space="preserve">с. Куйбышево, </w:t>
            </w:r>
            <w:r>
              <w:rPr>
                <w:sz w:val="20"/>
              </w:rPr>
              <w:t>ул. Миусская, 3(ГБУ РО "Центральная районная больница" (поликлиника)</w:t>
            </w:r>
          </w:p>
        </w:tc>
        <w:tc>
          <w:tcPr>
            <w:tcW w:type="dxa" w:w="5626"/>
            <w:tcBorders>
              <w:top w:color="000000" w:sz="4" w:val="single"/>
              <w:left w:color="000000" w:sz="4" w:val="single"/>
              <w:bottom w:color="000000" w:sz="4" w:val="single"/>
              <w:right w:color="000000" w:sz="4" w:val="single"/>
            </w:tcBorders>
          </w:tcPr>
          <w:p w14:paraId="92040000">
            <w:pPr>
              <w:spacing w:after="0" w:line="240" w:lineRule="auto"/>
              <w:ind/>
              <w:rPr>
                <w:sz w:val="20"/>
              </w:rPr>
            </w:pPr>
            <w:r>
              <w:rPr>
                <w:sz w:val="20"/>
              </w:rPr>
              <w:t xml:space="preserve">Замена котла марки "КЧМ-5" 7сек. </w:t>
            </w:r>
            <w:r>
              <w:rPr>
                <w:sz w:val="20"/>
              </w:rPr>
              <w:br/>
            </w:r>
            <w:r>
              <w:rPr>
                <w:sz w:val="20"/>
              </w:rPr>
              <w:t>Замена циркуляционного насоса Wilo   Top-rl 30/6,5</w:t>
            </w:r>
            <w:r>
              <w:rPr>
                <w:sz w:val="20"/>
              </w:rPr>
              <w:br/>
            </w:r>
            <w:r>
              <w:rPr>
                <w:sz w:val="20"/>
              </w:rPr>
              <w:t>Замена окна на пластиковое</w:t>
            </w:r>
            <w:r>
              <w:rPr>
                <w:sz w:val="20"/>
              </w:rPr>
              <w:br/>
            </w:r>
            <w:r>
              <w:rPr>
                <w:sz w:val="20"/>
              </w:rPr>
              <w:t xml:space="preserve">Замена двери </w:t>
            </w:r>
            <w:r>
              <w:rPr>
                <w:sz w:val="20"/>
              </w:rPr>
              <w:br/>
            </w:r>
            <w:r>
              <w:rPr>
                <w:sz w:val="20"/>
              </w:rPr>
              <w:t xml:space="preserve">Ремонт кровли </w:t>
            </w:r>
          </w:p>
        </w:tc>
        <w:tc>
          <w:tcPr>
            <w:tcW w:type="dxa" w:w="701"/>
            <w:tcBorders>
              <w:top w:color="000000" w:sz="4" w:val="single"/>
              <w:left w:color="000000" w:sz="4" w:val="single"/>
              <w:bottom w:color="000000" w:sz="4" w:val="single"/>
              <w:right w:color="000000" w:sz="4" w:val="single"/>
            </w:tcBorders>
          </w:tcPr>
          <w:p w14:paraId="93040000">
            <w:pPr>
              <w:spacing w:after="0" w:line="240" w:lineRule="auto"/>
              <w:ind/>
              <w:rPr>
                <w:sz w:val="20"/>
              </w:rPr>
            </w:pPr>
            <w:r>
              <w:rPr>
                <w:sz w:val="20"/>
              </w:rPr>
              <w:t>2043</w:t>
            </w:r>
            <w:r>
              <w:rPr>
                <w:sz w:val="20"/>
              </w:rPr>
              <w:br/>
            </w:r>
            <w:r>
              <w:rPr>
                <w:sz w:val="20"/>
              </w:rPr>
              <w:t>2032</w:t>
            </w:r>
            <w:r>
              <w:rPr>
                <w:sz w:val="20"/>
              </w:rPr>
              <w:br/>
            </w:r>
            <w:r>
              <w:rPr>
                <w:sz w:val="20"/>
              </w:rPr>
              <w:t>2042</w:t>
            </w:r>
            <w:r>
              <w:rPr>
                <w:sz w:val="20"/>
              </w:rPr>
              <w:br/>
            </w:r>
            <w:r>
              <w:rPr>
                <w:sz w:val="20"/>
              </w:rPr>
              <w:t>2034</w:t>
            </w:r>
            <w:r>
              <w:rPr>
                <w:sz w:val="20"/>
              </w:rPr>
              <w:br/>
            </w:r>
            <w:r>
              <w:rPr>
                <w:sz w:val="20"/>
              </w:rPr>
              <w:t>2034</w:t>
            </w:r>
          </w:p>
        </w:tc>
        <w:tc>
          <w:tcPr>
            <w:tcW w:type="dxa" w:w="1261"/>
            <w:tcBorders>
              <w:top w:color="000000" w:sz="4" w:val="single"/>
              <w:left w:color="000000" w:sz="4" w:val="single"/>
              <w:bottom w:color="000000" w:sz="4" w:val="single"/>
              <w:right w:color="000000" w:sz="4" w:val="single"/>
            </w:tcBorders>
            <w:vAlign w:val="center"/>
          </w:tcPr>
          <w:p w14:paraId="94040000">
            <w:pPr>
              <w:spacing w:after="0" w:line="240" w:lineRule="auto"/>
              <w:ind/>
              <w:jc w:val="center"/>
              <w:rPr>
                <w:sz w:val="20"/>
              </w:rPr>
            </w:pPr>
            <w:r>
              <w:rPr>
                <w:sz w:val="20"/>
              </w:rPr>
              <w:t>769,0</w:t>
            </w:r>
          </w:p>
        </w:tc>
      </w:tr>
      <w:tr>
        <w:trPr>
          <w:trHeight w:hRule="atLeast" w:val="765"/>
        </w:trPr>
        <w:tc>
          <w:tcPr>
            <w:tcW w:type="dxa" w:w="1937"/>
            <w:tcBorders>
              <w:top w:color="000000" w:sz="4" w:val="single"/>
              <w:left w:color="000000" w:sz="4" w:val="single"/>
              <w:bottom w:color="000000" w:sz="4" w:val="single"/>
              <w:right w:color="000000" w:sz="4" w:val="single"/>
            </w:tcBorders>
          </w:tcPr>
          <w:p w14:paraId="95040000">
            <w:pPr>
              <w:spacing w:after="0" w:line="240" w:lineRule="auto"/>
              <w:ind/>
              <w:rPr>
                <w:sz w:val="20"/>
              </w:rPr>
            </w:pPr>
            <w:r>
              <w:rPr>
                <w:sz w:val="20"/>
              </w:rPr>
              <w:t xml:space="preserve">с. Куйбышево, </w:t>
            </w:r>
            <w:r>
              <w:rPr>
                <w:sz w:val="20"/>
              </w:rPr>
              <w:t>ул. Миусская, 3 (ГБУ РО "Центральная районная больница" (административный корпус)</w:t>
            </w:r>
          </w:p>
        </w:tc>
        <w:tc>
          <w:tcPr>
            <w:tcW w:type="dxa" w:w="5626"/>
            <w:tcBorders>
              <w:top w:color="000000" w:sz="4" w:val="single"/>
              <w:left w:color="000000" w:sz="4" w:val="single"/>
              <w:bottom w:color="000000" w:sz="4" w:val="single"/>
              <w:right w:color="000000" w:sz="4" w:val="single"/>
            </w:tcBorders>
          </w:tcPr>
          <w:p w14:paraId="96040000">
            <w:pPr>
              <w:spacing w:after="0" w:line="240" w:lineRule="auto"/>
              <w:ind/>
              <w:rPr>
                <w:sz w:val="20"/>
              </w:rPr>
            </w:pPr>
            <w:r>
              <w:rPr>
                <w:sz w:val="20"/>
              </w:rPr>
              <w:t>Замена котла марки КСГ -20МН</w:t>
            </w:r>
            <w:r>
              <w:rPr>
                <w:sz w:val="20"/>
              </w:rPr>
              <w:br/>
            </w:r>
            <w:r>
              <w:rPr>
                <w:sz w:val="20"/>
              </w:rPr>
              <w:t>Замена циркуляционного насоса Aquario AC254-180</w:t>
            </w:r>
          </w:p>
        </w:tc>
        <w:tc>
          <w:tcPr>
            <w:tcW w:type="dxa" w:w="701"/>
            <w:tcBorders>
              <w:top w:color="000000" w:sz="4" w:val="single"/>
              <w:left w:color="000000" w:sz="4" w:val="single"/>
              <w:bottom w:color="000000" w:sz="4" w:val="single"/>
              <w:right w:color="000000" w:sz="4" w:val="single"/>
            </w:tcBorders>
          </w:tcPr>
          <w:p w14:paraId="97040000">
            <w:pPr>
              <w:spacing w:after="0" w:line="240" w:lineRule="auto"/>
              <w:ind/>
              <w:rPr>
                <w:sz w:val="20"/>
              </w:rPr>
            </w:pPr>
            <w:r>
              <w:rPr>
                <w:sz w:val="20"/>
              </w:rPr>
              <w:t>2027</w:t>
            </w:r>
            <w:r>
              <w:rPr>
                <w:sz w:val="20"/>
              </w:rPr>
              <w:br/>
            </w:r>
            <w:r>
              <w:rPr>
                <w:sz w:val="20"/>
              </w:rPr>
              <w:t>2027</w:t>
            </w:r>
          </w:p>
        </w:tc>
        <w:tc>
          <w:tcPr>
            <w:tcW w:type="dxa" w:w="1261"/>
            <w:tcBorders>
              <w:top w:color="000000" w:sz="4" w:val="single"/>
              <w:left w:color="000000" w:sz="4" w:val="single"/>
              <w:bottom w:color="000000" w:sz="4" w:val="single"/>
              <w:right w:color="000000" w:sz="4" w:val="single"/>
            </w:tcBorders>
            <w:vAlign w:val="center"/>
          </w:tcPr>
          <w:p w14:paraId="98040000">
            <w:pPr>
              <w:spacing w:after="0" w:line="240" w:lineRule="auto"/>
              <w:ind/>
              <w:jc w:val="center"/>
              <w:rPr>
                <w:sz w:val="20"/>
              </w:rPr>
            </w:pPr>
            <w:r>
              <w:rPr>
                <w:sz w:val="20"/>
              </w:rPr>
              <w:t>48,0</w:t>
            </w:r>
          </w:p>
        </w:tc>
      </w:tr>
      <w:tr>
        <w:trPr>
          <w:trHeight w:hRule="atLeast" w:val="765"/>
        </w:trPr>
        <w:tc>
          <w:tcPr>
            <w:tcW w:type="dxa" w:w="1937"/>
            <w:tcBorders>
              <w:top w:color="000000" w:sz="4" w:val="single"/>
              <w:left w:color="000000" w:sz="4" w:val="single"/>
              <w:bottom w:color="000000" w:sz="4" w:val="single"/>
              <w:right w:color="000000" w:sz="4" w:val="single"/>
            </w:tcBorders>
          </w:tcPr>
          <w:p w14:paraId="99040000">
            <w:pPr>
              <w:spacing w:after="0" w:line="240" w:lineRule="auto"/>
              <w:ind/>
              <w:rPr>
                <w:sz w:val="20"/>
              </w:rPr>
            </w:pPr>
            <w:r>
              <w:rPr>
                <w:sz w:val="20"/>
              </w:rPr>
              <w:t xml:space="preserve">с. Куйбышево, ул. Миусская, 3 (ГБУ РО "Центральная районная больница" </w:t>
            </w:r>
            <w:r>
              <w:rPr>
                <w:sz w:val="20"/>
              </w:rPr>
              <w:t>(административно-хозяйственный корпус)</w:t>
            </w:r>
          </w:p>
        </w:tc>
        <w:tc>
          <w:tcPr>
            <w:tcW w:type="dxa" w:w="5626"/>
            <w:tcBorders>
              <w:top w:color="000000" w:sz="4" w:val="single"/>
              <w:left w:color="000000" w:sz="4" w:val="single"/>
              <w:bottom w:color="000000" w:sz="4" w:val="single"/>
              <w:right w:color="000000" w:sz="4" w:val="single"/>
            </w:tcBorders>
          </w:tcPr>
          <w:p w14:paraId="9A040000">
            <w:pPr>
              <w:spacing w:after="0" w:line="240" w:lineRule="auto"/>
              <w:ind/>
              <w:rPr>
                <w:sz w:val="20"/>
              </w:rPr>
            </w:pPr>
            <w:r>
              <w:rPr>
                <w:sz w:val="20"/>
              </w:rPr>
              <w:t>Замена котла марки КСГ - 20</w:t>
            </w:r>
            <w:r>
              <w:rPr>
                <w:sz w:val="20"/>
              </w:rPr>
              <w:br/>
            </w:r>
            <w:r>
              <w:rPr>
                <w:sz w:val="20"/>
              </w:rPr>
              <w:t>Замена циркуляционного насоса Aquario AC254-180</w:t>
            </w:r>
          </w:p>
        </w:tc>
        <w:tc>
          <w:tcPr>
            <w:tcW w:type="dxa" w:w="701"/>
            <w:tcBorders>
              <w:top w:color="000000" w:sz="4" w:val="single"/>
              <w:left w:color="000000" w:sz="4" w:val="single"/>
              <w:bottom w:color="000000" w:sz="4" w:val="single"/>
              <w:right w:color="000000" w:sz="4" w:val="single"/>
            </w:tcBorders>
          </w:tcPr>
          <w:p w14:paraId="9B040000">
            <w:pPr>
              <w:spacing w:after="0" w:line="240" w:lineRule="auto"/>
              <w:ind/>
              <w:rPr>
                <w:sz w:val="20"/>
              </w:rPr>
            </w:pPr>
            <w:r>
              <w:rPr>
                <w:sz w:val="20"/>
              </w:rPr>
              <w:t>2037</w:t>
            </w:r>
            <w:r>
              <w:rPr>
                <w:sz w:val="20"/>
              </w:rPr>
              <w:br/>
            </w:r>
            <w:r>
              <w:rPr>
                <w:sz w:val="20"/>
              </w:rPr>
              <w:t>2027</w:t>
            </w:r>
          </w:p>
        </w:tc>
        <w:tc>
          <w:tcPr>
            <w:tcW w:type="dxa" w:w="1261"/>
            <w:tcBorders>
              <w:top w:color="000000" w:sz="4" w:val="single"/>
              <w:left w:color="000000" w:sz="4" w:val="single"/>
              <w:bottom w:color="000000" w:sz="4" w:val="single"/>
              <w:right w:color="000000" w:sz="4" w:val="single"/>
            </w:tcBorders>
            <w:vAlign w:val="center"/>
          </w:tcPr>
          <w:p w14:paraId="9C040000">
            <w:pPr>
              <w:spacing w:after="0" w:line="240" w:lineRule="auto"/>
              <w:ind/>
              <w:jc w:val="center"/>
              <w:rPr>
                <w:sz w:val="20"/>
              </w:rPr>
            </w:pPr>
            <w:r>
              <w:rPr>
                <w:sz w:val="20"/>
              </w:rPr>
              <w:t>66,0</w:t>
            </w:r>
          </w:p>
        </w:tc>
      </w:tr>
      <w:tr>
        <w:trPr>
          <w:trHeight w:hRule="atLeast" w:val="765"/>
        </w:trPr>
        <w:tc>
          <w:tcPr>
            <w:tcW w:type="dxa" w:w="1937"/>
            <w:tcBorders>
              <w:top w:color="000000" w:sz="4" w:val="single"/>
              <w:left w:color="000000" w:sz="4" w:val="single"/>
              <w:bottom w:color="000000" w:sz="4" w:val="single"/>
              <w:right w:color="000000" w:sz="4" w:val="single"/>
            </w:tcBorders>
          </w:tcPr>
          <w:p w14:paraId="9D040000">
            <w:pPr>
              <w:spacing w:after="0" w:line="240" w:lineRule="auto"/>
              <w:ind/>
              <w:rPr>
                <w:sz w:val="20"/>
              </w:rPr>
            </w:pPr>
            <w:r>
              <w:rPr>
                <w:sz w:val="20"/>
              </w:rPr>
              <w:t>с. Куйбышево, ул. Миусская, 3 (ГБУ РО "Центральная районная больница" (кухня)</w:t>
            </w:r>
          </w:p>
        </w:tc>
        <w:tc>
          <w:tcPr>
            <w:tcW w:type="dxa" w:w="5626"/>
            <w:tcBorders>
              <w:top w:color="000000" w:sz="4" w:val="single"/>
              <w:left w:color="000000" w:sz="4" w:val="single"/>
              <w:bottom w:color="000000" w:sz="4" w:val="single"/>
              <w:right w:color="000000" w:sz="4" w:val="single"/>
            </w:tcBorders>
          </w:tcPr>
          <w:p w14:paraId="9E040000">
            <w:pPr>
              <w:spacing w:after="0" w:line="240" w:lineRule="auto"/>
              <w:ind/>
              <w:rPr>
                <w:sz w:val="20"/>
              </w:rPr>
            </w:pPr>
            <w:r>
              <w:rPr>
                <w:sz w:val="20"/>
              </w:rPr>
              <w:t>Замена котла марки КСГ 12,5</w:t>
            </w:r>
          </w:p>
        </w:tc>
        <w:tc>
          <w:tcPr>
            <w:tcW w:type="dxa" w:w="701"/>
            <w:tcBorders>
              <w:top w:color="000000" w:sz="4" w:val="single"/>
              <w:left w:color="000000" w:sz="4" w:val="single"/>
              <w:bottom w:color="000000" w:sz="4" w:val="single"/>
              <w:right w:color="000000" w:sz="4" w:val="single"/>
            </w:tcBorders>
          </w:tcPr>
          <w:p w14:paraId="9F040000">
            <w:pPr>
              <w:spacing w:after="0" w:line="240" w:lineRule="auto"/>
              <w:ind/>
              <w:rPr>
                <w:sz w:val="20"/>
              </w:rPr>
            </w:pPr>
            <w:r>
              <w:rPr>
                <w:sz w:val="20"/>
              </w:rPr>
              <w:t>2027</w:t>
            </w:r>
          </w:p>
        </w:tc>
        <w:tc>
          <w:tcPr>
            <w:tcW w:type="dxa" w:w="1261"/>
            <w:tcBorders>
              <w:top w:color="000000" w:sz="4" w:val="single"/>
              <w:left w:color="000000" w:sz="4" w:val="single"/>
              <w:bottom w:color="000000" w:sz="4" w:val="single"/>
              <w:right w:color="000000" w:sz="4" w:val="single"/>
            </w:tcBorders>
            <w:vAlign w:val="center"/>
          </w:tcPr>
          <w:p w14:paraId="A0040000">
            <w:pPr>
              <w:spacing w:after="0" w:line="240" w:lineRule="auto"/>
              <w:ind/>
              <w:jc w:val="center"/>
              <w:rPr>
                <w:sz w:val="20"/>
              </w:rPr>
            </w:pPr>
            <w:r>
              <w:rPr>
                <w:sz w:val="20"/>
              </w:rPr>
              <w:t>19,0</w:t>
            </w:r>
          </w:p>
        </w:tc>
      </w:tr>
      <w:tr>
        <w:trPr>
          <w:trHeight w:hRule="atLeast" w:val="765"/>
        </w:trPr>
        <w:tc>
          <w:tcPr>
            <w:tcW w:type="dxa" w:w="1937"/>
            <w:tcBorders>
              <w:top w:color="000000" w:sz="4" w:val="single"/>
              <w:left w:color="000000" w:sz="4" w:val="single"/>
              <w:bottom w:color="000000" w:sz="4" w:val="single"/>
              <w:right w:color="000000" w:sz="4" w:val="single"/>
            </w:tcBorders>
          </w:tcPr>
          <w:p w14:paraId="A1040000">
            <w:pPr>
              <w:spacing w:after="0" w:line="240" w:lineRule="auto"/>
              <w:ind/>
              <w:rPr>
                <w:sz w:val="20"/>
              </w:rPr>
            </w:pPr>
            <w:r>
              <w:rPr>
                <w:sz w:val="20"/>
              </w:rPr>
              <w:t>с. Куйбы</w:t>
            </w:r>
            <w:r>
              <w:rPr>
                <w:sz w:val="20"/>
              </w:rPr>
              <w:t>шево, ул. Миусская, 3 (ГБУ РО "Центральная районная больница" (гараж)</w:t>
            </w:r>
          </w:p>
        </w:tc>
        <w:tc>
          <w:tcPr>
            <w:tcW w:type="dxa" w:w="5626"/>
            <w:tcBorders>
              <w:top w:color="000000" w:sz="4" w:val="single"/>
              <w:left w:color="000000" w:sz="4" w:val="single"/>
              <w:bottom w:color="000000" w:sz="4" w:val="single"/>
              <w:right w:color="000000" w:sz="4" w:val="single"/>
            </w:tcBorders>
          </w:tcPr>
          <w:p w14:paraId="A2040000">
            <w:pPr>
              <w:spacing w:after="0" w:line="240" w:lineRule="auto"/>
              <w:ind/>
              <w:rPr>
                <w:sz w:val="20"/>
              </w:rPr>
            </w:pPr>
            <w:r>
              <w:rPr>
                <w:sz w:val="20"/>
              </w:rPr>
              <w:t>Замена котла марки КСТГВ -31,5</w:t>
            </w:r>
          </w:p>
        </w:tc>
        <w:tc>
          <w:tcPr>
            <w:tcW w:type="dxa" w:w="701"/>
            <w:tcBorders>
              <w:top w:color="000000" w:sz="4" w:val="single"/>
              <w:left w:color="000000" w:sz="4" w:val="single"/>
              <w:bottom w:color="000000" w:sz="4" w:val="single"/>
              <w:right w:color="000000" w:sz="4" w:val="single"/>
            </w:tcBorders>
          </w:tcPr>
          <w:p w14:paraId="A3040000">
            <w:pPr>
              <w:spacing w:after="0" w:line="240" w:lineRule="auto"/>
              <w:ind/>
              <w:rPr>
                <w:sz w:val="20"/>
              </w:rPr>
            </w:pPr>
            <w:r>
              <w:rPr>
                <w:sz w:val="20"/>
              </w:rPr>
              <w:t>2027</w:t>
            </w:r>
          </w:p>
        </w:tc>
        <w:tc>
          <w:tcPr>
            <w:tcW w:type="dxa" w:w="1261"/>
            <w:tcBorders>
              <w:top w:color="000000" w:sz="4" w:val="single"/>
              <w:left w:color="000000" w:sz="4" w:val="single"/>
              <w:bottom w:color="000000" w:sz="4" w:val="single"/>
              <w:right w:color="000000" w:sz="4" w:val="single"/>
            </w:tcBorders>
            <w:vAlign w:val="center"/>
          </w:tcPr>
          <w:p w14:paraId="A4040000">
            <w:pPr>
              <w:spacing w:after="0" w:line="240" w:lineRule="auto"/>
              <w:ind/>
              <w:jc w:val="center"/>
              <w:rPr>
                <w:sz w:val="20"/>
              </w:rPr>
            </w:pPr>
            <w:r>
              <w:rPr>
                <w:sz w:val="20"/>
              </w:rPr>
              <w:t>57,0</w:t>
            </w:r>
          </w:p>
        </w:tc>
      </w:tr>
      <w:tr>
        <w:trPr>
          <w:trHeight w:hRule="atLeast" w:val="345"/>
        </w:trPr>
        <w:tc>
          <w:tcPr>
            <w:tcW w:type="dxa" w:w="1937"/>
            <w:tcBorders>
              <w:top w:color="000000" w:sz="4" w:val="single"/>
              <w:left w:color="000000" w:sz="4" w:val="single"/>
              <w:bottom w:color="000000" w:sz="4" w:val="single"/>
              <w:right w:color="000000" w:sz="4" w:val="single"/>
            </w:tcBorders>
          </w:tcPr>
          <w:p w14:paraId="A5040000">
            <w:pPr>
              <w:spacing w:after="0" w:line="240" w:lineRule="auto"/>
              <w:ind/>
              <w:rPr>
                <w:sz w:val="20"/>
              </w:rPr>
            </w:pPr>
            <w:r>
              <w:rPr>
                <w:sz w:val="20"/>
              </w:rPr>
              <w:t>с. Куйбышево, ул. Миусская, 3 (ГБУ РО "Центральная районная больница" (флюрографический кабинет)</w:t>
            </w:r>
          </w:p>
        </w:tc>
        <w:tc>
          <w:tcPr>
            <w:tcW w:type="dxa" w:w="5626"/>
            <w:tcBorders>
              <w:top w:color="000000" w:sz="4" w:val="single"/>
              <w:left w:color="000000" w:sz="4" w:val="single"/>
              <w:bottom w:color="000000" w:sz="4" w:val="single"/>
              <w:right w:color="000000" w:sz="4" w:val="single"/>
            </w:tcBorders>
          </w:tcPr>
          <w:p w14:paraId="A6040000">
            <w:pPr>
              <w:spacing w:after="0" w:line="240" w:lineRule="auto"/>
              <w:ind/>
              <w:rPr>
                <w:sz w:val="20"/>
              </w:rPr>
            </w:pPr>
            <w:r>
              <w:rPr>
                <w:sz w:val="20"/>
              </w:rPr>
              <w:t>Замена котла марки КСГ-10</w:t>
            </w:r>
          </w:p>
        </w:tc>
        <w:tc>
          <w:tcPr>
            <w:tcW w:type="dxa" w:w="701"/>
            <w:tcBorders>
              <w:top w:color="000000" w:sz="4" w:val="single"/>
              <w:left w:color="000000" w:sz="4" w:val="single"/>
              <w:bottom w:color="000000" w:sz="4" w:val="single"/>
              <w:right w:color="000000" w:sz="4" w:val="single"/>
            </w:tcBorders>
          </w:tcPr>
          <w:p w14:paraId="A7040000">
            <w:pPr>
              <w:spacing w:after="0" w:line="240" w:lineRule="auto"/>
              <w:ind/>
              <w:rPr>
                <w:sz w:val="20"/>
              </w:rPr>
            </w:pPr>
            <w:r>
              <w:rPr>
                <w:sz w:val="20"/>
              </w:rPr>
              <w:t>2029</w:t>
            </w:r>
          </w:p>
        </w:tc>
        <w:tc>
          <w:tcPr>
            <w:tcW w:type="dxa" w:w="1261"/>
            <w:tcBorders>
              <w:top w:color="000000" w:sz="4" w:val="single"/>
              <w:left w:color="000000" w:sz="4" w:val="single"/>
              <w:bottom w:color="000000" w:sz="4" w:val="single"/>
              <w:right w:color="000000" w:sz="4" w:val="single"/>
            </w:tcBorders>
            <w:vAlign w:val="center"/>
          </w:tcPr>
          <w:p w14:paraId="A8040000">
            <w:pPr>
              <w:spacing w:after="0" w:line="240" w:lineRule="auto"/>
              <w:ind/>
              <w:jc w:val="center"/>
              <w:rPr>
                <w:sz w:val="20"/>
              </w:rPr>
            </w:pPr>
            <w:r>
              <w:rPr>
                <w:sz w:val="20"/>
              </w:rPr>
              <w:t>25,0</w:t>
            </w:r>
          </w:p>
        </w:tc>
      </w:tr>
      <w:tr>
        <w:trPr>
          <w:trHeight w:hRule="atLeast" w:val="765"/>
        </w:trPr>
        <w:tc>
          <w:tcPr>
            <w:tcW w:type="dxa" w:w="1937"/>
            <w:tcBorders>
              <w:top w:color="000000" w:sz="4" w:val="single"/>
              <w:left w:color="000000" w:sz="4" w:val="single"/>
              <w:bottom w:color="000000" w:sz="4" w:val="single"/>
              <w:right w:color="000000" w:sz="4" w:val="single"/>
            </w:tcBorders>
          </w:tcPr>
          <w:p w14:paraId="A9040000">
            <w:pPr>
              <w:spacing w:after="0" w:line="240" w:lineRule="auto"/>
              <w:ind/>
              <w:rPr>
                <w:sz w:val="20"/>
              </w:rPr>
            </w:pPr>
            <w:r>
              <w:rPr>
                <w:sz w:val="20"/>
              </w:rPr>
              <w:t xml:space="preserve">с. </w:t>
            </w:r>
            <w:r>
              <w:rPr>
                <w:sz w:val="20"/>
              </w:rPr>
              <w:t xml:space="preserve">Куйбышево, ул. Миусская, 3 (ГБУ РО "Центральная районная </w:t>
            </w:r>
            <w:r>
              <w:rPr>
                <w:sz w:val="20"/>
              </w:rPr>
              <w:t>больница" (лаборатория)</w:t>
            </w:r>
          </w:p>
        </w:tc>
        <w:tc>
          <w:tcPr>
            <w:tcW w:type="dxa" w:w="5626"/>
            <w:tcBorders>
              <w:top w:color="000000" w:sz="4" w:val="single"/>
              <w:left w:color="000000" w:sz="4" w:val="single"/>
              <w:bottom w:color="000000" w:sz="4" w:val="single"/>
              <w:right w:color="000000" w:sz="4" w:val="single"/>
            </w:tcBorders>
          </w:tcPr>
          <w:p w14:paraId="AA040000">
            <w:pPr>
              <w:spacing w:after="0" w:line="240" w:lineRule="auto"/>
              <w:ind/>
              <w:rPr>
                <w:sz w:val="20"/>
              </w:rPr>
            </w:pPr>
            <w:r>
              <w:rPr>
                <w:sz w:val="20"/>
              </w:rPr>
              <w:t>Замена котла марки КСГВ -20М</w:t>
            </w:r>
            <w:r>
              <w:rPr>
                <w:sz w:val="20"/>
              </w:rPr>
              <w:br/>
            </w:r>
            <w:r>
              <w:rPr>
                <w:sz w:val="20"/>
              </w:rPr>
              <w:t>Замена циркуляционного насоса Aquario AC254-180</w:t>
            </w:r>
          </w:p>
        </w:tc>
        <w:tc>
          <w:tcPr>
            <w:tcW w:type="dxa" w:w="701"/>
            <w:tcBorders>
              <w:top w:color="000000" w:sz="4" w:val="single"/>
              <w:left w:color="000000" w:sz="4" w:val="single"/>
              <w:bottom w:color="000000" w:sz="4" w:val="single"/>
              <w:right w:color="000000" w:sz="4" w:val="single"/>
            </w:tcBorders>
          </w:tcPr>
          <w:p w14:paraId="AB040000">
            <w:pPr>
              <w:spacing w:after="0" w:line="240" w:lineRule="auto"/>
              <w:ind/>
              <w:rPr>
                <w:sz w:val="20"/>
              </w:rPr>
            </w:pPr>
            <w:r>
              <w:rPr>
                <w:sz w:val="20"/>
              </w:rPr>
              <w:t>2027</w:t>
            </w:r>
            <w:r>
              <w:rPr>
                <w:sz w:val="20"/>
              </w:rPr>
              <w:br/>
            </w:r>
            <w:r>
              <w:rPr>
                <w:sz w:val="20"/>
              </w:rPr>
              <w:t>2023</w:t>
            </w:r>
          </w:p>
        </w:tc>
        <w:tc>
          <w:tcPr>
            <w:tcW w:type="dxa" w:w="1261"/>
            <w:tcBorders>
              <w:top w:color="000000" w:sz="4" w:val="single"/>
              <w:left w:color="000000" w:sz="4" w:val="single"/>
              <w:bottom w:color="000000" w:sz="4" w:val="single"/>
              <w:right w:color="000000" w:sz="4" w:val="single"/>
            </w:tcBorders>
            <w:vAlign w:val="center"/>
          </w:tcPr>
          <w:p w14:paraId="AC040000">
            <w:pPr>
              <w:spacing w:after="0" w:line="240" w:lineRule="auto"/>
              <w:ind/>
              <w:jc w:val="center"/>
              <w:rPr>
                <w:sz w:val="20"/>
              </w:rPr>
            </w:pPr>
            <w:r>
              <w:rPr>
                <w:sz w:val="20"/>
              </w:rPr>
              <w:t>46,0</w:t>
            </w:r>
          </w:p>
        </w:tc>
      </w:tr>
      <w:tr>
        <w:trPr>
          <w:trHeight w:hRule="atLeast" w:val="1406"/>
        </w:trPr>
        <w:tc>
          <w:tcPr>
            <w:tcW w:type="dxa" w:w="1937"/>
            <w:tcBorders>
              <w:top w:color="000000" w:sz="4" w:val="single"/>
              <w:left w:color="000000" w:sz="4" w:val="single"/>
              <w:bottom w:color="000000" w:sz="4" w:val="single"/>
              <w:right w:color="000000" w:sz="4" w:val="single"/>
            </w:tcBorders>
          </w:tcPr>
          <w:p w14:paraId="AD040000">
            <w:pPr>
              <w:spacing w:after="0" w:line="240" w:lineRule="auto"/>
              <w:ind/>
              <w:rPr>
                <w:sz w:val="20"/>
              </w:rPr>
            </w:pPr>
            <w:r>
              <w:rPr>
                <w:sz w:val="20"/>
              </w:rPr>
              <w:t>с. Куйбышево, ул. Миусская, 3 (ГБУ РО "Центральная районная больница" (роддом)</w:t>
            </w:r>
          </w:p>
        </w:tc>
        <w:tc>
          <w:tcPr>
            <w:tcW w:type="dxa" w:w="5626"/>
            <w:tcBorders>
              <w:top w:color="000000" w:sz="4" w:val="single"/>
              <w:left w:color="000000" w:sz="4" w:val="single"/>
              <w:bottom w:color="000000" w:sz="4" w:val="single"/>
              <w:right w:color="000000" w:sz="4" w:val="single"/>
            </w:tcBorders>
          </w:tcPr>
          <w:p w14:paraId="AE040000">
            <w:pPr>
              <w:spacing w:after="0" w:line="240" w:lineRule="auto"/>
              <w:ind/>
              <w:rPr>
                <w:sz w:val="20"/>
              </w:rPr>
            </w:pPr>
            <w:r>
              <w:rPr>
                <w:sz w:val="20"/>
              </w:rPr>
              <w:t xml:space="preserve">Замена котла марки КСТГ-31,5 </w:t>
            </w:r>
            <w:r>
              <w:rPr>
                <w:sz w:val="20"/>
              </w:rPr>
              <w:br/>
            </w:r>
            <w:r>
              <w:rPr>
                <w:sz w:val="20"/>
              </w:rPr>
              <w:t>Замена котла марки КСГ-30</w:t>
            </w:r>
            <w:r>
              <w:rPr>
                <w:sz w:val="20"/>
              </w:rPr>
              <w:br/>
            </w:r>
            <w:r>
              <w:rPr>
                <w:sz w:val="20"/>
              </w:rPr>
              <w:t>Замена циркуляционного насоса Wilo   RL 30/7,5</w:t>
            </w:r>
            <w:r>
              <w:rPr>
                <w:sz w:val="20"/>
              </w:rPr>
              <w:br/>
            </w:r>
            <w:r>
              <w:rPr>
                <w:sz w:val="20"/>
              </w:rPr>
              <w:t>Замена окна на пластиковое</w:t>
            </w:r>
            <w:r>
              <w:rPr>
                <w:sz w:val="20"/>
              </w:rPr>
              <w:br/>
            </w:r>
            <w:r>
              <w:rPr>
                <w:sz w:val="20"/>
              </w:rPr>
              <w:t xml:space="preserve">Замена двери </w:t>
            </w:r>
            <w:r>
              <w:rPr>
                <w:sz w:val="20"/>
              </w:rPr>
              <w:br/>
            </w:r>
            <w:r>
              <w:rPr>
                <w:sz w:val="20"/>
              </w:rPr>
              <w:t xml:space="preserve">Ремонт кровли </w:t>
            </w:r>
          </w:p>
        </w:tc>
        <w:tc>
          <w:tcPr>
            <w:tcW w:type="dxa" w:w="701"/>
            <w:tcBorders>
              <w:top w:color="000000" w:sz="4" w:val="single"/>
              <w:left w:color="000000" w:sz="4" w:val="single"/>
              <w:bottom w:color="000000" w:sz="4" w:val="single"/>
              <w:right w:color="000000" w:sz="4" w:val="single"/>
            </w:tcBorders>
          </w:tcPr>
          <w:p w14:paraId="AF040000">
            <w:pPr>
              <w:spacing w:after="0" w:line="240" w:lineRule="auto"/>
              <w:ind/>
              <w:rPr>
                <w:sz w:val="20"/>
              </w:rPr>
            </w:pPr>
            <w:r>
              <w:rPr>
                <w:sz w:val="20"/>
              </w:rPr>
              <w:t>2023</w:t>
            </w:r>
            <w:r>
              <w:rPr>
                <w:sz w:val="20"/>
              </w:rPr>
              <w:br/>
            </w:r>
            <w:r>
              <w:rPr>
                <w:sz w:val="20"/>
              </w:rPr>
              <w:t>2036</w:t>
            </w:r>
            <w:r>
              <w:rPr>
                <w:sz w:val="20"/>
              </w:rPr>
              <w:br/>
            </w:r>
            <w:r>
              <w:rPr>
                <w:sz w:val="20"/>
              </w:rPr>
              <w:t>2023</w:t>
            </w:r>
            <w:r>
              <w:rPr>
                <w:sz w:val="20"/>
              </w:rPr>
              <w:br/>
            </w:r>
            <w:r>
              <w:rPr>
                <w:sz w:val="20"/>
              </w:rPr>
              <w:t>2043</w:t>
            </w:r>
            <w:r>
              <w:rPr>
                <w:sz w:val="20"/>
              </w:rPr>
              <w:br/>
            </w:r>
            <w:r>
              <w:rPr>
                <w:sz w:val="20"/>
              </w:rPr>
              <w:t>2043</w:t>
            </w:r>
            <w:r>
              <w:rPr>
                <w:sz w:val="20"/>
              </w:rPr>
              <w:br/>
            </w:r>
            <w:r>
              <w:rPr>
                <w:sz w:val="20"/>
              </w:rPr>
              <w:t>2037</w:t>
            </w:r>
          </w:p>
        </w:tc>
        <w:tc>
          <w:tcPr>
            <w:tcW w:type="dxa" w:w="1261"/>
            <w:tcBorders>
              <w:top w:color="000000" w:sz="4" w:val="single"/>
              <w:left w:color="000000" w:sz="4" w:val="single"/>
              <w:bottom w:color="000000" w:sz="4" w:val="single"/>
              <w:right w:color="000000" w:sz="4" w:val="single"/>
            </w:tcBorders>
            <w:vAlign w:val="center"/>
          </w:tcPr>
          <w:p w14:paraId="B0040000">
            <w:pPr>
              <w:spacing w:after="0" w:line="240" w:lineRule="auto"/>
              <w:ind/>
              <w:jc w:val="center"/>
              <w:rPr>
                <w:sz w:val="20"/>
              </w:rPr>
            </w:pPr>
            <w:r>
              <w:rPr>
                <w:sz w:val="20"/>
              </w:rPr>
              <w:t>309,0</w:t>
            </w:r>
          </w:p>
        </w:tc>
      </w:tr>
      <w:tr>
        <w:trPr>
          <w:trHeight w:hRule="atLeast" w:val="70"/>
        </w:trPr>
        <w:tc>
          <w:tcPr>
            <w:tcW w:type="dxa" w:w="1937"/>
            <w:tcBorders>
              <w:top w:color="000000" w:sz="4" w:val="single"/>
              <w:left w:color="000000" w:sz="4" w:val="single"/>
              <w:bottom w:color="000000" w:sz="4" w:val="single"/>
              <w:right w:color="000000" w:sz="4" w:val="single"/>
            </w:tcBorders>
          </w:tcPr>
          <w:p w14:paraId="B1040000">
            <w:pPr>
              <w:spacing w:after="0" w:line="240" w:lineRule="auto"/>
              <w:ind/>
              <w:rPr>
                <w:sz w:val="20"/>
              </w:rPr>
            </w:pPr>
            <w:r>
              <w:rPr>
                <w:sz w:val="20"/>
              </w:rPr>
              <w:t xml:space="preserve">с. Куйбышево, ул. Миусская, 3 (ГБУ РО "Центральная районная </w:t>
            </w:r>
            <w:r>
              <w:rPr>
                <w:sz w:val="20"/>
              </w:rPr>
              <w:t>больница" (прачечная)</w:t>
            </w:r>
          </w:p>
        </w:tc>
        <w:tc>
          <w:tcPr>
            <w:tcW w:type="dxa" w:w="5626"/>
            <w:tcBorders>
              <w:top w:color="000000" w:sz="4" w:val="single"/>
              <w:left w:color="000000" w:sz="4" w:val="single"/>
              <w:bottom w:color="000000" w:sz="4" w:val="single"/>
              <w:right w:color="000000" w:sz="4" w:val="single"/>
            </w:tcBorders>
          </w:tcPr>
          <w:p w14:paraId="B2040000">
            <w:pPr>
              <w:spacing w:after="0" w:line="240" w:lineRule="auto"/>
              <w:ind/>
              <w:rPr>
                <w:sz w:val="20"/>
              </w:rPr>
            </w:pPr>
            <w:r>
              <w:rPr>
                <w:sz w:val="20"/>
              </w:rPr>
              <w:t>Замена котла марки КСГ -10</w:t>
            </w:r>
          </w:p>
        </w:tc>
        <w:tc>
          <w:tcPr>
            <w:tcW w:type="dxa" w:w="701"/>
            <w:tcBorders>
              <w:top w:color="000000" w:sz="4" w:val="single"/>
              <w:left w:color="000000" w:sz="4" w:val="single"/>
              <w:bottom w:color="000000" w:sz="4" w:val="single"/>
              <w:right w:color="000000" w:sz="4" w:val="single"/>
            </w:tcBorders>
          </w:tcPr>
          <w:p w14:paraId="B3040000">
            <w:pPr>
              <w:spacing w:after="0" w:line="240" w:lineRule="auto"/>
              <w:ind/>
              <w:rPr>
                <w:sz w:val="20"/>
              </w:rPr>
            </w:pPr>
            <w:r>
              <w:rPr>
                <w:sz w:val="20"/>
              </w:rPr>
              <w:t>2028</w:t>
            </w:r>
          </w:p>
        </w:tc>
        <w:tc>
          <w:tcPr>
            <w:tcW w:type="dxa" w:w="1261"/>
            <w:tcBorders>
              <w:top w:color="000000" w:sz="4" w:val="single"/>
              <w:left w:color="000000" w:sz="4" w:val="single"/>
              <w:bottom w:color="000000" w:sz="4" w:val="single"/>
              <w:right w:color="000000" w:sz="4" w:val="single"/>
            </w:tcBorders>
            <w:vAlign w:val="center"/>
          </w:tcPr>
          <w:p w14:paraId="B4040000">
            <w:pPr>
              <w:spacing w:after="0" w:line="240" w:lineRule="auto"/>
              <w:ind/>
              <w:jc w:val="center"/>
              <w:rPr>
                <w:sz w:val="20"/>
              </w:rPr>
            </w:pPr>
            <w:r>
              <w:rPr>
                <w:sz w:val="20"/>
              </w:rPr>
              <w:t>24,0</w:t>
            </w:r>
          </w:p>
        </w:tc>
      </w:tr>
      <w:tr>
        <w:trPr>
          <w:trHeight w:hRule="atLeast" w:val="1635"/>
        </w:trPr>
        <w:tc>
          <w:tcPr>
            <w:tcW w:type="dxa" w:w="1937"/>
            <w:tcBorders>
              <w:top w:color="000000" w:sz="4" w:val="single"/>
              <w:left w:color="000000" w:sz="4" w:val="single"/>
              <w:bottom w:color="000000" w:sz="4" w:val="single"/>
              <w:right w:color="000000" w:sz="4" w:val="single"/>
            </w:tcBorders>
          </w:tcPr>
          <w:p w14:paraId="B5040000">
            <w:pPr>
              <w:spacing w:after="0" w:line="240" w:lineRule="auto"/>
              <w:ind/>
              <w:rPr>
                <w:sz w:val="20"/>
              </w:rPr>
            </w:pPr>
            <w:r>
              <w:rPr>
                <w:sz w:val="20"/>
              </w:rPr>
              <w:t>с. Куйбышево, ул. Пролетарская, 7</w:t>
            </w:r>
          </w:p>
        </w:tc>
        <w:tc>
          <w:tcPr>
            <w:tcW w:type="dxa" w:w="5626"/>
            <w:tcBorders>
              <w:top w:color="000000" w:sz="4" w:val="single"/>
              <w:left w:color="000000" w:sz="4" w:val="single"/>
              <w:bottom w:color="000000" w:sz="4" w:val="single"/>
              <w:right w:color="000000" w:sz="4" w:val="single"/>
            </w:tcBorders>
          </w:tcPr>
          <w:p w14:paraId="B6040000">
            <w:pPr>
              <w:spacing w:after="0" w:line="240" w:lineRule="auto"/>
              <w:ind/>
              <w:rPr>
                <w:sz w:val="20"/>
              </w:rPr>
            </w:pPr>
            <w:r>
              <w:rPr>
                <w:sz w:val="20"/>
              </w:rPr>
              <w:t>Разработка проектной документации на техническое перевооружение котельной (газовая часть, тепловая часть, замена УУГ)</w:t>
            </w:r>
            <w:r>
              <w:rPr>
                <w:sz w:val="20"/>
              </w:rPr>
              <w:br/>
            </w:r>
            <w:r>
              <w:t xml:space="preserve">Техническое перевооружение котельной с </w:t>
            </w:r>
            <w:r>
              <w:t>заменой морально устаревшего и физически изношенного газопотребляющего, теплотехнического и насосного оборудования новым, более производительным с целью оптимизации установленной мощности котельной: с заменой 4 котлов марки ФАКЕЛ-Г общей мощностью 4 МВт на</w:t>
            </w:r>
            <w:r>
              <w:t xml:space="preserve"> 6 газовых котлов марки ROSSEN PSA-200 общей мощностью 1,2 МВт</w:t>
            </w:r>
            <w:r>
              <w:rPr>
                <w:sz w:val="20"/>
              </w:rPr>
              <w:t>.</w:t>
            </w:r>
          </w:p>
        </w:tc>
        <w:tc>
          <w:tcPr>
            <w:tcW w:type="dxa" w:w="701"/>
            <w:tcBorders>
              <w:top w:color="000000" w:sz="4" w:val="single"/>
              <w:left w:color="000000" w:sz="4" w:val="single"/>
              <w:bottom w:color="000000" w:sz="4" w:val="single"/>
              <w:right w:color="000000" w:sz="4" w:val="single"/>
            </w:tcBorders>
          </w:tcPr>
          <w:p w14:paraId="B7040000">
            <w:pPr>
              <w:spacing w:after="0" w:line="240" w:lineRule="auto"/>
              <w:ind/>
              <w:rPr>
                <w:sz w:val="20"/>
              </w:rPr>
            </w:pPr>
            <w:r>
              <w:rPr>
                <w:sz w:val="20"/>
              </w:rPr>
              <w:t>2024</w:t>
            </w:r>
            <w:r>
              <w:rPr>
                <w:sz w:val="20"/>
              </w:rPr>
              <w:br/>
            </w:r>
            <w:r>
              <w:rPr>
                <w:sz w:val="20"/>
              </w:rPr>
              <w:br/>
            </w:r>
            <w:r>
              <w:rPr>
                <w:sz w:val="20"/>
              </w:rPr>
              <w:br/>
            </w:r>
            <w:r>
              <w:rPr>
                <w:sz w:val="20"/>
              </w:rPr>
              <w:br/>
            </w:r>
            <w:r>
              <w:rPr>
                <w:sz w:val="20"/>
              </w:rPr>
              <w:t>2025</w:t>
            </w:r>
          </w:p>
        </w:tc>
        <w:tc>
          <w:tcPr>
            <w:tcW w:type="dxa" w:w="1261"/>
            <w:tcBorders>
              <w:top w:color="000000" w:sz="4" w:val="single"/>
              <w:left w:color="000000" w:sz="4" w:val="single"/>
              <w:bottom w:color="000000" w:sz="4" w:val="single"/>
              <w:right w:color="000000" w:sz="4" w:val="single"/>
            </w:tcBorders>
            <w:vAlign w:val="center"/>
          </w:tcPr>
          <w:p w14:paraId="B8040000">
            <w:pPr>
              <w:spacing w:after="0" w:line="240" w:lineRule="auto"/>
              <w:ind/>
              <w:jc w:val="center"/>
              <w:rPr>
                <w:sz w:val="20"/>
              </w:rPr>
            </w:pPr>
            <w:r>
              <w:rPr>
                <w:sz w:val="20"/>
              </w:rPr>
              <w:t>6525,36</w:t>
            </w:r>
          </w:p>
        </w:tc>
      </w:tr>
    </w:tbl>
    <w:p w14:paraId="B9040000">
      <w:pPr>
        <w:spacing w:after="0" w:line="20" w:lineRule="atLeast"/>
        <w:ind/>
        <w:jc w:val="both"/>
        <w:rPr>
          <w:sz w:val="20"/>
        </w:rPr>
      </w:pPr>
      <w:r>
        <w:rPr>
          <w:sz w:val="20"/>
        </w:rPr>
        <w:t>*на основании проектно – сметной документации, с учётом технических условий теплоснабжающей организации после определения мероприятия при актуализации схемы;</w:t>
      </w:r>
    </w:p>
    <w:p w14:paraId="BA040000">
      <w:pPr>
        <w:spacing w:after="0" w:line="20" w:lineRule="atLeast"/>
        <w:ind/>
        <w:jc w:val="both"/>
        <w:rPr>
          <w:sz w:val="20"/>
        </w:rPr>
      </w:pPr>
      <w:r>
        <w:rPr>
          <w:sz w:val="20"/>
        </w:rPr>
        <w:t xml:space="preserve">** на </w:t>
      </w:r>
      <w:r>
        <w:rPr>
          <w:sz w:val="20"/>
        </w:rPr>
        <w:t>основании прайс-листа https://ros-teplo.ru/kotlyi-gaz-jidkoe-toplivo/ksva-025-25-mvt/kotel-ksva-1.html;</w:t>
      </w:r>
    </w:p>
    <w:p w14:paraId="BB040000">
      <w:pPr>
        <w:spacing w:line="20" w:lineRule="atLeast"/>
        <w:ind/>
        <w:jc w:val="both"/>
        <w:rPr>
          <w:sz w:val="20"/>
        </w:rPr>
      </w:pPr>
      <w:r>
        <w:rPr>
          <w:sz w:val="20"/>
        </w:rPr>
        <w:t>*** на основании дефектной ведомости, прайс-листа http://e-1-9.ru/продукция/котел-е-10-09-г.</w:t>
      </w:r>
    </w:p>
    <w:p w14:paraId="BC040000">
      <w:pPr>
        <w:spacing w:before="200" w:line="20" w:lineRule="atLeast"/>
        <w:ind w:firstLine="709" w:left="0"/>
        <w:jc w:val="both"/>
        <w:rPr>
          <w:b w:val="1"/>
          <w:sz w:val="28"/>
        </w:rPr>
      </w:pPr>
      <w:r>
        <w:rPr>
          <w:b w:val="1"/>
          <w:sz w:val="28"/>
        </w:rPr>
        <w:t>9.2 Предложения по величине необходимых инвестиций в строит</w:t>
      </w:r>
      <w:r>
        <w:rPr>
          <w:b w:val="1"/>
          <w:sz w:val="28"/>
        </w:rPr>
        <w:t>ельство, реконструкцию, техническое перевооружение и (или) модернизацию тепловых сетей, насосных станций и тепловых пунктов на каждом этапе</w:t>
      </w:r>
    </w:p>
    <w:p w14:paraId="BD040000">
      <w:pPr>
        <w:spacing w:line="20" w:lineRule="atLeast"/>
        <w:ind/>
        <w:jc w:val="both"/>
        <w:rPr>
          <w:sz w:val="28"/>
        </w:rPr>
      </w:pPr>
      <w:r>
        <w:rPr>
          <w:sz w:val="28"/>
        </w:rPr>
        <w:t xml:space="preserve">Таблица 13 Предложения по величине необходимых инвестиций </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204"/>
        <w:gridCol w:w="1121"/>
        <w:gridCol w:w="2102"/>
        <w:gridCol w:w="841"/>
        <w:gridCol w:w="1261"/>
      </w:tblGrid>
      <w:tr>
        <w:trPr>
          <w:trHeight w:hRule="atLeast" w:val="854"/>
        </w:trPr>
        <w:tc>
          <w:tcPr>
            <w:tcW w:type="dxa" w:w="4204"/>
            <w:tcBorders>
              <w:top w:color="000000" w:sz="4" w:val="single"/>
              <w:left w:color="000000" w:sz="4" w:val="single"/>
              <w:bottom w:color="000000" w:sz="4" w:val="single"/>
              <w:right w:color="000000" w:sz="4" w:val="single"/>
            </w:tcBorders>
            <w:vAlign w:val="center"/>
          </w:tcPr>
          <w:p w14:paraId="BE040000">
            <w:pPr>
              <w:spacing w:after="0" w:line="20" w:lineRule="atLeast"/>
              <w:ind/>
              <w:jc w:val="center"/>
              <w:rPr>
                <w:sz w:val="20"/>
              </w:rPr>
            </w:pPr>
            <w:r>
              <w:rPr>
                <w:sz w:val="20"/>
              </w:rPr>
              <w:t>Наименование участка</w:t>
            </w:r>
          </w:p>
        </w:tc>
        <w:tc>
          <w:tcPr>
            <w:tcW w:type="dxa" w:w="1121"/>
            <w:tcBorders>
              <w:top w:color="000000" w:sz="4" w:val="single"/>
              <w:left w:color="000000" w:sz="4" w:val="single"/>
              <w:bottom w:color="000000" w:sz="4" w:val="single"/>
              <w:right w:color="000000" w:sz="4" w:val="single"/>
            </w:tcBorders>
            <w:vAlign w:val="center"/>
          </w:tcPr>
          <w:p w14:paraId="BF040000">
            <w:pPr>
              <w:spacing w:after="0" w:line="20" w:lineRule="atLeast"/>
              <w:ind/>
              <w:jc w:val="center"/>
              <w:rPr>
                <w:sz w:val="20"/>
              </w:rPr>
            </w:pPr>
            <w:r>
              <w:rPr>
                <w:sz w:val="20"/>
              </w:rPr>
              <w:t>Года внедрения</w:t>
            </w:r>
          </w:p>
        </w:tc>
        <w:tc>
          <w:tcPr>
            <w:tcW w:type="dxa" w:w="2102"/>
            <w:tcBorders>
              <w:top w:color="000000" w:sz="4" w:val="single"/>
              <w:left w:color="000000" w:sz="4" w:val="single"/>
              <w:bottom w:color="000000" w:sz="4" w:val="single"/>
              <w:right w:color="000000" w:sz="4" w:val="single"/>
            </w:tcBorders>
            <w:vAlign w:val="center"/>
          </w:tcPr>
          <w:p w14:paraId="C0040000">
            <w:pPr>
              <w:ind/>
              <w:jc w:val="center"/>
              <w:rPr>
                <w:sz w:val="20"/>
              </w:rPr>
            </w:pPr>
            <w:r>
              <w:rPr>
                <w:sz w:val="20"/>
              </w:rPr>
              <w:t xml:space="preserve">Техническая </w:t>
            </w:r>
            <w:r>
              <w:rPr>
                <w:sz w:val="20"/>
              </w:rPr>
              <w:t>характеристика тепловых сетей (L (м)</w:t>
            </w:r>
          </w:p>
        </w:tc>
        <w:tc>
          <w:tcPr>
            <w:tcW w:type="dxa" w:w="841"/>
            <w:tcBorders>
              <w:top w:color="000000" w:sz="4" w:val="single"/>
              <w:left w:color="000000" w:sz="4" w:val="single"/>
              <w:bottom w:color="000000" w:sz="4" w:val="single"/>
              <w:right w:color="000000" w:sz="4" w:val="single"/>
            </w:tcBorders>
            <w:vAlign w:val="center"/>
          </w:tcPr>
          <w:p w14:paraId="C1040000">
            <w:pPr>
              <w:ind/>
              <w:jc w:val="center"/>
              <w:rPr>
                <w:sz w:val="20"/>
              </w:rPr>
            </w:pPr>
            <w:r>
              <w:rPr>
                <w:sz w:val="20"/>
              </w:rPr>
              <w:t>Стоимость 1               п. м., в тыс. руб.</w:t>
            </w:r>
          </w:p>
        </w:tc>
        <w:tc>
          <w:tcPr>
            <w:tcW w:type="dxa" w:w="1261"/>
            <w:tcBorders>
              <w:top w:color="000000" w:sz="4" w:val="single"/>
              <w:left w:color="000000" w:sz="4" w:val="single"/>
              <w:bottom w:color="000000" w:sz="4" w:val="single"/>
              <w:right w:color="000000" w:sz="4" w:val="single"/>
            </w:tcBorders>
            <w:vAlign w:val="center"/>
          </w:tcPr>
          <w:p w14:paraId="C2040000">
            <w:pPr>
              <w:ind/>
              <w:jc w:val="center"/>
              <w:rPr>
                <w:sz w:val="20"/>
              </w:rPr>
            </w:pPr>
            <w:r>
              <w:rPr>
                <w:sz w:val="20"/>
              </w:rPr>
              <w:t>*Итоговая стоимость,                 тыс. руб.</w:t>
            </w:r>
          </w:p>
        </w:tc>
      </w:tr>
      <w:tr>
        <w:trPr>
          <w:trHeight w:hRule="atLeast" w:val="1569"/>
        </w:trPr>
        <w:tc>
          <w:tcPr>
            <w:tcW w:type="dxa" w:w="4204"/>
            <w:tcBorders>
              <w:top w:color="000000" w:sz="4" w:val="single"/>
              <w:left w:color="000000" w:sz="4" w:val="single"/>
              <w:bottom w:color="000000" w:sz="4" w:val="single"/>
              <w:right w:color="000000" w:sz="4" w:val="single"/>
            </w:tcBorders>
            <w:vAlign w:val="center"/>
          </w:tcPr>
          <w:p w14:paraId="C3040000">
            <w:pPr>
              <w:ind/>
              <w:jc w:val="center"/>
              <w:rPr>
                <w:sz w:val="20"/>
              </w:rPr>
            </w:pPr>
            <w:r>
              <w:rPr>
                <w:sz w:val="20"/>
              </w:rPr>
              <w:t xml:space="preserve">Котельная с. Русское, ул. Красноармейская,8-а </w:t>
            </w:r>
          </w:p>
        </w:tc>
        <w:tc>
          <w:tcPr>
            <w:tcW w:type="dxa" w:w="1121"/>
            <w:tcBorders>
              <w:top w:color="000000" w:sz="4" w:val="single"/>
              <w:left w:color="000000" w:sz="4" w:val="single"/>
              <w:bottom w:color="000000" w:sz="4" w:val="single"/>
              <w:right w:color="000000" w:sz="4" w:val="single"/>
            </w:tcBorders>
            <w:vAlign w:val="center"/>
          </w:tcPr>
          <w:p w14:paraId="C4040000">
            <w:pPr>
              <w:spacing w:after="0" w:line="20" w:lineRule="atLeast"/>
              <w:ind/>
              <w:jc w:val="center"/>
              <w:rPr>
                <w:sz w:val="20"/>
              </w:rPr>
            </w:pPr>
            <w:r>
              <w:rPr>
                <w:sz w:val="20"/>
              </w:rPr>
              <w:t>2023</w:t>
            </w:r>
          </w:p>
          <w:p w14:paraId="C5040000">
            <w:pPr>
              <w:spacing w:after="0" w:line="20" w:lineRule="atLeast"/>
              <w:ind/>
              <w:jc w:val="center"/>
              <w:rPr>
                <w:sz w:val="20"/>
              </w:rPr>
            </w:pPr>
            <w:r>
              <w:rPr>
                <w:sz w:val="20"/>
              </w:rPr>
              <w:t>2024</w:t>
            </w:r>
          </w:p>
        </w:tc>
        <w:tc>
          <w:tcPr>
            <w:tcW w:type="dxa" w:w="2102"/>
            <w:tcBorders>
              <w:top w:color="000000" w:sz="4" w:val="single"/>
              <w:left w:color="000000" w:sz="4" w:val="single"/>
              <w:bottom w:color="000000" w:sz="4" w:val="single"/>
              <w:right w:color="000000" w:sz="4" w:val="single"/>
            </w:tcBorders>
            <w:vAlign w:val="center"/>
          </w:tcPr>
          <w:p w14:paraId="C6040000">
            <w:pPr>
              <w:ind/>
              <w:jc w:val="center"/>
              <w:rPr>
                <w:sz w:val="20"/>
              </w:rPr>
            </w:pPr>
            <w:r>
              <w:rPr>
                <w:sz w:val="20"/>
              </w:rPr>
              <w:t xml:space="preserve">Замена надземного участка теплосети Д57 длиной 60 м Замена подземного участка теплосети Д57 длиной 60 м </w:t>
            </w:r>
          </w:p>
        </w:tc>
        <w:tc>
          <w:tcPr>
            <w:tcW w:type="dxa" w:w="841"/>
            <w:tcBorders>
              <w:top w:color="000000" w:sz="4" w:val="single"/>
              <w:left w:color="000000" w:sz="4" w:val="single"/>
              <w:bottom w:color="000000" w:sz="4" w:val="single"/>
              <w:right w:color="000000" w:sz="4" w:val="single"/>
            </w:tcBorders>
            <w:vAlign w:val="center"/>
          </w:tcPr>
          <w:p w14:paraId="C7040000">
            <w:pPr>
              <w:ind/>
              <w:jc w:val="center"/>
              <w:rPr>
                <w:sz w:val="20"/>
              </w:rPr>
            </w:pPr>
            <w:r>
              <w:rPr>
                <w:sz w:val="20"/>
              </w:rPr>
              <w:t>6,3</w:t>
            </w:r>
          </w:p>
        </w:tc>
        <w:tc>
          <w:tcPr>
            <w:tcW w:type="dxa" w:w="1261"/>
            <w:tcBorders>
              <w:top w:color="000000" w:sz="4" w:val="single"/>
              <w:left w:color="000000" w:sz="4" w:val="single"/>
              <w:bottom w:color="000000" w:sz="4" w:val="single"/>
              <w:right w:color="000000" w:sz="4" w:val="single"/>
            </w:tcBorders>
            <w:vAlign w:val="center"/>
          </w:tcPr>
          <w:p w14:paraId="C8040000">
            <w:pPr>
              <w:ind/>
              <w:jc w:val="center"/>
              <w:rPr>
                <w:sz w:val="20"/>
              </w:rPr>
            </w:pPr>
            <w:r>
              <w:rPr>
                <w:sz w:val="20"/>
              </w:rPr>
              <w:t>464,0</w:t>
            </w:r>
          </w:p>
        </w:tc>
      </w:tr>
      <w:tr>
        <w:trPr>
          <w:trHeight w:hRule="atLeast" w:val="1213"/>
        </w:trPr>
        <w:tc>
          <w:tcPr>
            <w:tcW w:type="dxa" w:w="4204"/>
            <w:tcBorders>
              <w:top w:color="000000" w:sz="4" w:val="single"/>
              <w:left w:color="000000" w:sz="4" w:val="single"/>
              <w:bottom w:color="000000" w:sz="4" w:val="single"/>
              <w:right w:color="000000" w:sz="4" w:val="single"/>
            </w:tcBorders>
            <w:vAlign w:val="center"/>
          </w:tcPr>
          <w:p w14:paraId="C9040000">
            <w:pPr>
              <w:ind/>
              <w:jc w:val="center"/>
              <w:rPr>
                <w:sz w:val="20"/>
              </w:rPr>
            </w:pPr>
            <w:r>
              <w:rPr>
                <w:sz w:val="20"/>
              </w:rPr>
              <w:t xml:space="preserve">с. Куйбышево, ул. Кузьменко, 3 а </w:t>
            </w:r>
          </w:p>
        </w:tc>
        <w:tc>
          <w:tcPr>
            <w:tcW w:type="dxa" w:w="1121"/>
            <w:tcBorders>
              <w:top w:color="000000" w:sz="4" w:val="single"/>
              <w:left w:color="000000" w:sz="4" w:val="single"/>
              <w:bottom w:color="000000" w:sz="4" w:val="single"/>
              <w:right w:color="000000" w:sz="4" w:val="single"/>
            </w:tcBorders>
            <w:vAlign w:val="center"/>
          </w:tcPr>
          <w:p w14:paraId="CA040000">
            <w:pPr>
              <w:spacing w:after="0" w:line="20" w:lineRule="atLeast"/>
              <w:ind/>
              <w:jc w:val="center"/>
              <w:rPr>
                <w:sz w:val="20"/>
              </w:rPr>
            </w:pPr>
            <w:r>
              <w:rPr>
                <w:sz w:val="20"/>
              </w:rPr>
              <w:t>2030</w:t>
            </w:r>
          </w:p>
        </w:tc>
        <w:tc>
          <w:tcPr>
            <w:tcW w:type="dxa" w:w="2102"/>
            <w:tcBorders>
              <w:top w:color="000000" w:sz="4" w:val="single"/>
              <w:left w:color="000000" w:sz="4" w:val="single"/>
              <w:bottom w:color="000000" w:sz="4" w:val="single"/>
              <w:right w:color="000000" w:sz="4" w:val="single"/>
            </w:tcBorders>
            <w:vAlign w:val="center"/>
          </w:tcPr>
          <w:p w14:paraId="CB040000">
            <w:pPr>
              <w:ind/>
              <w:jc w:val="center"/>
              <w:rPr>
                <w:sz w:val="20"/>
              </w:rPr>
            </w:pPr>
            <w:r>
              <w:rPr>
                <w:sz w:val="20"/>
              </w:rPr>
              <w:t>Замена подземного участка тепловой сети Дн 57 длиной 80м в однотрубном исчислении</w:t>
            </w:r>
          </w:p>
        </w:tc>
        <w:tc>
          <w:tcPr>
            <w:tcW w:type="dxa" w:w="841"/>
            <w:tcBorders>
              <w:top w:color="000000" w:sz="4" w:val="single"/>
              <w:left w:color="000000" w:sz="4" w:val="single"/>
              <w:bottom w:color="000000" w:sz="4" w:val="single"/>
              <w:right w:color="000000" w:sz="4" w:val="single"/>
            </w:tcBorders>
            <w:vAlign w:val="center"/>
          </w:tcPr>
          <w:p w14:paraId="CC040000">
            <w:pPr>
              <w:ind/>
              <w:jc w:val="center"/>
              <w:rPr>
                <w:sz w:val="20"/>
              </w:rPr>
            </w:pPr>
            <w:r>
              <w:rPr>
                <w:sz w:val="20"/>
              </w:rPr>
              <w:t>6,25</w:t>
            </w:r>
          </w:p>
        </w:tc>
        <w:tc>
          <w:tcPr>
            <w:tcW w:type="dxa" w:w="1261"/>
            <w:tcBorders>
              <w:top w:color="000000" w:sz="4" w:val="single"/>
              <w:left w:color="000000" w:sz="4" w:val="single"/>
              <w:bottom w:color="000000" w:sz="4" w:val="single"/>
              <w:right w:color="000000" w:sz="4" w:val="single"/>
            </w:tcBorders>
            <w:vAlign w:val="center"/>
          </w:tcPr>
          <w:p w14:paraId="CD040000">
            <w:pPr>
              <w:ind/>
              <w:jc w:val="center"/>
              <w:rPr>
                <w:sz w:val="20"/>
              </w:rPr>
            </w:pPr>
            <w:r>
              <w:rPr>
                <w:sz w:val="20"/>
              </w:rPr>
              <w:t>500,0</w:t>
            </w:r>
          </w:p>
        </w:tc>
      </w:tr>
      <w:tr>
        <w:trPr>
          <w:trHeight w:hRule="atLeast" w:val="2845"/>
        </w:trPr>
        <w:tc>
          <w:tcPr>
            <w:tcW w:type="dxa" w:w="4204"/>
            <w:tcBorders>
              <w:top w:color="000000" w:sz="4" w:val="single"/>
              <w:left w:color="000000" w:sz="4" w:val="single"/>
              <w:bottom w:color="000000" w:sz="4" w:val="single"/>
              <w:right w:color="000000" w:sz="4" w:val="single"/>
            </w:tcBorders>
            <w:vAlign w:val="center"/>
          </w:tcPr>
          <w:p w14:paraId="CE040000">
            <w:pPr>
              <w:ind/>
              <w:jc w:val="center"/>
              <w:rPr>
                <w:sz w:val="20"/>
              </w:rPr>
            </w:pPr>
            <w:r>
              <w:rPr>
                <w:sz w:val="20"/>
              </w:rPr>
              <w:t>Теплотрасса котельной протяженностью 567 м с кадастровым номером 61:19:0010160:217 по адресу: с. Куйбышево, Начало объекта – точка ввода в здание котельной по адресу: с. Куйбышево, ул. Пролетарская, 7; конец объекта – точка перехода на подземную тепловую т</w:t>
            </w:r>
            <w:r>
              <w:rPr>
                <w:sz w:val="20"/>
              </w:rPr>
              <w:t>рассу, расположенная в 34 м. западнее здания по адресу: с. Куйбышево, ул. Пролетарская, 7; конец объекта – точка ввода в здание по адресу: с. Куйбышево, ул. Пролетарская, 7</w:t>
            </w:r>
          </w:p>
        </w:tc>
        <w:tc>
          <w:tcPr>
            <w:tcW w:type="dxa" w:w="1121"/>
            <w:tcBorders>
              <w:top w:color="000000" w:sz="4" w:val="single"/>
              <w:left w:color="000000" w:sz="4" w:val="single"/>
              <w:bottom w:color="000000" w:sz="4" w:val="single"/>
              <w:right w:color="000000" w:sz="4" w:val="single"/>
            </w:tcBorders>
            <w:vAlign w:val="center"/>
          </w:tcPr>
          <w:p w14:paraId="CF040000">
            <w:pPr>
              <w:spacing w:after="0" w:line="20" w:lineRule="atLeast"/>
              <w:ind/>
              <w:jc w:val="center"/>
              <w:rPr>
                <w:sz w:val="20"/>
              </w:rPr>
            </w:pPr>
            <w:r>
              <w:rPr>
                <w:sz w:val="20"/>
              </w:rPr>
              <w:t>2026</w:t>
            </w:r>
          </w:p>
        </w:tc>
        <w:tc>
          <w:tcPr>
            <w:tcW w:type="dxa" w:w="2102"/>
            <w:tcBorders>
              <w:top w:color="000000" w:sz="4" w:val="single"/>
              <w:left w:color="000000" w:sz="4" w:val="single"/>
              <w:bottom w:color="000000" w:sz="4" w:val="single"/>
              <w:right w:color="000000" w:sz="4" w:val="single"/>
            </w:tcBorders>
            <w:vAlign w:val="center"/>
          </w:tcPr>
          <w:p w14:paraId="D0040000">
            <w:pPr>
              <w:ind/>
              <w:jc w:val="center"/>
              <w:rPr>
                <w:sz w:val="20"/>
              </w:rPr>
            </w:pPr>
            <w:r>
              <w:rPr>
                <w:sz w:val="20"/>
              </w:rPr>
              <w:t>Перекладка надземного участка тепловой сети длиной 204 м в однотрубном исчисле</w:t>
            </w:r>
            <w:r>
              <w:rPr>
                <w:sz w:val="20"/>
              </w:rPr>
              <w:t>нии с изменение условного диаметра Ду с 200 мм до 100 мм</w:t>
            </w:r>
          </w:p>
        </w:tc>
        <w:tc>
          <w:tcPr>
            <w:tcW w:type="dxa" w:w="841"/>
            <w:tcBorders>
              <w:top w:color="000000" w:sz="4" w:val="single"/>
              <w:left w:color="000000" w:sz="4" w:val="single"/>
              <w:bottom w:color="000000" w:sz="4" w:val="single"/>
              <w:right w:color="000000" w:sz="4" w:val="single"/>
            </w:tcBorders>
            <w:vAlign w:val="center"/>
          </w:tcPr>
          <w:p w14:paraId="D1040000">
            <w:pPr>
              <w:ind/>
              <w:jc w:val="center"/>
              <w:rPr>
                <w:sz w:val="20"/>
              </w:rPr>
            </w:pPr>
            <w:r>
              <w:rPr>
                <w:sz w:val="20"/>
              </w:rPr>
              <w:t>6,3</w:t>
            </w:r>
          </w:p>
        </w:tc>
        <w:tc>
          <w:tcPr>
            <w:tcW w:type="dxa" w:w="1261"/>
            <w:tcBorders>
              <w:top w:color="000000" w:sz="4" w:val="single"/>
              <w:left w:color="000000" w:sz="4" w:val="single"/>
              <w:bottom w:color="000000" w:sz="4" w:val="single"/>
              <w:right w:color="000000" w:sz="4" w:val="single"/>
            </w:tcBorders>
            <w:vAlign w:val="center"/>
          </w:tcPr>
          <w:p w14:paraId="D2040000">
            <w:pPr>
              <w:ind/>
              <w:jc w:val="center"/>
              <w:rPr>
                <w:sz w:val="20"/>
              </w:rPr>
            </w:pPr>
            <w:r>
              <w:rPr>
                <w:sz w:val="20"/>
              </w:rPr>
              <w:t>1119,7</w:t>
            </w:r>
          </w:p>
        </w:tc>
      </w:tr>
      <w:tr>
        <w:trPr>
          <w:trHeight w:hRule="atLeast" w:val="331"/>
        </w:trPr>
        <w:tc>
          <w:tcPr>
            <w:tcW w:type="dxa" w:w="4204"/>
            <w:tcBorders>
              <w:top w:color="000000" w:sz="4" w:val="single"/>
              <w:left w:color="000000" w:sz="4" w:val="single"/>
              <w:bottom w:color="000000" w:sz="4" w:val="single"/>
              <w:right w:color="000000" w:sz="4" w:val="single"/>
            </w:tcBorders>
            <w:vAlign w:val="center"/>
          </w:tcPr>
          <w:p w14:paraId="D3040000">
            <w:pPr>
              <w:ind/>
              <w:jc w:val="center"/>
              <w:rPr>
                <w:sz w:val="20"/>
              </w:rPr>
            </w:pPr>
            <w:r>
              <w:rPr>
                <w:sz w:val="20"/>
              </w:rPr>
              <w:t xml:space="preserve">Теплотрасса котельной протяженностью 397 м с кадастровым номером 61:19:0010160:216 по адресу: с. Куйбышево, начало объекта – точка врезки, расположенная в 48 м. северо-западнее здания </w:t>
            </w:r>
            <w:r>
              <w:rPr>
                <w:sz w:val="20"/>
              </w:rPr>
              <w:t>котельной, расположенной по адресу: с. Куйбышево, ул. Пролетарская, 7; конец объекта – точка ввода в здание, расположенное по адресу: с. Куйбышево, ул. Пролетарская, 7а</w:t>
            </w:r>
          </w:p>
        </w:tc>
        <w:tc>
          <w:tcPr>
            <w:tcW w:type="dxa" w:w="1121"/>
            <w:tcBorders>
              <w:top w:color="000000" w:sz="4" w:val="single"/>
              <w:left w:color="000000" w:sz="4" w:val="single"/>
              <w:bottom w:color="000000" w:sz="4" w:val="single"/>
              <w:right w:color="000000" w:sz="4" w:val="single"/>
            </w:tcBorders>
            <w:vAlign w:val="center"/>
          </w:tcPr>
          <w:p w14:paraId="D4040000">
            <w:pPr>
              <w:spacing w:after="0" w:line="20" w:lineRule="atLeast"/>
              <w:ind/>
              <w:jc w:val="center"/>
              <w:rPr>
                <w:sz w:val="20"/>
              </w:rPr>
            </w:pPr>
            <w:r>
              <w:rPr>
                <w:sz w:val="20"/>
              </w:rPr>
              <w:t>2026</w:t>
            </w:r>
          </w:p>
        </w:tc>
        <w:tc>
          <w:tcPr>
            <w:tcW w:type="dxa" w:w="2102"/>
            <w:tcBorders>
              <w:top w:color="000000" w:sz="4" w:val="single"/>
              <w:left w:color="000000" w:sz="4" w:val="single"/>
              <w:bottom w:color="000000" w:sz="4" w:val="single"/>
              <w:right w:color="000000" w:sz="4" w:val="single"/>
            </w:tcBorders>
            <w:vAlign w:val="center"/>
          </w:tcPr>
          <w:p w14:paraId="D5040000">
            <w:pPr>
              <w:ind/>
              <w:jc w:val="center"/>
              <w:rPr>
                <w:sz w:val="20"/>
              </w:rPr>
            </w:pPr>
            <w:r>
              <w:rPr>
                <w:sz w:val="20"/>
              </w:rPr>
              <w:t xml:space="preserve">Перекладка надземного участка тепловой сети длиной 138 м в однотрубном исчислении </w:t>
            </w:r>
            <w:r>
              <w:rPr>
                <w:sz w:val="20"/>
              </w:rPr>
              <w:t>с изменением условного диаметра с 200 мм до 80 мм.                              Перекладка надземного участка тепловой сети длиной 51 м в однотрубном исчислении с изменение условного диаметра с 150 мм до 80 мм</w:t>
            </w:r>
          </w:p>
        </w:tc>
        <w:tc>
          <w:tcPr>
            <w:tcW w:type="dxa" w:w="841"/>
            <w:tcBorders>
              <w:top w:color="000000" w:sz="4" w:val="single"/>
              <w:left w:color="000000" w:sz="4" w:val="single"/>
              <w:bottom w:color="000000" w:sz="4" w:val="single"/>
              <w:right w:color="000000" w:sz="4" w:val="single"/>
            </w:tcBorders>
            <w:vAlign w:val="center"/>
          </w:tcPr>
          <w:p w14:paraId="D6040000">
            <w:pPr>
              <w:ind/>
              <w:jc w:val="center"/>
              <w:rPr>
                <w:sz w:val="20"/>
              </w:rPr>
            </w:pPr>
            <w:r>
              <w:rPr>
                <w:sz w:val="20"/>
              </w:rPr>
              <w:t>6,3</w:t>
            </w:r>
          </w:p>
        </w:tc>
        <w:tc>
          <w:tcPr>
            <w:tcW w:type="dxa" w:w="1261"/>
            <w:tcBorders>
              <w:top w:color="000000" w:sz="4" w:val="single"/>
              <w:left w:color="000000" w:sz="4" w:val="single"/>
              <w:bottom w:color="000000" w:sz="4" w:val="single"/>
              <w:right w:color="000000" w:sz="4" w:val="single"/>
            </w:tcBorders>
            <w:vAlign w:val="center"/>
          </w:tcPr>
          <w:p w14:paraId="D7040000">
            <w:pPr>
              <w:ind/>
              <w:jc w:val="center"/>
              <w:rPr>
                <w:sz w:val="20"/>
              </w:rPr>
            </w:pPr>
            <w:r>
              <w:rPr>
                <w:sz w:val="20"/>
              </w:rPr>
              <w:t>886,91</w:t>
            </w:r>
          </w:p>
        </w:tc>
      </w:tr>
      <w:tr>
        <w:trPr>
          <w:trHeight w:hRule="atLeast" w:val="331"/>
        </w:trPr>
        <w:tc>
          <w:tcPr>
            <w:tcW w:type="dxa" w:w="4204"/>
            <w:tcBorders>
              <w:top w:color="000000" w:sz="4" w:val="single"/>
              <w:left w:color="000000" w:sz="4" w:val="single"/>
              <w:bottom w:color="000000" w:sz="4" w:val="single"/>
              <w:right w:color="000000" w:sz="4" w:val="single"/>
            </w:tcBorders>
            <w:vAlign w:val="center"/>
          </w:tcPr>
          <w:p w14:paraId="D8040000">
            <w:pPr>
              <w:ind/>
              <w:jc w:val="center"/>
              <w:rPr>
                <w:sz w:val="20"/>
              </w:rPr>
            </w:pPr>
            <w:r>
              <w:rPr>
                <w:sz w:val="20"/>
              </w:rPr>
              <w:t xml:space="preserve">Теплотрасса котельной </w:t>
            </w:r>
            <w:r>
              <w:rPr>
                <w:sz w:val="20"/>
              </w:rPr>
              <w:t>протяженностью 409 м с кадастровым номером 61:19:0000000:1381 по адресу: с. Куйбышево, начало объекта – точка перехода на подземную тепловую трассу, расположенная в 34 м, западнее здания по адресу: с. Куйбышево, ул. Пролетарская, 7; конец объекта – точка в</w:t>
            </w:r>
            <w:r>
              <w:rPr>
                <w:sz w:val="20"/>
              </w:rPr>
              <w:t>вода в здание по адресу: с. Куйбышево, пер. Овчаренко, 6</w:t>
            </w:r>
          </w:p>
        </w:tc>
        <w:tc>
          <w:tcPr>
            <w:tcW w:type="dxa" w:w="1121"/>
            <w:tcBorders>
              <w:top w:color="000000" w:sz="4" w:val="single"/>
              <w:left w:color="000000" w:sz="4" w:val="single"/>
              <w:bottom w:color="000000" w:sz="4" w:val="single"/>
              <w:right w:color="000000" w:sz="4" w:val="single"/>
            </w:tcBorders>
            <w:vAlign w:val="center"/>
          </w:tcPr>
          <w:p w14:paraId="D9040000">
            <w:pPr>
              <w:spacing w:after="0" w:line="20" w:lineRule="atLeast"/>
              <w:ind/>
              <w:jc w:val="center"/>
              <w:rPr>
                <w:sz w:val="20"/>
              </w:rPr>
            </w:pPr>
            <w:r>
              <w:rPr>
                <w:sz w:val="20"/>
              </w:rPr>
              <w:t>2026</w:t>
            </w:r>
          </w:p>
        </w:tc>
        <w:tc>
          <w:tcPr>
            <w:tcW w:type="dxa" w:w="2102"/>
            <w:tcBorders>
              <w:top w:color="000000" w:sz="4" w:val="single"/>
              <w:left w:color="000000" w:sz="4" w:val="single"/>
              <w:bottom w:color="000000" w:sz="4" w:val="single"/>
              <w:right w:color="000000" w:sz="4" w:val="single"/>
            </w:tcBorders>
            <w:vAlign w:val="center"/>
          </w:tcPr>
          <w:p w14:paraId="DA040000">
            <w:pPr>
              <w:ind/>
              <w:jc w:val="center"/>
              <w:rPr>
                <w:sz w:val="20"/>
              </w:rPr>
            </w:pPr>
            <w:r>
              <w:rPr>
                <w:sz w:val="20"/>
              </w:rPr>
              <w:t>Перекладка надземного участка тепловой сети длиной 120 м в однотрубном исчислении с изменение условного диаметра с 100 мм до 80 мм</w:t>
            </w:r>
          </w:p>
        </w:tc>
        <w:tc>
          <w:tcPr>
            <w:tcW w:type="dxa" w:w="841"/>
            <w:tcBorders>
              <w:top w:color="000000" w:sz="4" w:val="single"/>
              <w:left w:color="000000" w:sz="4" w:val="single"/>
              <w:bottom w:color="000000" w:sz="4" w:val="single"/>
              <w:right w:color="000000" w:sz="4" w:val="single"/>
            </w:tcBorders>
            <w:vAlign w:val="center"/>
          </w:tcPr>
          <w:p w14:paraId="DB040000">
            <w:pPr>
              <w:ind/>
              <w:jc w:val="center"/>
              <w:rPr>
                <w:sz w:val="20"/>
              </w:rPr>
            </w:pPr>
            <w:r>
              <w:rPr>
                <w:sz w:val="20"/>
              </w:rPr>
              <w:t>6,3</w:t>
            </w:r>
          </w:p>
        </w:tc>
        <w:tc>
          <w:tcPr>
            <w:tcW w:type="dxa" w:w="1261"/>
            <w:tcBorders>
              <w:top w:color="000000" w:sz="4" w:val="single"/>
              <w:left w:color="000000" w:sz="4" w:val="single"/>
              <w:bottom w:color="000000" w:sz="4" w:val="single"/>
              <w:right w:color="000000" w:sz="4" w:val="single"/>
            </w:tcBorders>
            <w:vAlign w:val="center"/>
          </w:tcPr>
          <w:p w14:paraId="DC040000">
            <w:pPr>
              <w:ind/>
              <w:jc w:val="center"/>
              <w:rPr>
                <w:sz w:val="20"/>
              </w:rPr>
            </w:pPr>
            <w:r>
              <w:rPr>
                <w:sz w:val="20"/>
              </w:rPr>
              <w:t>540,41</w:t>
            </w:r>
          </w:p>
        </w:tc>
      </w:tr>
    </w:tbl>
    <w:p w14:paraId="DD040000">
      <w:pPr>
        <w:spacing w:after="0" w:line="20" w:lineRule="atLeast"/>
        <w:ind/>
        <w:jc w:val="both"/>
        <w:rPr>
          <w:sz w:val="20"/>
        </w:rPr>
      </w:pPr>
      <w:r>
        <w:rPr>
          <w:sz w:val="20"/>
        </w:rPr>
        <w:t xml:space="preserve">*стоимость включает замену изоляции трубопроводов, </w:t>
      </w:r>
      <w:r>
        <w:rPr>
          <w:sz w:val="20"/>
        </w:rPr>
        <w:t>коэффициент применён по аналогии с концессионным соглашением от 12.08.22 г. № 2,</w:t>
      </w:r>
    </w:p>
    <w:p w14:paraId="DE040000">
      <w:pPr>
        <w:spacing w:after="0" w:line="20" w:lineRule="atLeast"/>
        <w:ind/>
        <w:jc w:val="both"/>
        <w:rPr>
          <w:sz w:val="20"/>
        </w:rPr>
      </w:pPr>
      <w:r>
        <w:rPr>
          <w:sz w:val="20"/>
        </w:rPr>
        <w:t>** на основании проектно – сметной документации, с учётом технических условий теплоснабжающей организации после определения мероприятия при актуализации схемы.</w:t>
      </w:r>
    </w:p>
    <w:p w14:paraId="DF040000">
      <w:pPr>
        <w:spacing w:before="200" w:line="20" w:lineRule="atLeast"/>
        <w:ind w:firstLine="709" w:left="0"/>
        <w:jc w:val="both"/>
        <w:rPr>
          <w:b w:val="1"/>
          <w:sz w:val="28"/>
        </w:rPr>
      </w:pPr>
      <w:r>
        <w:rPr>
          <w:b w:val="1"/>
          <w:sz w:val="28"/>
        </w:rPr>
        <w:t>9.3 Предложения</w:t>
      </w:r>
      <w:r>
        <w:rPr>
          <w:b w:val="1"/>
          <w:sz w:val="28"/>
        </w:rPr>
        <w:t xml:space="preserve"> по величине инвестиций в строительство, реконструкцию, техническое перевооружение и (или) модернизацию в </w:t>
      </w:r>
      <w:r>
        <w:rPr>
          <w:b w:val="1"/>
          <w:sz w:val="28"/>
        </w:rPr>
        <w:t>связи с изменениями температурного графика и гидравлического режима работы системы теплоснабжения на каждом этапе</w:t>
      </w:r>
    </w:p>
    <w:p w14:paraId="E0040000">
      <w:pPr>
        <w:spacing w:before="200" w:line="20" w:lineRule="atLeast"/>
        <w:ind w:firstLine="709" w:left="0"/>
        <w:jc w:val="both"/>
        <w:rPr>
          <w:sz w:val="28"/>
        </w:rPr>
      </w:pPr>
      <w:r>
        <w:rPr>
          <w:sz w:val="28"/>
        </w:rPr>
        <w:t>Тепловые сети и системы отопления по</w:t>
      </w:r>
      <w:r>
        <w:rPr>
          <w:sz w:val="28"/>
        </w:rPr>
        <w:t xml:space="preserve">требителей работают по температурному графику 95/70 </w:t>
      </w:r>
      <w:r>
        <w:rPr>
          <w:sz w:val="28"/>
          <w:vertAlign w:val="superscript"/>
        </w:rPr>
        <w:t>о</w:t>
      </w:r>
      <w:r>
        <w:rPr>
          <w:sz w:val="28"/>
        </w:rPr>
        <w:t>С. Переход на повышенный (пониженный) температурный график не планируется, в связи с чем, строительство, техническое перевооружение и реконструкция системы теплоснабжения в данном случае не требуется.</w:t>
      </w:r>
    </w:p>
    <w:p w14:paraId="E1040000">
      <w:pPr>
        <w:spacing w:before="200" w:line="20" w:lineRule="atLeast"/>
        <w:ind w:firstLine="709" w:left="0"/>
        <w:jc w:val="both"/>
        <w:rPr>
          <w:b w:val="1"/>
          <w:sz w:val="28"/>
        </w:rPr>
      </w:pPr>
      <w:r>
        <w:rPr>
          <w:b w:val="1"/>
          <w:sz w:val="28"/>
        </w:rPr>
        <w:t>9.</w:t>
      </w:r>
      <w:r>
        <w:rPr>
          <w:b w:val="1"/>
          <w:sz w:val="28"/>
        </w:rPr>
        <w:t>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p>
    <w:p w14:paraId="E2040000">
      <w:pPr>
        <w:spacing w:before="200" w:line="20" w:lineRule="atLeast"/>
        <w:ind w:firstLine="709" w:left="0"/>
        <w:jc w:val="both"/>
        <w:rPr>
          <w:sz w:val="28"/>
        </w:rPr>
      </w:pPr>
      <w:r>
        <w:rPr>
          <w:sz w:val="28"/>
        </w:rPr>
        <w:t>Предложения по настоящему разделу не предусм</w:t>
      </w:r>
      <w:r>
        <w:rPr>
          <w:sz w:val="28"/>
        </w:rPr>
        <w:t>атриваются.</w:t>
      </w:r>
    </w:p>
    <w:p w14:paraId="E3040000">
      <w:pPr>
        <w:spacing w:before="200" w:line="20" w:lineRule="atLeast"/>
        <w:ind w:firstLine="709" w:left="0"/>
        <w:jc w:val="both"/>
        <w:rPr>
          <w:b w:val="1"/>
          <w:sz w:val="28"/>
        </w:rPr>
      </w:pPr>
      <w:r>
        <w:rPr>
          <w:b w:val="1"/>
          <w:sz w:val="28"/>
        </w:rPr>
        <w:t xml:space="preserve">9.5 Оценка эффективности инвестиций по отдельным предложениям </w:t>
      </w:r>
    </w:p>
    <w:p w14:paraId="E4040000">
      <w:pPr>
        <w:spacing w:line="240" w:lineRule="auto"/>
        <w:ind w:firstLine="709" w:left="0"/>
        <w:jc w:val="both"/>
        <w:rPr>
          <w:sz w:val="28"/>
        </w:rPr>
      </w:pPr>
      <w:r>
        <w:rPr>
          <w:sz w:val="28"/>
        </w:rPr>
        <w:t xml:space="preserve">Эффективность предложенных инвестиций характеризуется снижением расходов потребителей (в том числе бюджетных расходов) на оплату услуг теплоснабжения за счёт реконструкции </w:t>
      </w:r>
      <w:r>
        <w:rPr>
          <w:sz w:val="28"/>
        </w:rPr>
        <w:t>теплоснабжения, перехода от неэкономичных устаревших котельных на автономные индивидуальные источники с высокими показателями эффективности работы. Вследствие отсутствия тарифа на тепловую энергию от новых котельных, экономический эффект не рассчитывается.</w:t>
      </w:r>
    </w:p>
    <w:p w14:paraId="E5040000">
      <w:pPr>
        <w:spacing w:line="240" w:lineRule="auto"/>
        <w:ind w:firstLine="709" w:left="0"/>
        <w:jc w:val="both"/>
        <w:rPr>
          <w:sz w:val="28"/>
        </w:rPr>
      </w:pPr>
      <w:r>
        <w:rPr>
          <w:sz w:val="28"/>
        </w:rPr>
        <w:t xml:space="preserve">Таблица 14 Расчёт эффективности инвестиций по годам </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230"/>
        <w:gridCol w:w="923"/>
        <w:gridCol w:w="615"/>
        <w:gridCol w:w="615"/>
        <w:gridCol w:w="768"/>
        <w:gridCol w:w="768"/>
        <w:gridCol w:w="768"/>
        <w:gridCol w:w="767"/>
        <w:gridCol w:w="768"/>
        <w:gridCol w:w="923"/>
        <w:gridCol w:w="615"/>
        <w:gridCol w:w="767"/>
      </w:tblGrid>
      <w:tr>
        <w:trPr>
          <w:trHeight w:hRule="atLeast" w:val="1146"/>
        </w:trPr>
        <w:tc>
          <w:tcPr>
            <w:tcW w:type="dxa" w:w="1230"/>
            <w:tcBorders>
              <w:top w:color="000000" w:sz="4" w:val="single"/>
              <w:left w:color="000000" w:sz="4" w:val="single"/>
              <w:bottom w:color="000000" w:sz="4" w:val="single"/>
              <w:right w:color="000000" w:sz="4" w:val="single"/>
            </w:tcBorders>
            <w:vAlign w:val="center"/>
          </w:tcPr>
          <w:p w14:paraId="E6040000">
            <w:pPr>
              <w:spacing w:line="240" w:lineRule="auto"/>
              <w:ind/>
              <w:jc w:val="center"/>
              <w:rPr>
                <w:sz w:val="20"/>
              </w:rPr>
            </w:pPr>
            <w:r>
              <w:rPr>
                <w:sz w:val="20"/>
              </w:rPr>
              <w:t>Наимено-вание</w:t>
            </w:r>
          </w:p>
        </w:tc>
        <w:tc>
          <w:tcPr>
            <w:tcW w:type="dxa" w:w="923"/>
            <w:tcBorders>
              <w:top w:color="000000" w:sz="4" w:val="single"/>
              <w:left w:color="000000" w:sz="4" w:val="single"/>
              <w:bottom w:color="000000" w:sz="4" w:val="single"/>
              <w:right w:color="000000" w:sz="4" w:val="single"/>
            </w:tcBorders>
            <w:vAlign w:val="center"/>
          </w:tcPr>
          <w:p w14:paraId="E7040000">
            <w:pPr>
              <w:spacing w:line="240" w:lineRule="auto"/>
              <w:ind/>
              <w:jc w:val="center"/>
              <w:rPr>
                <w:sz w:val="20"/>
              </w:rPr>
            </w:pPr>
            <w:r>
              <w:rPr>
                <w:sz w:val="20"/>
              </w:rPr>
              <w:t>Ед. изм.</w:t>
            </w:r>
          </w:p>
        </w:tc>
        <w:tc>
          <w:tcPr>
            <w:tcW w:type="dxa" w:w="615"/>
            <w:tcBorders>
              <w:top w:color="000000" w:sz="4" w:val="single"/>
              <w:left w:color="000000" w:sz="4" w:val="single"/>
              <w:bottom w:color="000000" w:sz="4" w:val="single"/>
              <w:right w:color="000000" w:sz="4" w:val="single"/>
            </w:tcBorders>
            <w:textDirection w:val="btLr"/>
            <w:vAlign w:val="center"/>
          </w:tcPr>
          <w:p w14:paraId="E8040000">
            <w:pPr>
              <w:spacing w:line="240" w:lineRule="auto"/>
              <w:ind w:firstLine="0" w:left="113" w:right="113"/>
              <w:jc w:val="center"/>
              <w:rPr>
                <w:sz w:val="20"/>
              </w:rPr>
            </w:pPr>
            <w:r>
              <w:rPr>
                <w:sz w:val="20"/>
              </w:rPr>
              <w:t>2023-2024</w:t>
            </w:r>
          </w:p>
        </w:tc>
        <w:tc>
          <w:tcPr>
            <w:tcW w:type="dxa" w:w="615"/>
            <w:tcBorders>
              <w:top w:color="000000" w:sz="4" w:val="single"/>
              <w:left w:color="000000" w:sz="4" w:val="single"/>
              <w:bottom w:color="000000" w:sz="4" w:val="single"/>
              <w:right w:color="000000" w:sz="4" w:val="single"/>
            </w:tcBorders>
            <w:textDirection w:val="btLr"/>
            <w:vAlign w:val="center"/>
          </w:tcPr>
          <w:p w14:paraId="E9040000">
            <w:pPr>
              <w:spacing w:line="240" w:lineRule="auto"/>
              <w:ind w:firstLine="0" w:left="113" w:right="113"/>
              <w:jc w:val="center"/>
              <w:rPr>
                <w:sz w:val="20"/>
              </w:rPr>
            </w:pPr>
            <w:r>
              <w:rPr>
                <w:sz w:val="20"/>
              </w:rPr>
              <w:t>2025</w:t>
            </w:r>
          </w:p>
        </w:tc>
        <w:tc>
          <w:tcPr>
            <w:tcW w:type="dxa" w:w="768"/>
            <w:tcBorders>
              <w:top w:color="000000" w:sz="4" w:val="single"/>
              <w:left w:color="000000" w:sz="4" w:val="single"/>
              <w:bottom w:color="000000" w:sz="4" w:val="single"/>
              <w:right w:color="000000" w:sz="4" w:val="single"/>
            </w:tcBorders>
            <w:textDirection w:val="btLr"/>
            <w:vAlign w:val="center"/>
          </w:tcPr>
          <w:p w14:paraId="EA040000">
            <w:pPr>
              <w:spacing w:line="240" w:lineRule="auto"/>
              <w:ind w:firstLine="0" w:left="113" w:right="113"/>
              <w:jc w:val="center"/>
              <w:rPr>
                <w:sz w:val="20"/>
              </w:rPr>
            </w:pPr>
            <w:r>
              <w:rPr>
                <w:sz w:val="20"/>
              </w:rPr>
              <w:t>2026</w:t>
            </w:r>
          </w:p>
        </w:tc>
        <w:tc>
          <w:tcPr>
            <w:tcW w:type="dxa" w:w="768"/>
            <w:tcBorders>
              <w:top w:color="000000" w:sz="4" w:val="single"/>
              <w:left w:color="000000" w:sz="4" w:val="single"/>
              <w:bottom w:color="000000" w:sz="4" w:val="single"/>
              <w:right w:color="000000" w:sz="4" w:val="single"/>
            </w:tcBorders>
            <w:textDirection w:val="btLr"/>
            <w:vAlign w:val="center"/>
          </w:tcPr>
          <w:p w14:paraId="EB040000">
            <w:pPr>
              <w:spacing w:line="240" w:lineRule="auto"/>
              <w:ind w:firstLine="0" w:left="113" w:right="113"/>
              <w:jc w:val="center"/>
              <w:rPr>
                <w:sz w:val="20"/>
              </w:rPr>
            </w:pPr>
            <w:r>
              <w:rPr>
                <w:sz w:val="20"/>
              </w:rPr>
              <w:t>2027</w:t>
            </w:r>
          </w:p>
        </w:tc>
        <w:tc>
          <w:tcPr>
            <w:tcW w:type="dxa" w:w="768"/>
            <w:tcBorders>
              <w:top w:color="000000" w:sz="4" w:val="single"/>
              <w:left w:color="000000" w:sz="4" w:val="single"/>
              <w:bottom w:color="000000" w:sz="4" w:val="single"/>
              <w:right w:color="000000" w:sz="4" w:val="single"/>
            </w:tcBorders>
            <w:textDirection w:val="btLr"/>
            <w:vAlign w:val="center"/>
          </w:tcPr>
          <w:p w14:paraId="EC040000">
            <w:pPr>
              <w:spacing w:line="240" w:lineRule="auto"/>
              <w:ind w:firstLine="0" w:left="113" w:right="113"/>
              <w:jc w:val="center"/>
              <w:rPr>
                <w:sz w:val="20"/>
              </w:rPr>
            </w:pPr>
            <w:r>
              <w:rPr>
                <w:sz w:val="20"/>
              </w:rPr>
              <w:t>2028</w:t>
            </w:r>
          </w:p>
        </w:tc>
        <w:tc>
          <w:tcPr>
            <w:tcW w:type="dxa" w:w="767"/>
            <w:tcBorders>
              <w:top w:color="000000" w:sz="4" w:val="single"/>
              <w:left w:color="000000" w:sz="4" w:val="single"/>
              <w:bottom w:color="000000" w:sz="4" w:val="single"/>
              <w:right w:color="000000" w:sz="4" w:val="single"/>
            </w:tcBorders>
            <w:textDirection w:val="btLr"/>
            <w:vAlign w:val="center"/>
          </w:tcPr>
          <w:p w14:paraId="ED040000">
            <w:pPr>
              <w:spacing w:line="240" w:lineRule="auto"/>
              <w:ind w:firstLine="0" w:left="113" w:right="113"/>
              <w:jc w:val="center"/>
              <w:rPr>
                <w:sz w:val="20"/>
              </w:rPr>
            </w:pPr>
            <w:r>
              <w:rPr>
                <w:sz w:val="20"/>
              </w:rPr>
              <w:t>2029</w:t>
            </w:r>
          </w:p>
        </w:tc>
        <w:tc>
          <w:tcPr>
            <w:tcW w:type="dxa" w:w="768"/>
            <w:tcBorders>
              <w:top w:color="000000" w:sz="4" w:val="single"/>
              <w:left w:color="000000" w:sz="4" w:val="single"/>
              <w:bottom w:color="000000" w:sz="4" w:val="single"/>
              <w:right w:color="000000" w:sz="4" w:val="single"/>
            </w:tcBorders>
            <w:textDirection w:val="btLr"/>
            <w:vAlign w:val="center"/>
          </w:tcPr>
          <w:p w14:paraId="EE040000">
            <w:pPr>
              <w:spacing w:line="240" w:lineRule="auto"/>
              <w:ind w:firstLine="0" w:left="113" w:right="113"/>
              <w:jc w:val="center"/>
              <w:rPr>
                <w:sz w:val="20"/>
              </w:rPr>
            </w:pPr>
            <w:r>
              <w:rPr>
                <w:sz w:val="20"/>
              </w:rPr>
              <w:t>2030</w:t>
            </w:r>
          </w:p>
        </w:tc>
        <w:tc>
          <w:tcPr>
            <w:tcW w:type="dxa" w:w="923"/>
            <w:tcBorders>
              <w:top w:color="000000" w:sz="4" w:val="single"/>
              <w:left w:color="000000" w:sz="4" w:val="single"/>
              <w:bottom w:color="000000" w:sz="4" w:val="single"/>
              <w:right w:color="000000" w:sz="4" w:val="single"/>
            </w:tcBorders>
            <w:textDirection w:val="btLr"/>
            <w:vAlign w:val="center"/>
          </w:tcPr>
          <w:p w14:paraId="EF040000">
            <w:pPr>
              <w:spacing w:line="240" w:lineRule="auto"/>
              <w:ind w:firstLine="0" w:left="113" w:right="113"/>
              <w:jc w:val="center"/>
              <w:rPr>
                <w:sz w:val="20"/>
              </w:rPr>
            </w:pPr>
            <w:r>
              <w:rPr>
                <w:sz w:val="20"/>
              </w:rPr>
              <w:t>2031</w:t>
            </w:r>
          </w:p>
        </w:tc>
        <w:tc>
          <w:tcPr>
            <w:tcW w:type="dxa" w:w="615"/>
            <w:tcBorders>
              <w:top w:color="000000" w:sz="4" w:val="single"/>
              <w:left w:color="000000" w:sz="4" w:val="single"/>
              <w:bottom w:color="000000" w:sz="4" w:val="single"/>
              <w:right w:color="000000" w:sz="4" w:val="single"/>
            </w:tcBorders>
            <w:textDirection w:val="btLr"/>
          </w:tcPr>
          <w:p w14:paraId="F0040000">
            <w:pPr>
              <w:spacing w:line="240" w:lineRule="auto"/>
              <w:ind w:firstLine="0" w:left="113" w:right="113"/>
              <w:jc w:val="center"/>
              <w:rPr>
                <w:sz w:val="20"/>
              </w:rPr>
            </w:pPr>
            <w:r>
              <w:rPr>
                <w:sz w:val="20"/>
              </w:rPr>
              <w:t>2032</w:t>
            </w:r>
          </w:p>
        </w:tc>
        <w:tc>
          <w:tcPr>
            <w:tcW w:type="dxa" w:w="767"/>
            <w:tcBorders>
              <w:top w:color="000000" w:sz="4" w:val="single"/>
              <w:left w:color="000000" w:sz="4" w:val="single"/>
              <w:bottom w:color="000000" w:sz="4" w:val="single"/>
              <w:right w:color="000000" w:sz="4" w:val="single"/>
            </w:tcBorders>
            <w:textDirection w:val="btLr"/>
            <w:vAlign w:val="center"/>
          </w:tcPr>
          <w:p w14:paraId="F1040000">
            <w:pPr>
              <w:spacing w:line="240" w:lineRule="auto"/>
              <w:ind w:firstLine="0" w:left="113" w:right="113"/>
              <w:jc w:val="center"/>
              <w:rPr>
                <w:sz w:val="20"/>
              </w:rPr>
            </w:pPr>
            <w:r>
              <w:rPr>
                <w:sz w:val="20"/>
              </w:rPr>
              <w:t>2033</w:t>
            </w:r>
          </w:p>
        </w:tc>
      </w:tr>
      <w:tr>
        <w:trPr>
          <w:trHeight w:hRule="atLeast" w:val="1361"/>
        </w:trPr>
        <w:tc>
          <w:tcPr>
            <w:tcW w:type="dxa" w:w="1230"/>
            <w:tcBorders>
              <w:top w:color="000000" w:sz="4" w:val="single"/>
              <w:left w:color="000000" w:sz="4" w:val="single"/>
              <w:bottom w:color="000000" w:sz="4" w:val="single"/>
              <w:right w:color="000000" w:sz="4" w:val="single"/>
            </w:tcBorders>
            <w:vAlign w:val="center"/>
          </w:tcPr>
          <w:p w14:paraId="F2040000">
            <w:pPr>
              <w:spacing w:line="240" w:lineRule="auto"/>
              <w:ind/>
              <w:jc w:val="center"/>
              <w:rPr>
                <w:sz w:val="20"/>
              </w:rPr>
            </w:pPr>
            <w:r>
              <w:rPr>
                <w:sz w:val="20"/>
              </w:rPr>
              <w:t xml:space="preserve">Отпуск тепловой энергии потреби-телям </w:t>
            </w:r>
          </w:p>
        </w:tc>
        <w:tc>
          <w:tcPr>
            <w:tcW w:type="dxa" w:w="923"/>
            <w:tcBorders>
              <w:top w:color="000000" w:sz="4" w:val="single"/>
              <w:left w:color="000000" w:sz="4" w:val="single"/>
              <w:bottom w:color="000000" w:sz="4" w:val="single"/>
              <w:right w:color="000000" w:sz="4" w:val="single"/>
            </w:tcBorders>
            <w:vAlign w:val="center"/>
          </w:tcPr>
          <w:p w14:paraId="F3040000">
            <w:pPr>
              <w:spacing w:line="240" w:lineRule="auto"/>
              <w:ind/>
              <w:jc w:val="center"/>
              <w:rPr>
                <w:sz w:val="20"/>
              </w:rPr>
            </w:pPr>
            <w:r>
              <w:rPr>
                <w:sz w:val="20"/>
              </w:rPr>
              <w:t>тыс. Гкал</w:t>
            </w:r>
          </w:p>
        </w:tc>
        <w:tc>
          <w:tcPr>
            <w:tcW w:type="dxa" w:w="615"/>
            <w:tcBorders>
              <w:top w:color="000000" w:sz="4" w:val="single"/>
              <w:left w:color="000000" w:sz="4" w:val="single"/>
              <w:bottom w:color="000000" w:sz="4" w:val="single"/>
              <w:right w:color="000000" w:sz="4" w:val="single"/>
            </w:tcBorders>
            <w:textDirection w:val="btLr"/>
            <w:vAlign w:val="center"/>
          </w:tcPr>
          <w:p w14:paraId="F4040000">
            <w:pPr>
              <w:spacing w:line="240" w:lineRule="auto"/>
              <w:ind w:firstLine="0" w:left="113" w:right="113"/>
              <w:jc w:val="center"/>
              <w:rPr>
                <w:sz w:val="20"/>
              </w:rPr>
            </w:pPr>
            <w:r>
              <w:rPr>
                <w:sz w:val="20"/>
              </w:rPr>
              <w:t>3,730462</w:t>
            </w:r>
          </w:p>
        </w:tc>
        <w:tc>
          <w:tcPr>
            <w:tcW w:type="dxa" w:w="615"/>
            <w:tcBorders>
              <w:top w:color="000000" w:sz="4" w:val="single"/>
              <w:left w:color="000000" w:sz="4" w:val="single"/>
              <w:bottom w:color="000000" w:sz="4" w:val="single"/>
              <w:right w:color="000000" w:sz="4" w:val="single"/>
            </w:tcBorders>
            <w:textDirection w:val="btLr"/>
            <w:vAlign w:val="center"/>
          </w:tcPr>
          <w:p w14:paraId="F5040000">
            <w:pPr>
              <w:spacing w:line="240" w:lineRule="auto"/>
              <w:ind w:firstLine="0" w:left="113" w:right="113"/>
              <w:jc w:val="center"/>
              <w:rPr>
                <w:sz w:val="20"/>
              </w:rPr>
            </w:pPr>
            <w:r>
              <w:rPr>
                <w:sz w:val="20"/>
              </w:rPr>
              <w:t>3,730462</w:t>
            </w:r>
          </w:p>
        </w:tc>
        <w:tc>
          <w:tcPr>
            <w:tcW w:type="dxa" w:w="768"/>
            <w:tcBorders>
              <w:top w:color="000000" w:sz="4" w:val="single"/>
              <w:left w:color="000000" w:sz="4" w:val="single"/>
              <w:bottom w:color="000000" w:sz="4" w:val="single"/>
              <w:right w:color="000000" w:sz="4" w:val="single"/>
            </w:tcBorders>
            <w:textDirection w:val="btLr"/>
            <w:vAlign w:val="center"/>
          </w:tcPr>
          <w:p w14:paraId="F6040000">
            <w:pPr>
              <w:spacing w:line="240" w:lineRule="auto"/>
              <w:ind w:firstLine="0" w:left="113" w:right="113"/>
              <w:jc w:val="center"/>
              <w:rPr>
                <w:sz w:val="20"/>
              </w:rPr>
            </w:pPr>
            <w:r>
              <w:rPr>
                <w:sz w:val="20"/>
              </w:rPr>
              <w:t>3,730462</w:t>
            </w:r>
          </w:p>
        </w:tc>
        <w:tc>
          <w:tcPr>
            <w:tcW w:type="dxa" w:w="768"/>
            <w:tcBorders>
              <w:top w:color="000000" w:sz="4" w:val="single"/>
              <w:left w:color="000000" w:sz="4" w:val="single"/>
              <w:bottom w:color="000000" w:sz="4" w:val="single"/>
              <w:right w:color="000000" w:sz="4" w:val="single"/>
            </w:tcBorders>
            <w:textDirection w:val="btLr"/>
            <w:vAlign w:val="center"/>
          </w:tcPr>
          <w:p w14:paraId="F7040000">
            <w:pPr>
              <w:spacing w:line="240" w:lineRule="auto"/>
              <w:ind w:firstLine="0" w:left="113" w:right="113"/>
              <w:jc w:val="center"/>
              <w:rPr>
                <w:sz w:val="20"/>
              </w:rPr>
            </w:pPr>
            <w:r>
              <w:rPr>
                <w:sz w:val="20"/>
              </w:rPr>
              <w:t>3,730462</w:t>
            </w:r>
          </w:p>
        </w:tc>
        <w:tc>
          <w:tcPr>
            <w:tcW w:type="dxa" w:w="768"/>
            <w:tcBorders>
              <w:top w:color="000000" w:sz="4" w:val="single"/>
              <w:left w:color="000000" w:sz="4" w:val="single"/>
              <w:bottom w:color="000000" w:sz="4" w:val="single"/>
              <w:right w:color="000000" w:sz="4" w:val="single"/>
            </w:tcBorders>
            <w:textDirection w:val="btLr"/>
            <w:vAlign w:val="center"/>
          </w:tcPr>
          <w:p w14:paraId="F8040000">
            <w:pPr>
              <w:spacing w:line="240" w:lineRule="auto"/>
              <w:ind w:firstLine="0" w:left="113" w:right="113"/>
              <w:jc w:val="center"/>
              <w:rPr>
                <w:sz w:val="20"/>
              </w:rPr>
            </w:pPr>
            <w:r>
              <w:rPr>
                <w:sz w:val="20"/>
              </w:rPr>
              <w:t>3,730462</w:t>
            </w:r>
          </w:p>
        </w:tc>
        <w:tc>
          <w:tcPr>
            <w:tcW w:type="dxa" w:w="767"/>
            <w:tcBorders>
              <w:top w:color="000000" w:sz="4" w:val="single"/>
              <w:left w:color="000000" w:sz="4" w:val="single"/>
              <w:bottom w:color="000000" w:sz="4" w:val="single"/>
              <w:right w:color="000000" w:sz="4" w:val="single"/>
            </w:tcBorders>
            <w:textDirection w:val="btLr"/>
            <w:vAlign w:val="center"/>
          </w:tcPr>
          <w:p w14:paraId="F9040000">
            <w:pPr>
              <w:spacing w:line="240" w:lineRule="auto"/>
              <w:ind w:firstLine="0" w:left="113" w:right="113"/>
              <w:jc w:val="center"/>
              <w:rPr>
                <w:sz w:val="20"/>
              </w:rPr>
            </w:pPr>
            <w:r>
              <w:rPr>
                <w:sz w:val="20"/>
              </w:rPr>
              <w:t>3,730462</w:t>
            </w:r>
          </w:p>
        </w:tc>
        <w:tc>
          <w:tcPr>
            <w:tcW w:type="dxa" w:w="768"/>
            <w:tcBorders>
              <w:top w:color="000000" w:sz="4" w:val="single"/>
              <w:left w:color="000000" w:sz="4" w:val="single"/>
              <w:bottom w:color="000000" w:sz="4" w:val="single"/>
              <w:right w:color="000000" w:sz="4" w:val="single"/>
            </w:tcBorders>
            <w:textDirection w:val="btLr"/>
            <w:vAlign w:val="center"/>
          </w:tcPr>
          <w:p w14:paraId="FA040000">
            <w:pPr>
              <w:spacing w:line="240" w:lineRule="auto"/>
              <w:ind w:firstLine="0" w:left="113" w:right="113"/>
              <w:jc w:val="center"/>
              <w:rPr>
                <w:sz w:val="20"/>
              </w:rPr>
            </w:pPr>
            <w:r>
              <w:rPr>
                <w:sz w:val="20"/>
              </w:rPr>
              <w:t>3,730462</w:t>
            </w:r>
          </w:p>
        </w:tc>
        <w:tc>
          <w:tcPr>
            <w:tcW w:type="dxa" w:w="923"/>
            <w:tcBorders>
              <w:top w:color="000000" w:sz="4" w:val="single"/>
              <w:left w:color="000000" w:sz="4" w:val="single"/>
              <w:bottom w:color="000000" w:sz="4" w:val="single"/>
              <w:right w:color="000000" w:sz="4" w:val="single"/>
            </w:tcBorders>
            <w:textDirection w:val="btLr"/>
            <w:vAlign w:val="center"/>
          </w:tcPr>
          <w:p w14:paraId="FB040000">
            <w:pPr>
              <w:spacing w:line="240" w:lineRule="auto"/>
              <w:ind w:firstLine="0" w:left="113" w:right="113"/>
              <w:jc w:val="center"/>
              <w:rPr>
                <w:sz w:val="20"/>
              </w:rPr>
            </w:pPr>
            <w:r>
              <w:rPr>
                <w:sz w:val="20"/>
              </w:rPr>
              <w:t>3,730462</w:t>
            </w:r>
          </w:p>
        </w:tc>
        <w:tc>
          <w:tcPr>
            <w:tcW w:type="dxa" w:w="615"/>
            <w:tcBorders>
              <w:top w:color="000000" w:sz="4" w:val="single"/>
              <w:left w:color="000000" w:sz="4" w:val="single"/>
              <w:bottom w:color="000000" w:sz="4" w:val="single"/>
              <w:right w:color="000000" w:sz="4" w:val="single"/>
            </w:tcBorders>
            <w:textDirection w:val="btLr"/>
            <w:vAlign w:val="center"/>
          </w:tcPr>
          <w:p w14:paraId="FC040000">
            <w:pPr>
              <w:spacing w:line="240" w:lineRule="auto"/>
              <w:ind w:firstLine="0" w:left="113" w:right="113"/>
              <w:jc w:val="center"/>
              <w:rPr>
                <w:sz w:val="20"/>
              </w:rPr>
            </w:pPr>
            <w:r>
              <w:rPr>
                <w:sz w:val="20"/>
              </w:rPr>
              <w:t>3,</w:t>
            </w:r>
            <w:r>
              <w:rPr>
                <w:sz w:val="20"/>
              </w:rPr>
              <w:t>730462</w:t>
            </w:r>
          </w:p>
        </w:tc>
        <w:tc>
          <w:tcPr>
            <w:tcW w:type="dxa" w:w="767"/>
            <w:tcBorders>
              <w:top w:color="000000" w:sz="4" w:val="single"/>
              <w:left w:color="000000" w:sz="4" w:val="single"/>
              <w:bottom w:color="000000" w:sz="4" w:val="single"/>
              <w:right w:color="000000" w:sz="4" w:val="single"/>
            </w:tcBorders>
            <w:textDirection w:val="btLr"/>
            <w:vAlign w:val="center"/>
          </w:tcPr>
          <w:p w14:paraId="FD040000">
            <w:pPr>
              <w:spacing w:line="240" w:lineRule="auto"/>
              <w:ind w:firstLine="0" w:left="113" w:right="113"/>
              <w:jc w:val="center"/>
              <w:rPr>
                <w:sz w:val="20"/>
              </w:rPr>
            </w:pPr>
            <w:r>
              <w:rPr>
                <w:sz w:val="20"/>
              </w:rPr>
              <w:t>3,730462</w:t>
            </w:r>
          </w:p>
        </w:tc>
      </w:tr>
      <w:tr>
        <w:trPr>
          <w:trHeight w:hRule="atLeast" w:val="1591"/>
        </w:trPr>
        <w:tc>
          <w:tcPr>
            <w:tcW w:type="dxa" w:w="1230"/>
            <w:tcBorders>
              <w:top w:color="000000" w:sz="4" w:val="single"/>
              <w:left w:color="000000" w:sz="4" w:val="single"/>
              <w:bottom w:color="000000" w:sz="4" w:val="single"/>
              <w:right w:color="000000" w:sz="4" w:val="single"/>
            </w:tcBorders>
            <w:vAlign w:val="center"/>
          </w:tcPr>
          <w:p w14:paraId="FE040000">
            <w:pPr>
              <w:spacing w:line="240" w:lineRule="auto"/>
              <w:ind/>
              <w:jc w:val="center"/>
              <w:rPr>
                <w:sz w:val="20"/>
              </w:rPr>
            </w:pPr>
            <w:r>
              <w:rPr>
                <w:sz w:val="20"/>
              </w:rPr>
              <w:t>Расчетный тариф на тепловую энергию от новых котельных</w:t>
            </w:r>
          </w:p>
        </w:tc>
        <w:tc>
          <w:tcPr>
            <w:tcW w:type="dxa" w:w="923"/>
            <w:tcBorders>
              <w:top w:color="000000" w:sz="4" w:val="single"/>
              <w:left w:color="000000" w:sz="4" w:val="single"/>
              <w:bottom w:color="000000" w:sz="4" w:val="single"/>
              <w:right w:color="000000" w:sz="4" w:val="single"/>
            </w:tcBorders>
            <w:vAlign w:val="center"/>
          </w:tcPr>
          <w:p w14:paraId="FF040000">
            <w:pPr>
              <w:spacing w:line="240" w:lineRule="auto"/>
              <w:ind/>
              <w:jc w:val="center"/>
              <w:rPr>
                <w:sz w:val="20"/>
              </w:rPr>
            </w:pPr>
            <w:r>
              <w:rPr>
                <w:sz w:val="20"/>
              </w:rPr>
              <w:t>руб./ Гкал</w:t>
            </w:r>
          </w:p>
        </w:tc>
        <w:tc>
          <w:tcPr>
            <w:tcW w:type="dxa" w:w="615"/>
            <w:tcBorders>
              <w:top w:color="000000" w:sz="4" w:val="single"/>
              <w:left w:color="000000" w:sz="4" w:val="single"/>
              <w:bottom w:color="000000" w:sz="4" w:val="single"/>
              <w:right w:color="000000" w:sz="4" w:val="single"/>
            </w:tcBorders>
            <w:textDirection w:val="btLr"/>
            <w:vAlign w:val="center"/>
          </w:tcPr>
          <w:p w14:paraId="00050000">
            <w:pPr>
              <w:spacing w:line="240" w:lineRule="auto"/>
              <w:ind w:firstLine="0" w:left="113" w:right="113"/>
              <w:jc w:val="center"/>
              <w:rPr>
                <w:sz w:val="20"/>
              </w:rPr>
            </w:pPr>
            <w:r>
              <w:rPr>
                <w:sz w:val="20"/>
              </w:rPr>
              <w:t>-</w:t>
            </w:r>
          </w:p>
        </w:tc>
        <w:tc>
          <w:tcPr>
            <w:tcW w:type="dxa" w:w="615"/>
            <w:tcBorders>
              <w:top w:color="000000" w:sz="4" w:val="single"/>
              <w:left w:color="000000" w:sz="4" w:val="single"/>
              <w:bottom w:color="000000" w:sz="4" w:val="single"/>
              <w:right w:color="000000" w:sz="4" w:val="single"/>
            </w:tcBorders>
            <w:textDirection w:val="btLr"/>
            <w:vAlign w:val="center"/>
          </w:tcPr>
          <w:p w14:paraId="0105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extDirection w:val="btLr"/>
            <w:vAlign w:val="center"/>
          </w:tcPr>
          <w:p w14:paraId="0205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extDirection w:val="btLr"/>
            <w:vAlign w:val="center"/>
          </w:tcPr>
          <w:p w14:paraId="0305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extDirection w:val="btLr"/>
            <w:vAlign w:val="center"/>
          </w:tcPr>
          <w:p w14:paraId="04050000">
            <w:pPr>
              <w:spacing w:line="240" w:lineRule="auto"/>
              <w:ind w:firstLine="0" w:left="113" w:right="113"/>
              <w:jc w:val="center"/>
              <w:rPr>
                <w:sz w:val="20"/>
              </w:rPr>
            </w:pPr>
            <w:r>
              <w:rPr>
                <w:sz w:val="20"/>
              </w:rPr>
              <w:t>-</w:t>
            </w:r>
          </w:p>
        </w:tc>
        <w:tc>
          <w:tcPr>
            <w:tcW w:type="dxa" w:w="767"/>
            <w:tcBorders>
              <w:top w:color="000000" w:sz="4" w:val="single"/>
              <w:left w:color="000000" w:sz="4" w:val="single"/>
              <w:bottom w:color="000000" w:sz="4" w:val="single"/>
              <w:right w:color="000000" w:sz="4" w:val="single"/>
            </w:tcBorders>
            <w:textDirection w:val="btLr"/>
            <w:vAlign w:val="center"/>
          </w:tcPr>
          <w:p w14:paraId="0505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extDirection w:val="btLr"/>
            <w:vAlign w:val="center"/>
          </w:tcPr>
          <w:p w14:paraId="06050000">
            <w:pPr>
              <w:spacing w:line="240" w:lineRule="auto"/>
              <w:ind w:firstLine="0" w:left="113" w:right="113"/>
              <w:jc w:val="center"/>
              <w:rPr>
                <w:sz w:val="20"/>
              </w:rPr>
            </w:pPr>
            <w:r>
              <w:rPr>
                <w:sz w:val="20"/>
              </w:rPr>
              <w:t>-</w:t>
            </w:r>
          </w:p>
        </w:tc>
        <w:tc>
          <w:tcPr>
            <w:tcW w:type="dxa" w:w="923"/>
            <w:tcBorders>
              <w:top w:color="000000" w:sz="4" w:val="single"/>
              <w:left w:color="000000" w:sz="4" w:val="single"/>
              <w:bottom w:color="000000" w:sz="4" w:val="single"/>
              <w:right w:color="000000" w:sz="4" w:val="single"/>
            </w:tcBorders>
            <w:textDirection w:val="btLr"/>
            <w:vAlign w:val="center"/>
          </w:tcPr>
          <w:p w14:paraId="07050000">
            <w:pPr>
              <w:spacing w:line="240" w:lineRule="auto"/>
              <w:ind w:firstLine="0" w:left="113" w:right="113"/>
              <w:jc w:val="center"/>
              <w:rPr>
                <w:sz w:val="20"/>
              </w:rPr>
            </w:pPr>
            <w:r>
              <w:rPr>
                <w:sz w:val="20"/>
              </w:rPr>
              <w:t>-</w:t>
            </w:r>
          </w:p>
        </w:tc>
        <w:tc>
          <w:tcPr>
            <w:tcW w:type="dxa" w:w="615"/>
            <w:tcBorders>
              <w:top w:color="000000" w:sz="4" w:val="single"/>
              <w:left w:color="000000" w:sz="4" w:val="single"/>
              <w:bottom w:color="000000" w:sz="4" w:val="single"/>
              <w:right w:color="000000" w:sz="4" w:val="single"/>
            </w:tcBorders>
            <w:textDirection w:val="btLr"/>
            <w:vAlign w:val="center"/>
          </w:tcPr>
          <w:p w14:paraId="08050000">
            <w:pPr>
              <w:spacing w:line="240" w:lineRule="auto"/>
              <w:ind w:firstLine="0" w:left="113" w:right="113"/>
              <w:jc w:val="center"/>
              <w:rPr>
                <w:sz w:val="20"/>
              </w:rPr>
            </w:pPr>
            <w:r>
              <w:rPr>
                <w:sz w:val="20"/>
              </w:rPr>
              <w:t>-</w:t>
            </w:r>
          </w:p>
        </w:tc>
        <w:tc>
          <w:tcPr>
            <w:tcW w:type="dxa" w:w="767"/>
            <w:tcBorders>
              <w:top w:color="000000" w:sz="4" w:val="single"/>
              <w:left w:color="000000" w:sz="4" w:val="single"/>
              <w:bottom w:color="000000" w:sz="4" w:val="single"/>
              <w:right w:color="000000" w:sz="4" w:val="single"/>
            </w:tcBorders>
            <w:textDirection w:val="btLr"/>
            <w:vAlign w:val="center"/>
          </w:tcPr>
          <w:p w14:paraId="09050000">
            <w:pPr>
              <w:spacing w:line="240" w:lineRule="auto"/>
              <w:ind w:firstLine="0" w:left="113" w:right="113"/>
              <w:jc w:val="center"/>
              <w:rPr>
                <w:sz w:val="20"/>
              </w:rPr>
            </w:pPr>
            <w:r>
              <w:rPr>
                <w:sz w:val="20"/>
              </w:rPr>
              <w:t>-</w:t>
            </w:r>
          </w:p>
        </w:tc>
      </w:tr>
      <w:tr>
        <w:trPr>
          <w:trHeight w:hRule="atLeast" w:val="1822"/>
        </w:trPr>
        <w:tc>
          <w:tcPr>
            <w:tcW w:type="dxa" w:w="1230"/>
            <w:tcBorders>
              <w:top w:color="000000" w:sz="4" w:val="single"/>
              <w:left w:color="000000" w:sz="4" w:val="single"/>
              <w:bottom w:color="000000" w:sz="4" w:val="single"/>
              <w:right w:color="000000" w:sz="4" w:val="single"/>
            </w:tcBorders>
            <w:vAlign w:val="center"/>
          </w:tcPr>
          <w:p w14:paraId="0A050000">
            <w:pPr>
              <w:spacing w:line="240" w:lineRule="auto"/>
              <w:ind/>
              <w:jc w:val="center"/>
              <w:rPr>
                <w:sz w:val="20"/>
              </w:rPr>
            </w:pPr>
            <w:r>
              <w:rPr>
                <w:sz w:val="20"/>
              </w:rPr>
              <w:t>Усреднен-ный тариф на тепловую энергию, с учетом прогноза</w:t>
            </w:r>
          </w:p>
        </w:tc>
        <w:tc>
          <w:tcPr>
            <w:tcW w:type="dxa" w:w="923"/>
            <w:tcBorders>
              <w:top w:color="000000" w:sz="4" w:val="single"/>
              <w:left w:color="000000" w:sz="4" w:val="single"/>
              <w:bottom w:color="000000" w:sz="4" w:val="single"/>
              <w:right w:color="000000" w:sz="4" w:val="single"/>
            </w:tcBorders>
            <w:vAlign w:val="center"/>
          </w:tcPr>
          <w:p w14:paraId="0B050000">
            <w:pPr>
              <w:spacing w:line="240" w:lineRule="auto"/>
              <w:ind/>
              <w:jc w:val="center"/>
              <w:rPr>
                <w:sz w:val="20"/>
              </w:rPr>
            </w:pPr>
            <w:r>
              <w:rPr>
                <w:sz w:val="20"/>
              </w:rPr>
              <w:t>руб./ Гкал</w:t>
            </w:r>
          </w:p>
        </w:tc>
        <w:tc>
          <w:tcPr>
            <w:tcW w:type="dxa" w:w="615"/>
            <w:tcBorders>
              <w:top w:color="000000" w:sz="4" w:val="single"/>
              <w:left w:color="000000" w:sz="4" w:val="single"/>
              <w:bottom w:color="000000" w:sz="4" w:val="single"/>
              <w:right w:color="000000" w:sz="4" w:val="single"/>
            </w:tcBorders>
            <w:textDirection w:val="btLr"/>
            <w:vAlign w:val="center"/>
          </w:tcPr>
          <w:p w14:paraId="0C050000">
            <w:pPr>
              <w:ind w:firstLine="0" w:left="113" w:right="113"/>
              <w:jc w:val="center"/>
              <w:rPr>
                <w:sz w:val="20"/>
              </w:rPr>
            </w:pPr>
            <w:r>
              <w:rPr>
                <w:sz w:val="20"/>
              </w:rPr>
              <w:t>4190,1</w:t>
            </w:r>
          </w:p>
        </w:tc>
        <w:tc>
          <w:tcPr>
            <w:tcW w:type="dxa" w:w="615"/>
            <w:tcBorders>
              <w:top w:color="000000" w:sz="4" w:val="single"/>
              <w:left w:color="000000" w:sz="4" w:val="single"/>
              <w:bottom w:color="000000" w:sz="4" w:val="single"/>
              <w:right w:color="000000" w:sz="4" w:val="single"/>
            </w:tcBorders>
            <w:textDirection w:val="btLr"/>
            <w:vAlign w:val="center"/>
          </w:tcPr>
          <w:p w14:paraId="0D050000">
            <w:pPr>
              <w:ind w:firstLine="0" w:left="113" w:right="113"/>
              <w:jc w:val="center"/>
              <w:rPr>
                <w:sz w:val="20"/>
              </w:rPr>
            </w:pPr>
            <w:r>
              <w:rPr>
                <w:sz w:val="20"/>
              </w:rPr>
              <w:t>4315,8</w:t>
            </w:r>
          </w:p>
        </w:tc>
        <w:tc>
          <w:tcPr>
            <w:tcW w:type="dxa" w:w="768"/>
            <w:tcBorders>
              <w:top w:color="000000" w:sz="4" w:val="single"/>
              <w:left w:color="000000" w:sz="4" w:val="single"/>
              <w:bottom w:color="000000" w:sz="4" w:val="single"/>
              <w:right w:color="000000" w:sz="4" w:val="single"/>
            </w:tcBorders>
            <w:textDirection w:val="btLr"/>
            <w:vAlign w:val="center"/>
          </w:tcPr>
          <w:p w14:paraId="0E050000">
            <w:pPr>
              <w:spacing w:line="240" w:lineRule="auto"/>
              <w:ind w:firstLine="0" w:left="113" w:right="113"/>
              <w:jc w:val="center"/>
              <w:rPr>
                <w:sz w:val="20"/>
              </w:rPr>
            </w:pPr>
            <w:r>
              <w:rPr>
                <w:sz w:val="20"/>
              </w:rPr>
              <w:t>4358,9</w:t>
            </w:r>
          </w:p>
        </w:tc>
        <w:tc>
          <w:tcPr>
            <w:tcW w:type="dxa" w:w="768"/>
            <w:tcBorders>
              <w:top w:color="000000" w:sz="4" w:val="single"/>
              <w:left w:color="000000" w:sz="4" w:val="single"/>
              <w:bottom w:color="000000" w:sz="4" w:val="single"/>
              <w:right w:color="000000" w:sz="4" w:val="single"/>
            </w:tcBorders>
            <w:textDirection w:val="btLr"/>
            <w:vAlign w:val="center"/>
          </w:tcPr>
          <w:p w14:paraId="0F050000">
            <w:pPr>
              <w:spacing w:line="240" w:lineRule="auto"/>
              <w:ind w:firstLine="0" w:left="113" w:right="113"/>
              <w:jc w:val="center"/>
              <w:rPr>
                <w:sz w:val="20"/>
              </w:rPr>
            </w:pPr>
            <w:r>
              <w:rPr>
                <w:sz w:val="20"/>
              </w:rPr>
              <w:t>4489,7</w:t>
            </w:r>
          </w:p>
        </w:tc>
        <w:tc>
          <w:tcPr>
            <w:tcW w:type="dxa" w:w="768"/>
            <w:tcBorders>
              <w:top w:color="000000" w:sz="4" w:val="single"/>
              <w:left w:color="000000" w:sz="4" w:val="single"/>
              <w:bottom w:color="000000" w:sz="4" w:val="single"/>
              <w:right w:color="000000" w:sz="4" w:val="single"/>
            </w:tcBorders>
            <w:textDirection w:val="btLr"/>
            <w:vAlign w:val="center"/>
          </w:tcPr>
          <w:p w14:paraId="10050000">
            <w:pPr>
              <w:spacing w:line="240" w:lineRule="auto"/>
              <w:ind w:firstLine="0" w:left="113" w:right="113"/>
              <w:jc w:val="center"/>
              <w:rPr>
                <w:sz w:val="20"/>
              </w:rPr>
            </w:pPr>
            <w:r>
              <w:rPr>
                <w:sz w:val="20"/>
              </w:rPr>
              <w:t>4624,4</w:t>
            </w:r>
          </w:p>
        </w:tc>
        <w:tc>
          <w:tcPr>
            <w:tcW w:type="dxa" w:w="767"/>
            <w:tcBorders>
              <w:top w:color="000000" w:sz="4" w:val="single"/>
              <w:left w:color="000000" w:sz="4" w:val="single"/>
              <w:bottom w:color="000000" w:sz="4" w:val="single"/>
              <w:right w:color="000000" w:sz="4" w:val="single"/>
            </w:tcBorders>
            <w:textDirection w:val="btLr"/>
            <w:vAlign w:val="center"/>
          </w:tcPr>
          <w:p w14:paraId="11050000">
            <w:pPr>
              <w:spacing w:line="240" w:lineRule="auto"/>
              <w:ind w:firstLine="0" w:left="113" w:right="113"/>
              <w:jc w:val="center"/>
              <w:rPr>
                <w:sz w:val="20"/>
              </w:rPr>
            </w:pPr>
            <w:r>
              <w:rPr>
                <w:sz w:val="20"/>
              </w:rPr>
              <w:t>4763,1</w:t>
            </w:r>
          </w:p>
        </w:tc>
        <w:tc>
          <w:tcPr>
            <w:tcW w:type="dxa" w:w="768"/>
            <w:tcBorders>
              <w:top w:color="000000" w:sz="4" w:val="single"/>
              <w:left w:color="000000" w:sz="4" w:val="single"/>
              <w:bottom w:color="000000" w:sz="4" w:val="single"/>
              <w:right w:color="000000" w:sz="4" w:val="single"/>
            </w:tcBorders>
            <w:textDirection w:val="btLr"/>
            <w:vAlign w:val="center"/>
          </w:tcPr>
          <w:p w14:paraId="12050000">
            <w:pPr>
              <w:spacing w:line="240" w:lineRule="auto"/>
              <w:ind w:firstLine="0" w:left="113" w:right="113"/>
              <w:jc w:val="center"/>
              <w:rPr>
                <w:sz w:val="20"/>
              </w:rPr>
            </w:pPr>
            <w:r>
              <w:rPr>
                <w:sz w:val="20"/>
              </w:rPr>
              <w:t>4906,06</w:t>
            </w:r>
          </w:p>
        </w:tc>
        <w:tc>
          <w:tcPr>
            <w:tcW w:type="dxa" w:w="923"/>
            <w:tcBorders>
              <w:top w:color="000000" w:sz="4" w:val="single"/>
              <w:left w:color="000000" w:sz="4" w:val="single"/>
              <w:bottom w:color="000000" w:sz="4" w:val="single"/>
              <w:right w:color="000000" w:sz="4" w:val="single"/>
            </w:tcBorders>
            <w:textDirection w:val="btLr"/>
            <w:vAlign w:val="center"/>
          </w:tcPr>
          <w:p w14:paraId="13050000">
            <w:pPr>
              <w:spacing w:line="240" w:lineRule="auto"/>
              <w:ind w:firstLine="0" w:left="113" w:right="113"/>
              <w:jc w:val="center"/>
              <w:rPr>
                <w:sz w:val="20"/>
              </w:rPr>
            </w:pPr>
            <w:r>
              <w:rPr>
                <w:sz w:val="20"/>
              </w:rPr>
              <w:t>5053,2</w:t>
            </w:r>
          </w:p>
        </w:tc>
        <w:tc>
          <w:tcPr>
            <w:tcW w:type="dxa" w:w="615"/>
            <w:tcBorders>
              <w:top w:color="000000" w:sz="4" w:val="single"/>
              <w:left w:color="000000" w:sz="4" w:val="single"/>
              <w:bottom w:color="000000" w:sz="4" w:val="single"/>
              <w:right w:color="000000" w:sz="4" w:val="single"/>
            </w:tcBorders>
            <w:textDirection w:val="btLr"/>
            <w:vAlign w:val="center"/>
          </w:tcPr>
          <w:p w14:paraId="14050000">
            <w:pPr>
              <w:spacing w:line="240" w:lineRule="auto"/>
              <w:ind w:firstLine="0" w:left="113" w:right="113"/>
              <w:jc w:val="center"/>
              <w:rPr>
                <w:sz w:val="20"/>
              </w:rPr>
            </w:pPr>
            <w:r>
              <w:rPr>
                <w:sz w:val="20"/>
              </w:rPr>
              <w:t>5204,8</w:t>
            </w:r>
          </w:p>
        </w:tc>
        <w:tc>
          <w:tcPr>
            <w:tcW w:type="dxa" w:w="767"/>
            <w:tcBorders>
              <w:top w:color="000000" w:sz="4" w:val="single"/>
              <w:left w:color="000000" w:sz="4" w:val="single"/>
              <w:bottom w:color="000000" w:sz="4" w:val="single"/>
              <w:right w:color="000000" w:sz="4" w:val="single"/>
            </w:tcBorders>
            <w:textDirection w:val="btLr"/>
            <w:vAlign w:val="center"/>
          </w:tcPr>
          <w:p w14:paraId="15050000">
            <w:pPr>
              <w:spacing w:line="240" w:lineRule="auto"/>
              <w:ind w:firstLine="0" w:left="113" w:right="113"/>
              <w:jc w:val="center"/>
              <w:rPr>
                <w:sz w:val="20"/>
              </w:rPr>
            </w:pPr>
            <w:r>
              <w:rPr>
                <w:sz w:val="20"/>
              </w:rPr>
              <w:t>5360,9</w:t>
            </w:r>
          </w:p>
        </w:tc>
      </w:tr>
      <w:tr>
        <w:trPr>
          <w:trHeight w:hRule="atLeast" w:val="680"/>
        </w:trPr>
        <w:tc>
          <w:tcPr>
            <w:tcW w:type="dxa" w:w="1230"/>
            <w:tcBorders>
              <w:top w:color="000000" w:sz="4" w:val="single"/>
              <w:left w:color="000000" w:sz="4" w:val="single"/>
              <w:bottom w:color="000000" w:sz="4" w:val="single"/>
              <w:right w:color="000000" w:sz="4" w:val="single"/>
            </w:tcBorders>
            <w:vAlign w:val="center"/>
          </w:tcPr>
          <w:p w14:paraId="16050000">
            <w:pPr>
              <w:spacing w:line="240" w:lineRule="auto"/>
              <w:ind/>
              <w:jc w:val="center"/>
              <w:rPr>
                <w:sz w:val="20"/>
              </w:rPr>
            </w:pPr>
            <w:r>
              <w:rPr>
                <w:sz w:val="20"/>
              </w:rPr>
              <w:t>Экономия</w:t>
            </w:r>
          </w:p>
        </w:tc>
        <w:tc>
          <w:tcPr>
            <w:tcW w:type="dxa" w:w="923"/>
            <w:tcBorders>
              <w:top w:color="000000" w:sz="4" w:val="single"/>
              <w:left w:color="000000" w:sz="4" w:val="single"/>
              <w:bottom w:color="000000" w:sz="4" w:val="single"/>
              <w:right w:color="000000" w:sz="4" w:val="single"/>
            </w:tcBorders>
            <w:vAlign w:val="center"/>
          </w:tcPr>
          <w:p w14:paraId="17050000">
            <w:pPr>
              <w:spacing w:line="240" w:lineRule="auto"/>
              <w:ind/>
              <w:jc w:val="center"/>
              <w:rPr>
                <w:sz w:val="20"/>
              </w:rPr>
            </w:pPr>
            <w:r>
              <w:rPr>
                <w:sz w:val="20"/>
              </w:rPr>
              <w:t>тыс. руб.</w:t>
            </w:r>
          </w:p>
        </w:tc>
        <w:tc>
          <w:tcPr>
            <w:tcW w:type="dxa" w:w="615"/>
            <w:tcBorders>
              <w:top w:color="000000" w:sz="4" w:val="single"/>
              <w:left w:color="000000" w:sz="4" w:val="single"/>
              <w:bottom w:color="000000" w:sz="4" w:val="single"/>
              <w:right w:color="000000" w:sz="4" w:val="single"/>
            </w:tcBorders>
            <w:textDirection w:val="btLr"/>
            <w:vAlign w:val="center"/>
          </w:tcPr>
          <w:p w14:paraId="18050000">
            <w:pPr>
              <w:spacing w:line="240" w:lineRule="auto"/>
              <w:ind w:firstLine="0" w:left="113" w:right="113"/>
              <w:jc w:val="center"/>
              <w:rPr>
                <w:sz w:val="20"/>
              </w:rPr>
            </w:pPr>
            <w:r>
              <w:rPr>
                <w:sz w:val="20"/>
              </w:rPr>
              <w:t>-</w:t>
            </w:r>
          </w:p>
        </w:tc>
        <w:tc>
          <w:tcPr>
            <w:tcW w:type="dxa" w:w="615"/>
            <w:tcBorders>
              <w:top w:color="000000" w:sz="4" w:val="single"/>
              <w:left w:color="000000" w:sz="4" w:val="single"/>
              <w:bottom w:color="000000" w:sz="4" w:val="single"/>
              <w:right w:color="000000" w:sz="4" w:val="single"/>
            </w:tcBorders>
            <w:textDirection w:val="btLr"/>
            <w:vAlign w:val="center"/>
          </w:tcPr>
          <w:p w14:paraId="1905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extDirection w:val="btLr"/>
            <w:vAlign w:val="center"/>
          </w:tcPr>
          <w:p w14:paraId="1A05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extDirection w:val="btLr"/>
            <w:vAlign w:val="center"/>
          </w:tcPr>
          <w:p w14:paraId="1B05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extDirection w:val="btLr"/>
            <w:vAlign w:val="center"/>
          </w:tcPr>
          <w:p w14:paraId="1C050000">
            <w:pPr>
              <w:spacing w:line="240" w:lineRule="auto"/>
              <w:ind w:firstLine="0" w:left="113" w:right="113"/>
              <w:jc w:val="center"/>
              <w:rPr>
                <w:sz w:val="20"/>
              </w:rPr>
            </w:pPr>
            <w:r>
              <w:rPr>
                <w:sz w:val="20"/>
              </w:rPr>
              <w:t>-</w:t>
            </w:r>
          </w:p>
        </w:tc>
        <w:tc>
          <w:tcPr>
            <w:tcW w:type="dxa" w:w="767"/>
            <w:tcBorders>
              <w:top w:color="000000" w:sz="4" w:val="single"/>
              <w:left w:color="000000" w:sz="4" w:val="single"/>
              <w:bottom w:color="000000" w:sz="4" w:val="single"/>
              <w:right w:color="000000" w:sz="4" w:val="single"/>
            </w:tcBorders>
            <w:textDirection w:val="btLr"/>
            <w:vAlign w:val="center"/>
          </w:tcPr>
          <w:p w14:paraId="1D050000">
            <w:pPr>
              <w:spacing w:line="240" w:lineRule="auto"/>
              <w:ind w:firstLine="0" w:left="113" w:right="113"/>
              <w:jc w:val="center"/>
              <w:rPr>
                <w:sz w:val="20"/>
              </w:rPr>
            </w:pPr>
            <w:r>
              <w:rPr>
                <w:sz w:val="20"/>
              </w:rPr>
              <w:t>-</w:t>
            </w:r>
          </w:p>
        </w:tc>
        <w:tc>
          <w:tcPr>
            <w:tcW w:type="dxa" w:w="768"/>
            <w:tcBorders>
              <w:top w:color="000000" w:sz="4" w:val="single"/>
              <w:left w:color="000000" w:sz="4" w:val="single"/>
              <w:bottom w:color="000000" w:sz="4" w:val="single"/>
              <w:right w:color="000000" w:sz="4" w:val="single"/>
            </w:tcBorders>
            <w:textDirection w:val="btLr"/>
            <w:vAlign w:val="center"/>
          </w:tcPr>
          <w:p w14:paraId="1E050000">
            <w:pPr>
              <w:spacing w:line="240" w:lineRule="auto"/>
              <w:ind w:firstLine="0" w:left="113" w:right="113"/>
              <w:jc w:val="center"/>
              <w:rPr>
                <w:sz w:val="20"/>
              </w:rPr>
            </w:pPr>
            <w:r>
              <w:rPr>
                <w:sz w:val="20"/>
              </w:rPr>
              <w:t>-</w:t>
            </w:r>
          </w:p>
        </w:tc>
        <w:tc>
          <w:tcPr>
            <w:tcW w:type="dxa" w:w="923"/>
            <w:tcBorders>
              <w:top w:color="000000" w:sz="4" w:val="single"/>
              <w:left w:color="000000" w:sz="4" w:val="single"/>
              <w:bottom w:color="000000" w:sz="4" w:val="single"/>
              <w:right w:color="000000" w:sz="4" w:val="single"/>
            </w:tcBorders>
            <w:textDirection w:val="btLr"/>
            <w:vAlign w:val="center"/>
          </w:tcPr>
          <w:p w14:paraId="1F050000">
            <w:pPr>
              <w:spacing w:line="240" w:lineRule="auto"/>
              <w:ind w:firstLine="0" w:left="113" w:right="113"/>
              <w:jc w:val="center"/>
              <w:rPr>
                <w:sz w:val="20"/>
              </w:rPr>
            </w:pPr>
            <w:r>
              <w:rPr>
                <w:sz w:val="20"/>
              </w:rPr>
              <w:t>-</w:t>
            </w:r>
          </w:p>
        </w:tc>
        <w:tc>
          <w:tcPr>
            <w:tcW w:type="dxa" w:w="615"/>
            <w:tcBorders>
              <w:top w:color="000000" w:sz="4" w:val="single"/>
              <w:left w:color="000000" w:sz="4" w:val="single"/>
              <w:bottom w:color="000000" w:sz="4" w:val="single"/>
              <w:right w:color="000000" w:sz="4" w:val="single"/>
            </w:tcBorders>
            <w:textDirection w:val="btLr"/>
            <w:vAlign w:val="center"/>
          </w:tcPr>
          <w:p w14:paraId="20050000">
            <w:pPr>
              <w:spacing w:line="240" w:lineRule="auto"/>
              <w:ind w:firstLine="0" w:left="113" w:right="113"/>
              <w:jc w:val="center"/>
              <w:rPr>
                <w:sz w:val="20"/>
              </w:rPr>
            </w:pPr>
            <w:r>
              <w:rPr>
                <w:sz w:val="20"/>
              </w:rPr>
              <w:t>-</w:t>
            </w:r>
          </w:p>
        </w:tc>
        <w:tc>
          <w:tcPr>
            <w:tcW w:type="dxa" w:w="767"/>
            <w:tcBorders>
              <w:top w:color="000000" w:sz="4" w:val="single"/>
              <w:left w:color="000000" w:sz="4" w:val="single"/>
              <w:bottom w:color="000000" w:sz="4" w:val="single"/>
              <w:right w:color="000000" w:sz="4" w:val="single"/>
            </w:tcBorders>
            <w:textDirection w:val="btLr"/>
            <w:vAlign w:val="center"/>
          </w:tcPr>
          <w:p w14:paraId="21050000">
            <w:pPr>
              <w:spacing w:line="240" w:lineRule="auto"/>
              <w:ind w:firstLine="0" w:left="113" w:right="113"/>
              <w:jc w:val="center"/>
              <w:rPr>
                <w:sz w:val="20"/>
              </w:rPr>
            </w:pPr>
            <w:r>
              <w:rPr>
                <w:sz w:val="20"/>
              </w:rPr>
              <w:t>-</w:t>
            </w:r>
          </w:p>
        </w:tc>
      </w:tr>
    </w:tbl>
    <w:p w14:paraId="22050000">
      <w:pPr>
        <w:spacing w:after="0" w:before="200" w:line="240" w:lineRule="auto"/>
        <w:ind w:firstLine="709" w:left="0"/>
        <w:jc w:val="both"/>
        <w:rPr>
          <w:b w:val="1"/>
          <w:sz w:val="28"/>
        </w:rPr>
      </w:pPr>
      <w:r>
        <w:rPr>
          <w:b w:val="1"/>
          <w:sz w:val="28"/>
        </w:rPr>
        <w:t xml:space="preserve">9.6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w:t>
      </w:r>
    </w:p>
    <w:p w14:paraId="23050000">
      <w:pPr>
        <w:spacing w:after="0" w:before="200" w:line="240" w:lineRule="auto"/>
        <w:ind w:firstLine="709" w:left="0"/>
        <w:jc w:val="both"/>
        <w:rPr>
          <w:sz w:val="28"/>
        </w:rPr>
      </w:pPr>
      <w:r>
        <w:rPr>
          <w:sz w:val="28"/>
        </w:rPr>
        <w:t xml:space="preserve">Сведения о величине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(2022 год) отсутствуют. </w:t>
      </w:r>
    </w:p>
    <w:p w14:paraId="24050000">
      <w:pPr>
        <w:spacing w:after="0" w:before="200" w:line="240" w:lineRule="auto"/>
        <w:ind w:firstLine="709" w:left="0"/>
        <w:jc w:val="both"/>
        <w:rPr>
          <w:b w:val="1"/>
          <w:sz w:val="28"/>
        </w:rPr>
      </w:pPr>
      <w:r>
        <w:rPr>
          <w:b w:val="1"/>
          <w:sz w:val="28"/>
        </w:rPr>
        <w:t xml:space="preserve"> РАЗДЕЛ 10. РЕШЕНИЕ О ПРИСВОЕНИИ СТАТУСА ЕДИНОЙ ТЕПЛ</w:t>
      </w:r>
      <w:r>
        <w:rPr>
          <w:b w:val="1"/>
          <w:sz w:val="28"/>
        </w:rPr>
        <w:t>ОСНАБЖАЮЩЕЙ ОРГАНИЗАЦИИ (ОРГАНИЗАЦИЯМ) КУЙБЫШЕВСКОГО СЕЛЬСКОГО ПОСЕЛЕНИЯ КУЙБЫШЕВСКОГО РАЙОНА</w:t>
      </w:r>
    </w:p>
    <w:p w14:paraId="25050000">
      <w:pPr>
        <w:spacing w:after="0" w:before="200" w:line="240" w:lineRule="auto"/>
        <w:ind w:firstLine="709" w:left="0"/>
        <w:jc w:val="both"/>
        <w:rPr>
          <w:b w:val="1"/>
          <w:sz w:val="28"/>
        </w:rPr>
      </w:pPr>
      <w:r>
        <w:rPr>
          <w:b w:val="1"/>
          <w:sz w:val="28"/>
        </w:rPr>
        <w:t>10.1 Решение о присвоении статуса единой теплоснабжающей организации (организациям)</w:t>
      </w:r>
    </w:p>
    <w:p w14:paraId="26050000">
      <w:pPr>
        <w:spacing w:before="200" w:line="240" w:lineRule="auto"/>
        <w:ind w:firstLine="709" w:left="0"/>
        <w:jc w:val="both"/>
        <w:rPr>
          <w:sz w:val="28"/>
        </w:rPr>
      </w:pPr>
      <w:r>
        <w:rPr>
          <w:sz w:val="28"/>
        </w:rPr>
        <w:t xml:space="preserve">На территории Куйбышевского сельского поселения решения о присвоении статуса единой теплоснабжающей организации (далее – ЕТО) отсутствуют. Заявки на присвоение статуса ЕТО в Администрацию Куйбышевского сельского поселения не подавались. </w:t>
      </w:r>
    </w:p>
    <w:p w14:paraId="27050000">
      <w:pPr>
        <w:spacing w:line="240" w:lineRule="auto"/>
        <w:ind w:firstLine="709" w:left="0"/>
        <w:jc w:val="both"/>
        <w:rPr>
          <w:b w:val="1"/>
          <w:sz w:val="28"/>
        </w:rPr>
      </w:pPr>
      <w:r>
        <w:rPr>
          <w:b w:val="1"/>
          <w:sz w:val="28"/>
        </w:rPr>
        <w:t>10.2 Реестр зон де</w:t>
      </w:r>
      <w:r>
        <w:rPr>
          <w:b w:val="1"/>
          <w:sz w:val="28"/>
        </w:rPr>
        <w:t>ятельности единой теплоснабжающей организации (организаций)</w:t>
      </w:r>
    </w:p>
    <w:p w14:paraId="28050000">
      <w:pPr>
        <w:spacing w:line="240" w:lineRule="auto"/>
        <w:ind w:firstLine="709" w:left="0"/>
        <w:jc w:val="both"/>
        <w:rPr>
          <w:sz w:val="28"/>
        </w:rPr>
      </w:pPr>
      <w:r>
        <w:rPr>
          <w:sz w:val="28"/>
        </w:rPr>
        <w:t xml:space="preserve">ЕТО и зоны деятельности ЕТО отсутствуют.  </w:t>
      </w:r>
    </w:p>
    <w:p w14:paraId="29050000">
      <w:pPr>
        <w:spacing w:line="240" w:lineRule="auto"/>
        <w:ind w:firstLine="709" w:left="0"/>
        <w:jc w:val="both"/>
        <w:rPr>
          <w:b w:val="1"/>
          <w:sz w:val="28"/>
        </w:rPr>
      </w:pPr>
      <w:r>
        <w:rPr>
          <w:b w:val="1"/>
          <w:sz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14:paraId="2A050000">
      <w:pPr>
        <w:spacing w:before="200" w:line="240" w:lineRule="auto"/>
        <w:ind w:firstLine="709" w:left="0"/>
        <w:jc w:val="both"/>
        <w:rPr>
          <w:sz w:val="28"/>
        </w:rPr>
      </w:pPr>
      <w:r>
        <w:rPr>
          <w:sz w:val="28"/>
        </w:rPr>
        <w:t xml:space="preserve">Решения о </w:t>
      </w:r>
      <w:r>
        <w:rPr>
          <w:sz w:val="28"/>
        </w:rPr>
        <w:t xml:space="preserve">присвоении статуса ЕТО отсутствуют. </w:t>
      </w:r>
    </w:p>
    <w:p w14:paraId="2B050000">
      <w:pPr>
        <w:spacing w:before="200" w:line="240" w:lineRule="auto"/>
        <w:ind w:firstLine="709" w:left="0"/>
        <w:jc w:val="both"/>
        <w:rPr>
          <w:b w:val="1"/>
          <w:sz w:val="28"/>
        </w:rPr>
      </w:pPr>
      <w:r>
        <w:rPr>
          <w:b w:val="1"/>
          <w:sz w:val="28"/>
        </w:rPr>
        <w:t xml:space="preserve">10.4 Информация о поданных теплоснабжающими организациями заявках на присвоение статуса единой теплоснабжающей организации </w:t>
      </w:r>
    </w:p>
    <w:p w14:paraId="2C050000">
      <w:pPr>
        <w:spacing w:before="200" w:line="240" w:lineRule="auto"/>
        <w:ind w:firstLine="709" w:left="0"/>
        <w:jc w:val="both"/>
        <w:rPr>
          <w:sz w:val="28"/>
        </w:rPr>
      </w:pPr>
      <w:r>
        <w:rPr>
          <w:sz w:val="28"/>
        </w:rPr>
        <w:t>Заявки на присвоение статуса ЕТО в Администрацию Куйбышевского сельского поселения не поступали</w:t>
      </w:r>
      <w:r>
        <w:rPr>
          <w:sz w:val="28"/>
        </w:rPr>
        <w:t xml:space="preserve">.   </w:t>
      </w:r>
      <w:r>
        <w:rPr>
          <w:sz w:val="28"/>
        </w:rPr>
        <w:tab/>
      </w:r>
    </w:p>
    <w:p w14:paraId="2D050000">
      <w:pPr>
        <w:spacing w:before="200" w:line="240" w:lineRule="auto"/>
        <w:ind w:firstLine="709" w:left="0"/>
        <w:jc w:val="both"/>
        <w:rPr>
          <w:b w:val="1"/>
          <w:sz w:val="28"/>
        </w:rPr>
      </w:pPr>
      <w:r>
        <w:rPr>
          <w:b w:val="1"/>
          <w:sz w:val="28"/>
        </w:rPr>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Куйбышевского сельского поселения Куйбышевского района </w:t>
      </w:r>
    </w:p>
    <w:p w14:paraId="2E050000">
      <w:pPr>
        <w:spacing w:before="200" w:line="240" w:lineRule="auto"/>
        <w:ind w:firstLine="709" w:left="0"/>
        <w:jc w:val="both"/>
        <w:rPr>
          <w:sz w:val="28"/>
        </w:rPr>
      </w:pPr>
      <w:r>
        <w:rPr>
          <w:sz w:val="28"/>
        </w:rPr>
        <w:t>Реестр системы теплоснабжения Куйбышевск</w:t>
      </w:r>
      <w:r>
        <w:rPr>
          <w:sz w:val="28"/>
        </w:rPr>
        <w:t xml:space="preserve">ого ОП – Филиал ООО «Ростовтеплоэнерго» КР РО, ООО «Теплогарант» в таблице 15.  </w:t>
      </w:r>
    </w:p>
    <w:p w14:paraId="2F050000">
      <w:pPr>
        <w:spacing w:before="200" w:line="240" w:lineRule="auto"/>
        <w:ind/>
        <w:jc w:val="both"/>
        <w:rPr>
          <w:sz w:val="28"/>
        </w:rPr>
      </w:pPr>
      <w:r>
        <w:rPr>
          <w:sz w:val="28"/>
        </w:rPr>
        <w:t>Таблица 15 Реестр системы теплоснабжения на территории Куйбышевского сельского поселения</w:t>
      </w:r>
    </w:p>
    <w:tbl>
      <w:tblPr>
        <w:tblStyle w:val="Style_4"/>
        <w:tblInd w:type="dxa" w:w="5"/>
        <w:tblLayout w:type="fixed"/>
        <w:tblCellMar>
          <w:left w:type="dxa" w:w="0"/>
          <w:right w:type="dxa" w:w="0"/>
        </w:tblCellMar>
      </w:tblPr>
      <w:tblGrid>
        <w:gridCol w:w="567"/>
        <w:gridCol w:w="1700"/>
        <w:gridCol w:w="3967"/>
        <w:gridCol w:w="2126"/>
        <w:gridCol w:w="1274"/>
      </w:tblGrid>
      <w:tr>
        <w:trPr>
          <w:trHeight w:hRule="atLeast" w:val="647"/>
        </w:trPr>
        <w:tc>
          <w:tcPr>
            <w:tcW w:type="dxa" w:w="567"/>
            <w:tcBorders>
              <w:top w:color="000000" w:sz="4" w:val="single"/>
              <w:left w:color="000000" w:sz="4" w:val="single"/>
              <w:bottom w:color="000000" w:sz="4" w:val="single"/>
              <w:right w:color="000000" w:sz="4" w:val="single"/>
            </w:tcBorders>
            <w:shd w:fill="FFFFFF" w:val="clear"/>
            <w:tcMar>
              <w:left w:type="dxa" w:w="0"/>
              <w:right w:type="dxa" w:w="0"/>
            </w:tcMar>
            <w:vAlign w:val="center"/>
          </w:tcPr>
          <w:p w14:paraId="30050000">
            <w:pPr>
              <w:spacing w:after="0" w:line="240" w:lineRule="auto"/>
              <w:ind/>
              <w:jc w:val="center"/>
              <w:rPr>
                <w:color w:val="2C2D2E"/>
                <w:sz w:val="20"/>
              </w:rPr>
            </w:pPr>
            <w:r>
              <w:rPr>
                <w:sz w:val="20"/>
              </w:rPr>
              <w:t xml:space="preserve">  №</w:t>
            </w:r>
          </w:p>
        </w:tc>
        <w:tc>
          <w:tcPr>
            <w:tcW w:type="dxa" w:w="1700"/>
            <w:tcBorders>
              <w:top w:color="000000" w:sz="4" w:val="single"/>
              <w:left w:color="000000" w:sz="4" w:val="single"/>
              <w:bottom w:color="000000" w:sz="4" w:val="single"/>
              <w:right w:color="000000" w:sz="4" w:val="single"/>
            </w:tcBorders>
            <w:shd w:fill="FFFFFF" w:val="clear"/>
            <w:tcMar>
              <w:left w:type="dxa" w:w="0"/>
              <w:right w:type="dxa" w:w="0"/>
            </w:tcMar>
            <w:vAlign w:val="center"/>
          </w:tcPr>
          <w:p w14:paraId="31050000">
            <w:pPr>
              <w:spacing w:after="0" w:line="240" w:lineRule="auto"/>
              <w:ind/>
              <w:jc w:val="center"/>
              <w:rPr>
                <w:color w:val="2C2D2E"/>
                <w:sz w:val="20"/>
              </w:rPr>
            </w:pPr>
            <w:r>
              <w:rPr>
                <w:color w:val="2C2D2E"/>
                <w:sz w:val="20"/>
              </w:rPr>
              <w:t>Тим объекта</w:t>
            </w:r>
          </w:p>
        </w:tc>
        <w:tc>
          <w:tcPr>
            <w:tcW w:type="dxa" w:w="3967"/>
            <w:tcBorders>
              <w:top w:color="000000" w:sz="4" w:val="single"/>
              <w:left w:color="000000" w:sz="4" w:val="single"/>
              <w:bottom w:color="000000" w:sz="4" w:val="single"/>
              <w:right w:color="000000" w:sz="4" w:val="single"/>
            </w:tcBorders>
            <w:shd w:fill="FFFFFF" w:val="clear"/>
            <w:tcMar>
              <w:left w:type="dxa" w:w="0"/>
              <w:right w:type="dxa" w:w="0"/>
            </w:tcMar>
            <w:vAlign w:val="center"/>
          </w:tcPr>
          <w:p w14:paraId="32050000">
            <w:pPr>
              <w:spacing w:after="0" w:line="240" w:lineRule="auto"/>
              <w:ind/>
              <w:jc w:val="center"/>
              <w:rPr>
                <w:color w:val="2C2D2E"/>
                <w:sz w:val="20"/>
              </w:rPr>
            </w:pPr>
            <w:r>
              <w:rPr>
                <w:color w:val="2C2D2E"/>
                <w:sz w:val="20"/>
              </w:rPr>
              <w:t>Наименование объекта</w:t>
            </w:r>
          </w:p>
        </w:tc>
        <w:tc>
          <w:tcPr>
            <w:tcW w:type="dxa" w:w="2126"/>
            <w:tcBorders>
              <w:top w:color="000000" w:sz="4" w:val="single"/>
              <w:left w:color="000000" w:sz="4" w:val="single"/>
              <w:bottom w:color="000000" w:sz="4" w:val="single"/>
              <w:right w:color="000000" w:sz="4" w:val="single"/>
            </w:tcBorders>
            <w:shd w:fill="FFFFFF" w:val="clear"/>
            <w:tcMar>
              <w:left w:type="dxa" w:w="0"/>
              <w:right w:type="dxa" w:w="0"/>
            </w:tcMar>
            <w:vAlign w:val="center"/>
          </w:tcPr>
          <w:p w14:paraId="33050000">
            <w:pPr>
              <w:spacing w:after="0" w:line="240" w:lineRule="auto"/>
              <w:ind/>
              <w:jc w:val="center"/>
              <w:rPr>
                <w:color w:val="2C2D2E"/>
                <w:sz w:val="20"/>
              </w:rPr>
            </w:pPr>
            <w:r>
              <w:rPr>
                <w:color w:val="2C2D2E"/>
                <w:sz w:val="20"/>
              </w:rPr>
              <w:t>Адрес объекта</w:t>
            </w:r>
          </w:p>
        </w:tc>
        <w:tc>
          <w:tcPr>
            <w:tcW w:type="dxa" w:w="1274"/>
            <w:tcBorders>
              <w:top w:color="000000" w:sz="4" w:val="single"/>
              <w:left w:color="000000" w:sz="4" w:val="single"/>
              <w:bottom w:color="000000" w:sz="4" w:val="single"/>
              <w:right w:color="000000" w:sz="4" w:val="single"/>
            </w:tcBorders>
            <w:shd w:fill="FFFFFF" w:val="clear"/>
            <w:tcMar>
              <w:left w:type="dxa" w:w="0"/>
              <w:right w:type="dxa" w:w="0"/>
            </w:tcMar>
            <w:vAlign w:val="center"/>
          </w:tcPr>
          <w:p w14:paraId="34050000">
            <w:pPr>
              <w:spacing w:after="0" w:line="240" w:lineRule="auto"/>
              <w:ind/>
              <w:jc w:val="center"/>
              <w:rPr>
                <w:color w:val="2C2D2E"/>
                <w:sz w:val="20"/>
              </w:rPr>
            </w:pPr>
            <w:r>
              <w:rPr>
                <w:color w:val="2C2D2E"/>
                <w:sz w:val="20"/>
              </w:rPr>
              <w:t>Отапливаемая площадь, м</w:t>
            </w:r>
            <w:r>
              <w:rPr>
                <w:color w:val="2C2D2E"/>
                <w:sz w:val="20"/>
                <w:vertAlign w:val="superscript"/>
              </w:rPr>
              <w:t>2</w:t>
            </w:r>
          </w:p>
        </w:tc>
      </w:tr>
      <w:tr>
        <w:trPr>
          <w:trHeight w:hRule="atLeast" w:val="538"/>
        </w:trPr>
        <w:tc>
          <w:tcPr>
            <w:tcW w:type="dxa" w:w="567"/>
            <w:tcBorders>
              <w:top w:color="000000" w:sz="4" w:val="single"/>
              <w:left w:color="000000" w:sz="4" w:val="single"/>
              <w:bottom w:color="000000" w:sz="4" w:val="single"/>
              <w:right w:color="000000" w:sz="4" w:val="single"/>
            </w:tcBorders>
            <w:shd w:fill="FFFFFF" w:val="clear"/>
            <w:tcMar>
              <w:left w:type="dxa" w:w="0"/>
              <w:right w:type="dxa" w:w="0"/>
            </w:tcMar>
            <w:vAlign w:val="center"/>
          </w:tcPr>
          <w:p w14:paraId="35050000">
            <w:pPr>
              <w:pStyle w:val="Style_6"/>
              <w:numPr>
                <w:ilvl w:val="0"/>
                <w:numId w:val="1"/>
              </w:numPr>
              <w:ind/>
              <w:contextualSpacing w:val="1"/>
              <w:jc w:val="center"/>
              <w:rPr>
                <w:color w:val="2C2D2E"/>
                <w:sz w:val="20"/>
              </w:rPr>
            </w:pPr>
          </w:p>
        </w:tc>
        <w:tc>
          <w:tcPr>
            <w:tcW w:type="dxa" w:w="1700"/>
            <w:tcBorders>
              <w:top w:color="000000" w:sz="4" w:val="single"/>
              <w:left w:color="000000" w:sz="4" w:val="single"/>
              <w:bottom w:color="000000" w:sz="4" w:val="single"/>
              <w:right w:color="000000" w:sz="4" w:val="single"/>
            </w:tcBorders>
            <w:shd w:fill="FFFFFF" w:val="clear"/>
            <w:tcMar>
              <w:left w:type="dxa" w:w="0"/>
              <w:right w:type="dxa" w:w="0"/>
            </w:tcMar>
            <w:vAlign w:val="center"/>
          </w:tcPr>
          <w:p w14:paraId="36050000">
            <w:pPr>
              <w:spacing w:after="0" w:line="240" w:lineRule="auto"/>
              <w:ind/>
              <w:jc w:val="center"/>
              <w:rPr>
                <w:color w:val="2C2D2E"/>
                <w:sz w:val="20"/>
              </w:rPr>
            </w:pPr>
            <w:r>
              <w:rPr>
                <w:color w:val="2C2D2E"/>
                <w:sz w:val="20"/>
              </w:rPr>
              <w:t>Школа</w:t>
            </w:r>
          </w:p>
        </w:tc>
        <w:tc>
          <w:tcPr>
            <w:tcW w:type="dxa" w:w="3967"/>
            <w:tcBorders>
              <w:top w:color="000000" w:sz="4" w:val="single"/>
              <w:left w:color="000000" w:sz="4" w:val="single"/>
              <w:bottom w:color="000000" w:sz="4" w:val="single"/>
              <w:right w:color="000000" w:sz="4" w:val="single"/>
            </w:tcBorders>
            <w:shd w:fill="FFFFFF" w:val="clear"/>
            <w:tcMar>
              <w:left w:type="dxa" w:w="0"/>
              <w:right w:type="dxa" w:w="0"/>
            </w:tcMar>
            <w:vAlign w:val="center"/>
          </w:tcPr>
          <w:p w14:paraId="37050000">
            <w:pPr>
              <w:spacing w:after="0" w:line="240" w:lineRule="auto"/>
              <w:ind/>
              <w:jc w:val="center"/>
              <w:rPr>
                <w:color w:val="2C2D2E"/>
                <w:sz w:val="20"/>
              </w:rPr>
            </w:pPr>
            <w:r>
              <w:rPr>
                <w:color w:val="2C2D2E"/>
                <w:sz w:val="20"/>
              </w:rPr>
              <w:t>МБОУ Куйбышевская СОШ имени Маршала Советского Союза  А.А. Гречко</w:t>
            </w:r>
          </w:p>
        </w:tc>
        <w:tc>
          <w:tcPr>
            <w:tcW w:type="dxa" w:w="2126"/>
            <w:tcBorders>
              <w:top w:color="000000" w:sz="4" w:val="single"/>
              <w:left w:color="000000" w:sz="4" w:val="single"/>
              <w:bottom w:color="000000" w:sz="4" w:val="single"/>
              <w:right w:color="000000" w:sz="4" w:val="single"/>
            </w:tcBorders>
            <w:shd w:fill="FFFFFF" w:val="clear"/>
            <w:tcMar>
              <w:left w:type="dxa" w:w="0"/>
              <w:right w:type="dxa" w:w="0"/>
            </w:tcMar>
            <w:vAlign w:val="center"/>
          </w:tcPr>
          <w:p w14:paraId="38050000">
            <w:pPr>
              <w:spacing w:after="0" w:line="240" w:lineRule="auto"/>
              <w:ind/>
              <w:jc w:val="center"/>
              <w:rPr>
                <w:color w:val="2C2D2E"/>
                <w:sz w:val="20"/>
              </w:rPr>
            </w:pPr>
            <w:r>
              <w:rPr>
                <w:color w:val="2C2D2E"/>
                <w:sz w:val="20"/>
              </w:rPr>
              <w:t>с. Куйбышево, ул. Пролетарская, 7</w:t>
            </w:r>
          </w:p>
        </w:tc>
        <w:tc>
          <w:tcPr>
            <w:tcW w:type="dxa" w:w="1274"/>
            <w:tcBorders>
              <w:top w:color="000000" w:sz="4" w:val="single"/>
              <w:left w:color="000000" w:sz="4" w:val="single"/>
              <w:bottom w:color="000000" w:sz="4" w:val="single"/>
              <w:right w:color="000000" w:sz="4" w:val="single"/>
            </w:tcBorders>
            <w:shd w:fill="FFFFFF" w:val="clear"/>
            <w:tcMar>
              <w:left w:type="dxa" w:w="0"/>
              <w:right w:type="dxa" w:w="0"/>
            </w:tcMar>
            <w:vAlign w:val="center"/>
          </w:tcPr>
          <w:p w14:paraId="39050000">
            <w:pPr>
              <w:spacing w:after="0" w:line="240" w:lineRule="auto"/>
              <w:ind/>
              <w:jc w:val="center"/>
              <w:rPr>
                <w:color w:val="2C2D2E"/>
                <w:sz w:val="20"/>
              </w:rPr>
            </w:pPr>
            <w:r>
              <w:rPr>
                <w:color w:val="2C2D2E"/>
                <w:sz w:val="20"/>
              </w:rPr>
              <w:t>5278,5</w:t>
            </w:r>
          </w:p>
        </w:tc>
      </w:tr>
      <w:tr>
        <w:trPr>
          <w:trHeight w:hRule="atLeast" w:val="573"/>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3A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3B050000">
            <w:pPr>
              <w:spacing w:after="0" w:line="240" w:lineRule="auto"/>
              <w:ind/>
              <w:jc w:val="center"/>
              <w:rPr>
                <w:color w:val="2C2D2E"/>
                <w:sz w:val="20"/>
              </w:rPr>
            </w:pPr>
            <w:r>
              <w:rPr>
                <w:color w:val="2C2D2E"/>
                <w:sz w:val="20"/>
              </w:rPr>
              <w:t>Детский сад</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3C050000">
            <w:pPr>
              <w:spacing w:after="0" w:line="240" w:lineRule="auto"/>
              <w:ind/>
              <w:jc w:val="center"/>
              <w:rPr>
                <w:color w:val="2C2D2E"/>
                <w:sz w:val="20"/>
              </w:rPr>
            </w:pPr>
            <w:r>
              <w:rPr>
                <w:color w:val="2C2D2E"/>
                <w:sz w:val="20"/>
              </w:rPr>
              <w:t>МБДОУ ДС комбинированного вида №1 «Колокольчик»</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3D050000">
            <w:pPr>
              <w:spacing w:after="0" w:line="240" w:lineRule="auto"/>
              <w:ind/>
              <w:jc w:val="center"/>
              <w:rPr>
                <w:color w:val="2C2D2E"/>
                <w:sz w:val="20"/>
              </w:rPr>
            </w:pPr>
            <w:r>
              <w:rPr>
                <w:color w:val="2C2D2E"/>
                <w:sz w:val="20"/>
              </w:rPr>
              <w:t>с. Куйбышево, пер. Овчаренко, 6</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3E050000">
            <w:pPr>
              <w:spacing w:after="0" w:line="240" w:lineRule="auto"/>
              <w:ind/>
              <w:jc w:val="center"/>
              <w:rPr>
                <w:color w:val="2C2D2E"/>
                <w:sz w:val="20"/>
              </w:rPr>
            </w:pPr>
            <w:r>
              <w:rPr>
                <w:color w:val="2C2D2E"/>
                <w:sz w:val="20"/>
              </w:rPr>
              <w:t>1157,9</w:t>
            </w:r>
          </w:p>
        </w:tc>
      </w:tr>
      <w:tr>
        <w:trPr>
          <w:trHeight w:hRule="atLeast" w:val="450"/>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3F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40050000">
            <w:pPr>
              <w:spacing w:after="0" w:line="240" w:lineRule="auto"/>
              <w:ind/>
              <w:jc w:val="center"/>
              <w:rPr>
                <w:color w:val="2C2D2E"/>
                <w:sz w:val="20"/>
              </w:rPr>
            </w:pPr>
            <w:r>
              <w:rPr>
                <w:color w:val="2C2D2E"/>
                <w:sz w:val="20"/>
              </w:rPr>
              <w:t>Административное здание</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41050000">
            <w:pPr>
              <w:spacing w:after="0" w:line="240" w:lineRule="auto"/>
              <w:ind/>
              <w:jc w:val="center"/>
              <w:rPr>
                <w:color w:val="2C2D2E"/>
                <w:sz w:val="20"/>
              </w:rPr>
            </w:pPr>
            <w:r>
              <w:rPr>
                <w:color w:val="2C2D2E"/>
                <w:sz w:val="20"/>
              </w:rPr>
              <w:t xml:space="preserve">Администрация </w:t>
            </w:r>
            <w:r>
              <w:rPr>
                <w:color w:val="2C2D2E"/>
                <w:sz w:val="20"/>
              </w:rPr>
              <w:t>Куйбышевского сельского поселения</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42050000">
            <w:pPr>
              <w:spacing w:after="0" w:line="240" w:lineRule="auto"/>
              <w:ind/>
              <w:jc w:val="center"/>
              <w:rPr>
                <w:color w:val="2C2D2E"/>
                <w:sz w:val="20"/>
              </w:rPr>
            </w:pPr>
            <w:r>
              <w:rPr>
                <w:color w:val="2C2D2E"/>
                <w:sz w:val="20"/>
              </w:rPr>
              <w:t>с. Куйбышево, ул. Пролетарская, 2 б</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43050000">
            <w:pPr>
              <w:spacing w:after="0" w:line="240" w:lineRule="auto"/>
              <w:ind/>
              <w:jc w:val="center"/>
              <w:rPr>
                <w:color w:val="2C2D2E"/>
                <w:sz w:val="20"/>
              </w:rPr>
            </w:pPr>
            <w:r>
              <w:rPr>
                <w:color w:val="2C2D2E"/>
                <w:sz w:val="20"/>
              </w:rPr>
              <w:t>1569,9</w:t>
            </w:r>
          </w:p>
        </w:tc>
      </w:tr>
      <w:tr>
        <w:trPr>
          <w:trHeight w:hRule="atLeast" w:val="450"/>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44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45050000">
            <w:pPr>
              <w:spacing w:after="0" w:line="240" w:lineRule="auto"/>
              <w:ind/>
              <w:jc w:val="center"/>
              <w:rPr>
                <w:color w:val="2C2D2E"/>
                <w:sz w:val="20"/>
              </w:rPr>
            </w:pPr>
            <w:r>
              <w:rPr>
                <w:color w:val="2C2D2E"/>
                <w:sz w:val="20"/>
              </w:rPr>
              <w:t>Административное здание</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46050000">
            <w:pPr>
              <w:spacing w:after="0" w:line="240" w:lineRule="auto"/>
              <w:ind/>
              <w:jc w:val="center"/>
              <w:rPr>
                <w:color w:val="2C2D2E"/>
                <w:sz w:val="20"/>
              </w:rPr>
            </w:pPr>
            <w:r>
              <w:rPr>
                <w:color w:val="2C2D2E"/>
                <w:sz w:val="20"/>
              </w:rPr>
              <w:t>Отдел образования Администрации Куйбышевского района</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47050000">
            <w:pPr>
              <w:spacing w:after="0" w:line="240" w:lineRule="auto"/>
              <w:ind/>
              <w:jc w:val="center"/>
              <w:rPr>
                <w:color w:val="2C2D2E"/>
                <w:sz w:val="20"/>
              </w:rPr>
            </w:pPr>
            <w:r>
              <w:rPr>
                <w:color w:val="2C2D2E"/>
                <w:sz w:val="20"/>
              </w:rPr>
              <w:t>с. Куйбышево, ул. Пролетарская, 2 б</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48050000">
            <w:pPr>
              <w:spacing w:after="0" w:line="240" w:lineRule="auto"/>
              <w:ind/>
              <w:jc w:val="center"/>
              <w:rPr>
                <w:color w:val="2C2D2E"/>
                <w:sz w:val="20"/>
              </w:rPr>
            </w:pPr>
            <w:r>
              <w:rPr>
                <w:color w:val="2C2D2E"/>
                <w:sz w:val="20"/>
              </w:rPr>
              <w:t>140</w:t>
            </w:r>
          </w:p>
        </w:tc>
      </w:tr>
      <w:tr>
        <w:trPr>
          <w:trHeight w:hRule="atLeast" w:val="450"/>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49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4A050000">
            <w:pPr>
              <w:spacing w:after="0" w:line="240" w:lineRule="auto"/>
              <w:ind/>
              <w:jc w:val="center"/>
              <w:rPr>
                <w:color w:val="2C2D2E"/>
                <w:sz w:val="20"/>
              </w:rPr>
            </w:pPr>
            <w:r>
              <w:rPr>
                <w:color w:val="2C2D2E"/>
                <w:sz w:val="20"/>
              </w:rPr>
              <w:t>Административное здание ЗАГС</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4B050000">
            <w:pPr>
              <w:spacing w:after="0" w:line="240" w:lineRule="auto"/>
              <w:ind/>
              <w:jc w:val="center"/>
              <w:rPr>
                <w:color w:val="2C2D2E"/>
                <w:sz w:val="20"/>
              </w:rPr>
            </w:pPr>
            <w:r>
              <w:rPr>
                <w:color w:val="2C2D2E"/>
                <w:sz w:val="20"/>
              </w:rPr>
              <w:t xml:space="preserve">Отдел записи актов </w:t>
            </w:r>
            <w:r>
              <w:rPr>
                <w:color w:val="2C2D2E"/>
                <w:sz w:val="20"/>
              </w:rPr>
              <w:t>гражданского состояния Куйбышевского района</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4C050000">
            <w:pPr>
              <w:spacing w:after="0" w:line="240" w:lineRule="auto"/>
              <w:ind/>
              <w:jc w:val="center"/>
              <w:rPr>
                <w:color w:val="2C2D2E"/>
                <w:sz w:val="20"/>
              </w:rPr>
            </w:pPr>
            <w:r>
              <w:rPr>
                <w:color w:val="2C2D2E"/>
                <w:sz w:val="20"/>
              </w:rPr>
              <w:t>с. Куйбышево, ул. Пролетарская, 2 б</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4D050000">
            <w:pPr>
              <w:spacing w:after="0" w:line="240" w:lineRule="auto"/>
              <w:ind/>
              <w:jc w:val="center"/>
              <w:rPr>
                <w:color w:val="2C2D2E"/>
                <w:sz w:val="20"/>
              </w:rPr>
            </w:pPr>
            <w:r>
              <w:rPr>
                <w:color w:val="2C2D2E"/>
                <w:sz w:val="20"/>
              </w:rPr>
              <w:t>-</w:t>
            </w:r>
          </w:p>
        </w:tc>
      </w:tr>
      <w:tr>
        <w:trPr>
          <w:trHeight w:hRule="atLeast" w:val="559"/>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4E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4F050000">
            <w:pPr>
              <w:spacing w:after="0" w:line="240" w:lineRule="auto"/>
              <w:ind/>
              <w:jc w:val="center"/>
              <w:rPr>
                <w:color w:val="2C2D2E"/>
                <w:sz w:val="20"/>
              </w:rPr>
            </w:pPr>
            <w:r>
              <w:rPr>
                <w:color w:val="2C2D2E"/>
                <w:sz w:val="20"/>
              </w:rPr>
              <w:t>Спортивная школа</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50050000">
            <w:pPr>
              <w:spacing w:after="0" w:line="240" w:lineRule="auto"/>
              <w:ind/>
              <w:jc w:val="center"/>
              <w:rPr>
                <w:color w:val="2C2D2E"/>
                <w:sz w:val="20"/>
              </w:rPr>
            </w:pPr>
            <w:r>
              <w:rPr>
                <w:color w:val="2C2D2E"/>
                <w:sz w:val="20"/>
              </w:rPr>
              <w:t>МБОУ ДО ДЮСШ имени гвардии капитана Д.А. Ужвака</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51050000">
            <w:pPr>
              <w:spacing w:after="0" w:line="240" w:lineRule="auto"/>
              <w:ind/>
              <w:jc w:val="center"/>
              <w:rPr>
                <w:color w:val="2C2D2E"/>
                <w:sz w:val="20"/>
              </w:rPr>
            </w:pPr>
            <w:r>
              <w:rPr>
                <w:color w:val="2C2D2E"/>
                <w:sz w:val="20"/>
              </w:rPr>
              <w:t>с. Куйбышево, ул. Пролетарская, 7 а</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52050000">
            <w:pPr>
              <w:spacing w:after="0" w:line="240" w:lineRule="auto"/>
              <w:ind/>
              <w:jc w:val="center"/>
              <w:rPr>
                <w:color w:val="2C2D2E"/>
                <w:sz w:val="20"/>
              </w:rPr>
            </w:pPr>
            <w:r>
              <w:rPr>
                <w:color w:val="2C2D2E"/>
                <w:sz w:val="20"/>
              </w:rPr>
              <w:t>1641,2</w:t>
            </w:r>
          </w:p>
        </w:tc>
      </w:tr>
      <w:tr>
        <w:trPr>
          <w:trHeight w:hRule="atLeast" w:val="487"/>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53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54050000">
            <w:pPr>
              <w:spacing w:after="0" w:line="240" w:lineRule="auto"/>
              <w:ind/>
              <w:jc w:val="center"/>
              <w:rPr>
                <w:color w:val="2C2D2E"/>
                <w:sz w:val="20"/>
              </w:rPr>
            </w:pPr>
            <w:r>
              <w:rPr>
                <w:color w:val="2C2D2E"/>
                <w:sz w:val="20"/>
              </w:rPr>
              <w:t>Административное здание</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55050000">
            <w:pPr>
              <w:spacing w:after="0" w:line="240" w:lineRule="auto"/>
              <w:ind/>
              <w:jc w:val="center"/>
              <w:rPr>
                <w:color w:val="2C2D2E"/>
                <w:sz w:val="20"/>
              </w:rPr>
            </w:pPr>
            <w:r>
              <w:rPr>
                <w:color w:val="2C2D2E"/>
                <w:sz w:val="20"/>
              </w:rPr>
              <w:t xml:space="preserve">МБУ «МФЦ» </w:t>
            </w:r>
          </w:p>
          <w:p w14:paraId="56050000">
            <w:pPr>
              <w:spacing w:after="0" w:line="240" w:lineRule="auto"/>
              <w:ind/>
              <w:jc w:val="center"/>
              <w:rPr>
                <w:color w:val="2C2D2E"/>
                <w:sz w:val="20"/>
              </w:rPr>
            </w:pPr>
            <w:r>
              <w:rPr>
                <w:color w:val="2C2D2E"/>
                <w:sz w:val="20"/>
              </w:rPr>
              <w:t>Куйбышевского района</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57050000">
            <w:pPr>
              <w:spacing w:after="0" w:line="240" w:lineRule="auto"/>
              <w:ind/>
              <w:jc w:val="center"/>
              <w:rPr>
                <w:color w:val="2C2D2E"/>
                <w:sz w:val="20"/>
              </w:rPr>
            </w:pPr>
            <w:r>
              <w:rPr>
                <w:color w:val="2C2D2E"/>
                <w:sz w:val="20"/>
              </w:rPr>
              <w:t xml:space="preserve">С. </w:t>
            </w:r>
            <w:r>
              <w:rPr>
                <w:color w:val="2C2D2E"/>
                <w:sz w:val="20"/>
              </w:rPr>
              <w:t>Куйбышево ул. Куйбышевская, 1 л</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58050000">
            <w:pPr>
              <w:spacing w:after="0" w:line="240" w:lineRule="auto"/>
              <w:ind/>
              <w:jc w:val="center"/>
              <w:rPr>
                <w:color w:val="2C2D2E"/>
                <w:sz w:val="20"/>
              </w:rPr>
            </w:pPr>
            <w:r>
              <w:rPr>
                <w:color w:val="2C2D2E"/>
                <w:sz w:val="20"/>
              </w:rPr>
              <w:t>269,1</w:t>
            </w:r>
          </w:p>
        </w:tc>
      </w:tr>
      <w:tr>
        <w:trPr>
          <w:trHeight w:hRule="atLeast" w:val="450"/>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59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5A050000">
            <w:pPr>
              <w:spacing w:after="0" w:line="240" w:lineRule="auto"/>
              <w:ind/>
              <w:jc w:val="center"/>
              <w:rPr>
                <w:color w:val="2C2D2E"/>
                <w:sz w:val="20"/>
              </w:rPr>
            </w:pPr>
            <w:r>
              <w:rPr>
                <w:color w:val="2C2D2E"/>
                <w:sz w:val="20"/>
              </w:rPr>
              <w:t>Административное здание</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5B050000">
            <w:pPr>
              <w:spacing w:after="0" w:line="240" w:lineRule="auto"/>
              <w:ind/>
              <w:jc w:val="center"/>
              <w:rPr>
                <w:color w:val="2C2D2E"/>
                <w:sz w:val="20"/>
              </w:rPr>
            </w:pPr>
            <w:r>
              <w:rPr>
                <w:color w:val="2C2D2E"/>
                <w:sz w:val="20"/>
              </w:rPr>
              <w:t>ГКУ РО «Служба обеспечения деятельности судебных участков мировых судей»</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5C050000">
            <w:pPr>
              <w:spacing w:after="0" w:line="240" w:lineRule="auto"/>
              <w:ind/>
              <w:jc w:val="center"/>
              <w:rPr>
                <w:color w:val="2C2D2E"/>
                <w:sz w:val="20"/>
              </w:rPr>
            </w:pPr>
            <w:r>
              <w:rPr>
                <w:color w:val="2C2D2E"/>
                <w:sz w:val="20"/>
              </w:rPr>
              <w:t>с. Куйбышево, ул. Пролетарская, 2 б</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5D050000">
            <w:pPr>
              <w:spacing w:after="0" w:line="240" w:lineRule="auto"/>
              <w:ind/>
              <w:jc w:val="center"/>
              <w:rPr>
                <w:color w:val="2C2D2E"/>
                <w:sz w:val="20"/>
              </w:rPr>
            </w:pPr>
            <w:r>
              <w:rPr>
                <w:color w:val="2C2D2E"/>
                <w:sz w:val="20"/>
              </w:rPr>
              <w:t>-</w:t>
            </w:r>
          </w:p>
        </w:tc>
      </w:tr>
      <w:tr>
        <w:trPr>
          <w:trHeight w:hRule="atLeast" w:val="530"/>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5E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5F050000">
            <w:pPr>
              <w:spacing w:after="0" w:line="240" w:lineRule="auto"/>
              <w:ind/>
              <w:jc w:val="center"/>
              <w:rPr>
                <w:color w:val="2C2D2E"/>
                <w:sz w:val="20"/>
              </w:rPr>
            </w:pPr>
            <w:r>
              <w:rPr>
                <w:color w:val="2C2D2E"/>
                <w:sz w:val="20"/>
              </w:rPr>
              <w:t>Административное здание</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60050000">
            <w:pPr>
              <w:spacing w:after="0" w:line="240" w:lineRule="auto"/>
              <w:ind/>
              <w:jc w:val="center"/>
              <w:rPr>
                <w:color w:val="2C2D2E"/>
                <w:sz w:val="20"/>
              </w:rPr>
            </w:pPr>
            <w:r>
              <w:rPr>
                <w:color w:val="2C2D2E"/>
                <w:sz w:val="20"/>
              </w:rPr>
              <w:t xml:space="preserve">МБУК "Клубная система Куйбышевского сельского </w:t>
            </w:r>
            <w:r>
              <w:rPr>
                <w:color w:val="2C2D2E"/>
                <w:sz w:val="20"/>
              </w:rPr>
              <w:t>поселения"</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61050000">
            <w:pPr>
              <w:spacing w:after="0" w:line="240" w:lineRule="auto"/>
              <w:ind/>
              <w:jc w:val="center"/>
              <w:rPr>
                <w:color w:val="2C2D2E"/>
                <w:sz w:val="20"/>
              </w:rPr>
            </w:pPr>
            <w:r>
              <w:rPr>
                <w:color w:val="2C2D2E"/>
                <w:sz w:val="20"/>
              </w:rPr>
              <w:t>с. Куйбышево, ул. Пролетарская, 2 б</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62050000">
            <w:pPr>
              <w:spacing w:after="0" w:line="240" w:lineRule="auto"/>
              <w:ind/>
              <w:jc w:val="center"/>
              <w:rPr>
                <w:color w:val="2C2D2E"/>
                <w:sz w:val="20"/>
              </w:rPr>
            </w:pPr>
            <w:r>
              <w:rPr>
                <w:color w:val="2C2D2E"/>
                <w:sz w:val="20"/>
              </w:rPr>
              <w:t>219</w:t>
            </w:r>
          </w:p>
        </w:tc>
      </w:tr>
      <w:tr>
        <w:trPr>
          <w:trHeight w:hRule="atLeast" w:val="461"/>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63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64050000">
            <w:pPr>
              <w:spacing w:after="0" w:line="240" w:lineRule="auto"/>
              <w:ind/>
              <w:jc w:val="center"/>
              <w:rPr>
                <w:color w:val="2C2D2E"/>
                <w:sz w:val="20"/>
              </w:rPr>
            </w:pPr>
            <w:r>
              <w:rPr>
                <w:color w:val="2C2D2E"/>
                <w:sz w:val="20"/>
              </w:rPr>
              <w:t>Школа</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65050000">
            <w:pPr>
              <w:spacing w:after="0" w:line="240" w:lineRule="auto"/>
              <w:ind/>
              <w:jc w:val="center"/>
              <w:rPr>
                <w:color w:val="2C2D2E"/>
                <w:sz w:val="20"/>
              </w:rPr>
            </w:pPr>
            <w:r>
              <w:rPr>
                <w:color w:val="2C2D2E"/>
                <w:sz w:val="20"/>
              </w:rPr>
              <w:t>МБОУ Русская СОШ имени Героя Советского союза М. Н. Алексеева</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66050000">
            <w:pPr>
              <w:spacing w:after="0" w:line="240" w:lineRule="auto"/>
              <w:ind/>
              <w:jc w:val="center"/>
              <w:rPr>
                <w:color w:val="2C2D2E"/>
                <w:sz w:val="20"/>
              </w:rPr>
            </w:pPr>
            <w:r>
              <w:rPr>
                <w:color w:val="2C2D2E"/>
                <w:sz w:val="20"/>
              </w:rPr>
              <w:t>с. Русское, ул. Красноармейская,8-а</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67050000">
            <w:pPr>
              <w:spacing w:after="0" w:line="240" w:lineRule="auto"/>
              <w:ind/>
              <w:jc w:val="center"/>
              <w:rPr>
                <w:color w:val="2C2D2E"/>
                <w:sz w:val="20"/>
              </w:rPr>
            </w:pPr>
            <w:r>
              <w:rPr>
                <w:color w:val="2C2D2E"/>
                <w:sz w:val="20"/>
              </w:rPr>
              <w:t>1839,4</w:t>
            </w:r>
          </w:p>
        </w:tc>
      </w:tr>
      <w:tr>
        <w:trPr>
          <w:trHeight w:hRule="atLeast" w:val="553"/>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68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69050000">
            <w:pPr>
              <w:spacing w:after="0" w:line="240" w:lineRule="auto"/>
              <w:ind/>
              <w:jc w:val="center"/>
              <w:rPr>
                <w:color w:val="2C2D2E"/>
                <w:sz w:val="20"/>
              </w:rPr>
            </w:pPr>
            <w:r>
              <w:rPr>
                <w:color w:val="2C2D2E"/>
                <w:sz w:val="20"/>
              </w:rPr>
              <w:t>Детский сад</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6A050000">
            <w:pPr>
              <w:spacing w:after="0" w:line="240" w:lineRule="auto"/>
              <w:ind/>
              <w:jc w:val="center"/>
              <w:rPr>
                <w:color w:val="2C2D2E"/>
                <w:sz w:val="20"/>
              </w:rPr>
            </w:pPr>
            <w:r>
              <w:rPr>
                <w:color w:val="2C2D2E"/>
                <w:sz w:val="20"/>
              </w:rPr>
              <w:t>МБОУ Русская СОШ имени Героя Советского союза М. Н. Алексеева</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6B050000">
            <w:pPr>
              <w:spacing w:after="0" w:line="240" w:lineRule="auto"/>
              <w:ind/>
              <w:jc w:val="center"/>
              <w:rPr>
                <w:color w:val="2C2D2E"/>
                <w:sz w:val="20"/>
              </w:rPr>
            </w:pPr>
            <w:r>
              <w:rPr>
                <w:color w:val="2C2D2E"/>
                <w:sz w:val="20"/>
              </w:rPr>
              <w:t xml:space="preserve">с. Русское, ул. </w:t>
            </w:r>
            <w:r>
              <w:rPr>
                <w:color w:val="2C2D2E"/>
                <w:sz w:val="20"/>
              </w:rPr>
              <w:t>Героя Советского Союза М.П. Алексеева, 8</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6C050000">
            <w:pPr>
              <w:spacing w:after="0" w:line="240" w:lineRule="auto"/>
              <w:ind/>
              <w:jc w:val="center"/>
              <w:rPr>
                <w:color w:val="2C2D2E"/>
                <w:sz w:val="20"/>
              </w:rPr>
            </w:pPr>
            <w:r>
              <w:rPr>
                <w:color w:val="2C2D2E"/>
                <w:sz w:val="20"/>
              </w:rPr>
              <w:t>248,2</w:t>
            </w:r>
          </w:p>
        </w:tc>
      </w:tr>
      <w:tr>
        <w:trPr>
          <w:trHeight w:hRule="atLeast" w:val="563"/>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6D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6E050000">
            <w:pPr>
              <w:spacing w:after="0" w:line="240" w:lineRule="auto"/>
              <w:ind/>
              <w:jc w:val="center"/>
              <w:rPr>
                <w:color w:val="2C2D2E"/>
                <w:sz w:val="20"/>
              </w:rPr>
            </w:pPr>
            <w:r>
              <w:rPr>
                <w:color w:val="2C2D2E"/>
                <w:sz w:val="20"/>
              </w:rPr>
              <w:t>Дополнительное образование</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6F050000">
            <w:pPr>
              <w:spacing w:after="0" w:line="240" w:lineRule="auto"/>
              <w:ind/>
              <w:jc w:val="center"/>
              <w:rPr>
                <w:color w:val="2C2D2E"/>
                <w:sz w:val="20"/>
              </w:rPr>
            </w:pPr>
            <w:r>
              <w:rPr>
                <w:color w:val="2C2D2E"/>
                <w:sz w:val="20"/>
              </w:rPr>
              <w:t>Здание МБОУ ДОД ЦДОД первой категории</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70050000">
            <w:pPr>
              <w:spacing w:after="0" w:line="240" w:lineRule="auto"/>
              <w:ind/>
              <w:jc w:val="center"/>
              <w:rPr>
                <w:color w:val="2C2D2E"/>
                <w:sz w:val="20"/>
              </w:rPr>
            </w:pPr>
            <w:r>
              <w:rPr>
                <w:color w:val="2C2D2E"/>
                <w:sz w:val="20"/>
              </w:rPr>
              <w:t>с. Куйбышево, ул. Театральная, 72</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71050000">
            <w:pPr>
              <w:spacing w:after="0" w:line="240" w:lineRule="auto"/>
              <w:ind/>
              <w:jc w:val="center"/>
              <w:rPr>
                <w:color w:val="2C2D2E"/>
                <w:sz w:val="20"/>
              </w:rPr>
            </w:pPr>
            <w:r>
              <w:rPr>
                <w:color w:val="2C2D2E"/>
                <w:sz w:val="20"/>
              </w:rPr>
              <w:t>375,2</w:t>
            </w:r>
          </w:p>
        </w:tc>
      </w:tr>
      <w:tr>
        <w:trPr>
          <w:trHeight w:hRule="atLeast" w:val="415"/>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72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73050000">
            <w:pPr>
              <w:spacing w:after="0" w:line="240" w:lineRule="auto"/>
              <w:ind/>
              <w:jc w:val="center"/>
              <w:rPr>
                <w:color w:val="2C2D2E"/>
                <w:sz w:val="20"/>
              </w:rPr>
            </w:pPr>
            <w:r>
              <w:rPr>
                <w:color w:val="2C2D2E"/>
                <w:sz w:val="20"/>
              </w:rPr>
              <w:t>Дополнительное образование</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74050000">
            <w:pPr>
              <w:spacing w:after="0" w:line="240" w:lineRule="auto"/>
              <w:ind/>
              <w:jc w:val="center"/>
              <w:rPr>
                <w:color w:val="2C2D2E"/>
                <w:sz w:val="20"/>
              </w:rPr>
            </w:pPr>
            <w:r>
              <w:rPr>
                <w:color w:val="2C2D2E"/>
                <w:sz w:val="20"/>
              </w:rPr>
              <w:t>МБОУ ДОД ЦДОД первой категории</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75050000">
            <w:pPr>
              <w:spacing w:after="0" w:line="240" w:lineRule="auto"/>
              <w:ind/>
              <w:jc w:val="center"/>
              <w:rPr>
                <w:color w:val="2C2D2E"/>
                <w:sz w:val="20"/>
              </w:rPr>
            </w:pPr>
            <w:r>
              <w:rPr>
                <w:color w:val="2C2D2E"/>
                <w:sz w:val="20"/>
              </w:rPr>
              <w:t>с. Куйбышево, ул. Пролетарская, 2 а</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76050000">
            <w:pPr>
              <w:spacing w:after="0" w:line="240" w:lineRule="auto"/>
              <w:ind/>
              <w:jc w:val="center"/>
              <w:rPr>
                <w:color w:val="2C2D2E"/>
                <w:sz w:val="20"/>
              </w:rPr>
            </w:pPr>
            <w:r>
              <w:rPr>
                <w:color w:val="2C2D2E"/>
                <w:sz w:val="20"/>
              </w:rPr>
              <w:t>1345,2</w:t>
            </w:r>
          </w:p>
        </w:tc>
      </w:tr>
      <w:tr>
        <w:trPr>
          <w:trHeight w:hRule="atLeast" w:val="521"/>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77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78050000">
            <w:pPr>
              <w:spacing w:after="0" w:line="240" w:lineRule="auto"/>
              <w:ind/>
              <w:jc w:val="center"/>
              <w:rPr>
                <w:color w:val="2C2D2E"/>
                <w:sz w:val="20"/>
              </w:rPr>
            </w:pPr>
            <w:r>
              <w:rPr>
                <w:color w:val="2C2D2E"/>
                <w:sz w:val="20"/>
              </w:rPr>
              <w:t>Детский сад</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79050000">
            <w:pPr>
              <w:spacing w:after="0" w:line="240" w:lineRule="auto"/>
              <w:ind/>
              <w:jc w:val="center"/>
              <w:rPr>
                <w:color w:val="2C2D2E"/>
                <w:sz w:val="20"/>
              </w:rPr>
            </w:pPr>
            <w:r>
              <w:rPr>
                <w:color w:val="2C2D2E"/>
                <w:sz w:val="20"/>
              </w:rPr>
              <w:t>МБДОУ ДС комбинированного вида «Алёнушка»</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7A050000">
            <w:pPr>
              <w:spacing w:after="0" w:line="240" w:lineRule="auto"/>
              <w:ind/>
              <w:jc w:val="center"/>
              <w:rPr>
                <w:color w:val="2C2D2E"/>
                <w:sz w:val="20"/>
              </w:rPr>
            </w:pPr>
            <w:r>
              <w:rPr>
                <w:color w:val="2C2D2E"/>
                <w:sz w:val="20"/>
              </w:rPr>
              <w:t>с. Куйбышево, ул. Кузьменко, 3 а</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7B050000">
            <w:pPr>
              <w:spacing w:after="0" w:line="240" w:lineRule="auto"/>
              <w:ind/>
              <w:jc w:val="center"/>
              <w:rPr>
                <w:color w:val="2C2D2E"/>
                <w:sz w:val="20"/>
              </w:rPr>
            </w:pPr>
            <w:r>
              <w:rPr>
                <w:color w:val="2C2D2E"/>
                <w:sz w:val="20"/>
              </w:rPr>
              <w:t>949,4</w:t>
            </w:r>
          </w:p>
        </w:tc>
      </w:tr>
      <w:tr>
        <w:trPr>
          <w:trHeight w:hRule="atLeast" w:val="543"/>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7C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7D050000">
            <w:pPr>
              <w:spacing w:after="0" w:line="240" w:lineRule="auto"/>
              <w:ind/>
              <w:jc w:val="center"/>
              <w:rPr>
                <w:color w:val="2C2D2E"/>
                <w:sz w:val="20"/>
              </w:rPr>
            </w:pPr>
            <w:r>
              <w:rPr>
                <w:color w:val="2C2D2E"/>
                <w:sz w:val="20"/>
              </w:rPr>
              <w:t>Детский сад</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7E050000">
            <w:pPr>
              <w:spacing w:after="0" w:line="240" w:lineRule="auto"/>
              <w:ind/>
              <w:jc w:val="center"/>
              <w:rPr>
                <w:color w:val="2C2D2E"/>
                <w:sz w:val="20"/>
              </w:rPr>
            </w:pPr>
            <w:r>
              <w:rPr>
                <w:color w:val="2C2D2E"/>
                <w:sz w:val="20"/>
              </w:rPr>
              <w:t>Филиал МБДОУ ДС комбинированного вида №1 «Колокольчик»</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7F050000">
            <w:pPr>
              <w:spacing w:after="0" w:line="240" w:lineRule="auto"/>
              <w:ind/>
              <w:jc w:val="center"/>
              <w:rPr>
                <w:color w:val="2C2D2E"/>
                <w:sz w:val="20"/>
              </w:rPr>
            </w:pPr>
            <w:r>
              <w:rPr>
                <w:color w:val="2C2D2E"/>
                <w:sz w:val="20"/>
              </w:rPr>
              <w:t>х. Свободный, ул. Молодёжная, 8</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80050000">
            <w:pPr>
              <w:spacing w:after="0" w:line="240" w:lineRule="auto"/>
              <w:ind/>
              <w:jc w:val="center"/>
              <w:rPr>
                <w:color w:val="2C2D2E"/>
                <w:sz w:val="20"/>
              </w:rPr>
            </w:pPr>
            <w:r>
              <w:rPr>
                <w:color w:val="2C2D2E"/>
                <w:sz w:val="20"/>
              </w:rPr>
              <w:t>549,36</w:t>
            </w:r>
          </w:p>
        </w:tc>
      </w:tr>
      <w:tr>
        <w:trPr>
          <w:trHeight w:hRule="atLeast" w:val="579"/>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81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82050000">
            <w:pPr>
              <w:spacing w:after="0" w:line="240" w:lineRule="auto"/>
              <w:ind/>
              <w:jc w:val="center"/>
              <w:rPr>
                <w:color w:val="2C2D2E"/>
                <w:sz w:val="20"/>
              </w:rPr>
            </w:pPr>
            <w:r>
              <w:rPr>
                <w:color w:val="2C2D2E"/>
                <w:sz w:val="20"/>
              </w:rPr>
              <w:t>Дополнительное образование</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83050000">
            <w:pPr>
              <w:spacing w:after="0" w:line="240" w:lineRule="auto"/>
              <w:ind/>
              <w:jc w:val="center"/>
              <w:rPr>
                <w:color w:val="2C2D2E"/>
                <w:sz w:val="20"/>
              </w:rPr>
            </w:pPr>
            <w:r>
              <w:rPr>
                <w:color w:val="2C2D2E"/>
                <w:sz w:val="20"/>
              </w:rPr>
              <w:t xml:space="preserve">МБОУ ДОД ЦДОД первой </w:t>
            </w:r>
            <w:r>
              <w:rPr>
                <w:color w:val="2C2D2E"/>
                <w:sz w:val="20"/>
              </w:rPr>
              <w:t>категории (Ольховский подростковый клуб)</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84050000">
            <w:pPr>
              <w:spacing w:after="0" w:line="240" w:lineRule="auto"/>
              <w:ind/>
              <w:jc w:val="center"/>
              <w:rPr>
                <w:color w:val="2C2D2E"/>
                <w:sz w:val="20"/>
              </w:rPr>
            </w:pPr>
            <w:r>
              <w:rPr>
                <w:color w:val="2C2D2E"/>
                <w:sz w:val="20"/>
              </w:rPr>
              <w:t>х. Ольховский, ул. Центральная, 3 а</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85050000">
            <w:pPr>
              <w:spacing w:after="0" w:line="240" w:lineRule="auto"/>
              <w:ind/>
              <w:jc w:val="center"/>
              <w:rPr>
                <w:color w:val="2C2D2E"/>
                <w:sz w:val="20"/>
              </w:rPr>
            </w:pPr>
            <w:r>
              <w:rPr>
                <w:color w:val="2C2D2E"/>
                <w:sz w:val="20"/>
              </w:rPr>
              <w:t>203,6</w:t>
            </w:r>
          </w:p>
        </w:tc>
      </w:tr>
      <w:tr>
        <w:trPr>
          <w:trHeight w:hRule="atLeast" w:val="545"/>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86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87050000">
            <w:pPr>
              <w:spacing w:after="0" w:line="240" w:lineRule="auto"/>
              <w:ind/>
              <w:jc w:val="center"/>
              <w:rPr>
                <w:color w:val="2C2D2E"/>
                <w:sz w:val="20"/>
              </w:rPr>
            </w:pPr>
            <w:r>
              <w:rPr>
                <w:color w:val="2C2D2E"/>
                <w:sz w:val="20"/>
              </w:rPr>
              <w:t>Библиотека</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88050000">
            <w:pPr>
              <w:spacing w:after="0" w:line="240" w:lineRule="auto"/>
              <w:ind/>
              <w:jc w:val="center"/>
              <w:rPr>
                <w:color w:val="2C2D2E"/>
                <w:sz w:val="20"/>
              </w:rPr>
            </w:pPr>
            <w:r>
              <w:rPr>
                <w:color w:val="2C2D2E"/>
                <w:sz w:val="20"/>
              </w:rPr>
              <w:t>РМБУК «Куйбышевская районная межпоселенческая центральная библиотека»</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89050000">
            <w:pPr>
              <w:spacing w:after="0" w:line="240" w:lineRule="auto"/>
              <w:ind/>
              <w:jc w:val="center"/>
              <w:rPr>
                <w:color w:val="2C2D2E"/>
                <w:sz w:val="20"/>
              </w:rPr>
            </w:pPr>
            <w:r>
              <w:rPr>
                <w:color w:val="2C2D2E"/>
                <w:sz w:val="20"/>
              </w:rPr>
              <w:t>с. Куйбышево, ул. Пролетарская, 5</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8A050000">
            <w:pPr>
              <w:spacing w:after="0" w:line="240" w:lineRule="auto"/>
              <w:ind/>
              <w:jc w:val="center"/>
              <w:rPr>
                <w:color w:val="2C2D2E"/>
                <w:sz w:val="20"/>
              </w:rPr>
            </w:pPr>
            <w:r>
              <w:rPr>
                <w:color w:val="2C2D2E"/>
                <w:sz w:val="20"/>
              </w:rPr>
              <w:t>556,6</w:t>
            </w:r>
          </w:p>
        </w:tc>
      </w:tr>
      <w:tr>
        <w:trPr>
          <w:trHeight w:hRule="atLeast" w:val="411"/>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8B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8C050000">
            <w:pPr>
              <w:spacing w:after="0" w:line="240" w:lineRule="auto"/>
              <w:ind/>
              <w:jc w:val="center"/>
              <w:rPr>
                <w:color w:val="2C2D2E"/>
                <w:sz w:val="20"/>
              </w:rPr>
            </w:pPr>
            <w:r>
              <w:rPr>
                <w:color w:val="2C2D2E"/>
                <w:sz w:val="20"/>
              </w:rPr>
              <w:t>Дом культуры</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8D050000">
            <w:pPr>
              <w:spacing w:after="0" w:line="240" w:lineRule="auto"/>
              <w:ind/>
              <w:jc w:val="center"/>
              <w:rPr>
                <w:color w:val="2C2D2E"/>
                <w:sz w:val="20"/>
              </w:rPr>
            </w:pPr>
            <w:r>
              <w:rPr>
                <w:color w:val="2C2D2E"/>
                <w:sz w:val="20"/>
              </w:rPr>
              <w:t>МБУК "Районный дом культуры"</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8E050000">
            <w:pPr>
              <w:spacing w:after="0" w:line="240" w:lineRule="auto"/>
              <w:ind/>
              <w:jc w:val="center"/>
              <w:rPr>
                <w:color w:val="2C2D2E"/>
                <w:sz w:val="20"/>
              </w:rPr>
            </w:pPr>
            <w:r>
              <w:rPr>
                <w:color w:val="2C2D2E"/>
                <w:sz w:val="20"/>
              </w:rPr>
              <w:t xml:space="preserve">с. </w:t>
            </w:r>
            <w:r>
              <w:rPr>
                <w:color w:val="2C2D2E"/>
                <w:sz w:val="20"/>
              </w:rPr>
              <w:t>Куйбышево, ул. Театральная, 22</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8F050000">
            <w:pPr>
              <w:spacing w:after="0" w:line="240" w:lineRule="auto"/>
              <w:ind/>
              <w:jc w:val="center"/>
              <w:rPr>
                <w:color w:val="2C2D2E"/>
                <w:sz w:val="20"/>
              </w:rPr>
            </w:pPr>
            <w:r>
              <w:rPr>
                <w:color w:val="2C2D2E"/>
                <w:sz w:val="20"/>
              </w:rPr>
              <w:t>1127,6</w:t>
            </w:r>
          </w:p>
        </w:tc>
      </w:tr>
      <w:tr>
        <w:trPr>
          <w:trHeight w:hRule="atLeast" w:val="675"/>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90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91050000">
            <w:pPr>
              <w:spacing w:after="0" w:line="240" w:lineRule="auto"/>
              <w:ind/>
              <w:jc w:val="center"/>
              <w:rPr>
                <w:color w:val="2C2D2E"/>
                <w:sz w:val="20"/>
              </w:rPr>
            </w:pPr>
            <w:r>
              <w:rPr>
                <w:color w:val="2C2D2E"/>
                <w:sz w:val="20"/>
              </w:rPr>
              <w:t>Учреждение культуры</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92050000">
            <w:pPr>
              <w:spacing w:after="0" w:line="240" w:lineRule="auto"/>
              <w:ind/>
              <w:jc w:val="center"/>
              <w:rPr>
                <w:color w:val="2C2D2E"/>
                <w:sz w:val="20"/>
              </w:rPr>
            </w:pPr>
            <w:r>
              <w:rPr>
                <w:color w:val="2C2D2E"/>
                <w:sz w:val="20"/>
              </w:rPr>
              <w:t>МБУК "Клубная система Куйбышевского сельского поселения" Свободненский сельский клуб</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93050000">
            <w:pPr>
              <w:spacing w:after="0" w:line="240" w:lineRule="auto"/>
              <w:ind/>
              <w:jc w:val="center"/>
              <w:rPr>
                <w:color w:val="2C2D2E"/>
                <w:sz w:val="20"/>
              </w:rPr>
            </w:pPr>
            <w:r>
              <w:rPr>
                <w:color w:val="2C2D2E"/>
                <w:sz w:val="20"/>
              </w:rPr>
              <w:t>х. Свободный, ул. Победы, 29</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94050000">
            <w:pPr>
              <w:spacing w:after="0" w:line="240" w:lineRule="auto"/>
              <w:ind/>
              <w:jc w:val="center"/>
              <w:rPr>
                <w:color w:val="2C2D2E"/>
                <w:sz w:val="20"/>
              </w:rPr>
            </w:pPr>
            <w:r>
              <w:rPr>
                <w:color w:val="2C2D2E"/>
                <w:sz w:val="20"/>
              </w:rPr>
              <w:t>80,0</w:t>
            </w:r>
          </w:p>
        </w:tc>
      </w:tr>
      <w:tr>
        <w:trPr>
          <w:trHeight w:hRule="atLeast" w:val="675"/>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95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96050000">
            <w:pPr>
              <w:spacing w:after="0" w:line="240" w:lineRule="auto"/>
              <w:ind/>
              <w:jc w:val="center"/>
              <w:rPr>
                <w:color w:val="2C2D2E"/>
                <w:sz w:val="20"/>
              </w:rPr>
            </w:pPr>
            <w:r>
              <w:rPr>
                <w:color w:val="2C2D2E"/>
                <w:sz w:val="20"/>
              </w:rPr>
              <w:t>Учреждение культуры</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97050000">
            <w:pPr>
              <w:spacing w:after="0" w:line="240" w:lineRule="auto"/>
              <w:ind/>
              <w:jc w:val="center"/>
              <w:rPr>
                <w:color w:val="2C2D2E"/>
                <w:sz w:val="20"/>
              </w:rPr>
            </w:pPr>
            <w:r>
              <w:rPr>
                <w:color w:val="2C2D2E"/>
                <w:sz w:val="20"/>
              </w:rPr>
              <w:t xml:space="preserve">МБУК "Клубная система Куйбышевского сельского </w:t>
            </w:r>
            <w:r>
              <w:rPr>
                <w:color w:val="2C2D2E"/>
                <w:sz w:val="20"/>
              </w:rPr>
              <w:t>поселения" Новобахмутский сельский клуб</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98050000">
            <w:pPr>
              <w:spacing w:after="0" w:line="240" w:lineRule="auto"/>
              <w:ind/>
              <w:jc w:val="center"/>
              <w:rPr>
                <w:color w:val="2C2D2E"/>
                <w:sz w:val="20"/>
              </w:rPr>
            </w:pPr>
            <w:r>
              <w:rPr>
                <w:color w:val="2C2D2E"/>
                <w:sz w:val="20"/>
              </w:rPr>
              <w:t>х. Новобахмутский, ул. Широкая, 89 а</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99050000">
            <w:pPr>
              <w:spacing w:after="0" w:line="240" w:lineRule="auto"/>
              <w:ind/>
              <w:jc w:val="center"/>
              <w:rPr>
                <w:color w:val="2C2D2E"/>
                <w:sz w:val="20"/>
              </w:rPr>
            </w:pPr>
            <w:r>
              <w:rPr>
                <w:color w:val="2C2D2E"/>
                <w:sz w:val="20"/>
              </w:rPr>
              <w:t>90,0</w:t>
            </w:r>
          </w:p>
        </w:tc>
      </w:tr>
      <w:tr>
        <w:trPr>
          <w:trHeight w:hRule="atLeast" w:val="537"/>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9A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9B050000">
            <w:pPr>
              <w:spacing w:after="0" w:line="240" w:lineRule="auto"/>
              <w:ind/>
              <w:jc w:val="center"/>
              <w:rPr>
                <w:color w:val="2C2D2E"/>
                <w:sz w:val="20"/>
              </w:rPr>
            </w:pPr>
            <w:r>
              <w:rPr>
                <w:color w:val="2C2D2E"/>
                <w:sz w:val="20"/>
              </w:rPr>
              <w:t>Учреждение культуры</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9C050000">
            <w:pPr>
              <w:spacing w:after="0" w:line="240" w:lineRule="auto"/>
              <w:ind/>
              <w:jc w:val="center"/>
              <w:rPr>
                <w:color w:val="2C2D2E"/>
                <w:sz w:val="20"/>
              </w:rPr>
            </w:pPr>
            <w:r>
              <w:rPr>
                <w:color w:val="2C2D2E"/>
                <w:sz w:val="20"/>
              </w:rPr>
              <w:t>МБУК "Клубная система Куйбышевского сельского поселения" Русский сельский клуб</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9D050000">
            <w:pPr>
              <w:spacing w:after="0" w:line="240" w:lineRule="auto"/>
              <w:ind/>
              <w:jc w:val="center"/>
              <w:rPr>
                <w:color w:val="2C2D2E"/>
                <w:sz w:val="20"/>
              </w:rPr>
            </w:pPr>
            <w:r>
              <w:rPr>
                <w:color w:val="2C2D2E"/>
                <w:sz w:val="20"/>
              </w:rPr>
              <w:t>с. Русское, ул. Красноармейская, 1</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9E050000">
            <w:pPr>
              <w:spacing w:after="0" w:line="240" w:lineRule="auto"/>
              <w:ind/>
              <w:jc w:val="center"/>
              <w:rPr>
                <w:color w:val="2C2D2E"/>
                <w:sz w:val="20"/>
              </w:rPr>
            </w:pPr>
            <w:r>
              <w:rPr>
                <w:color w:val="2C2D2E"/>
                <w:sz w:val="20"/>
              </w:rPr>
              <w:t>461,4</w:t>
            </w:r>
          </w:p>
        </w:tc>
      </w:tr>
      <w:tr>
        <w:trPr>
          <w:trHeight w:hRule="atLeast" w:val="675"/>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9F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A0050000">
            <w:pPr>
              <w:spacing w:after="0" w:line="240" w:lineRule="auto"/>
              <w:ind/>
              <w:jc w:val="center"/>
              <w:rPr>
                <w:color w:val="2C2D2E"/>
                <w:sz w:val="20"/>
              </w:rPr>
            </w:pPr>
            <w:r>
              <w:rPr>
                <w:color w:val="2C2D2E"/>
                <w:sz w:val="20"/>
              </w:rPr>
              <w:t xml:space="preserve">Учреждение социального </w:t>
            </w:r>
            <w:r>
              <w:rPr>
                <w:color w:val="2C2D2E"/>
                <w:sz w:val="20"/>
              </w:rPr>
              <w:t>обслуживания населения</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A1050000">
            <w:pPr>
              <w:spacing w:after="0" w:line="240" w:lineRule="auto"/>
              <w:ind/>
              <w:jc w:val="center"/>
              <w:rPr>
                <w:color w:val="2C2D2E"/>
                <w:sz w:val="20"/>
              </w:rPr>
            </w:pPr>
            <w:r>
              <w:rPr>
                <w:color w:val="2C2D2E"/>
                <w:sz w:val="20"/>
              </w:rPr>
              <w:t>МБУ КР "Центр социального обслуживания граждан пожилого возраста и инвалидов"</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A2050000">
            <w:pPr>
              <w:spacing w:after="0" w:line="240" w:lineRule="auto"/>
              <w:ind/>
              <w:jc w:val="center"/>
              <w:rPr>
                <w:color w:val="2C2D2E"/>
                <w:sz w:val="20"/>
              </w:rPr>
            </w:pPr>
            <w:r>
              <w:rPr>
                <w:color w:val="2C2D2E"/>
                <w:sz w:val="20"/>
              </w:rPr>
              <w:t>с. Куйбышево, ул. Цветаева, 31</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A3050000">
            <w:pPr>
              <w:spacing w:after="0" w:line="240" w:lineRule="auto"/>
              <w:ind/>
              <w:jc w:val="center"/>
              <w:rPr>
                <w:color w:val="2C2D2E"/>
                <w:sz w:val="20"/>
              </w:rPr>
            </w:pPr>
            <w:r>
              <w:rPr>
                <w:color w:val="2C2D2E"/>
                <w:sz w:val="20"/>
              </w:rPr>
              <w:t>1204,0</w:t>
            </w:r>
          </w:p>
        </w:tc>
      </w:tr>
      <w:tr>
        <w:trPr>
          <w:trHeight w:hRule="atLeast" w:val="474"/>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A4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A5050000">
            <w:pPr>
              <w:spacing w:after="0" w:line="240" w:lineRule="auto"/>
              <w:ind/>
              <w:jc w:val="center"/>
              <w:rPr>
                <w:color w:val="2C2D2E"/>
                <w:sz w:val="20"/>
              </w:rPr>
            </w:pPr>
            <w:r>
              <w:rPr>
                <w:color w:val="2C2D2E"/>
                <w:sz w:val="20"/>
              </w:rPr>
              <w:t>Административное здание</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A6050000">
            <w:pPr>
              <w:spacing w:after="0" w:line="240" w:lineRule="auto"/>
              <w:ind/>
              <w:jc w:val="center"/>
              <w:rPr>
                <w:color w:val="2C2D2E"/>
                <w:sz w:val="20"/>
              </w:rPr>
            </w:pPr>
            <w:r>
              <w:rPr>
                <w:color w:val="2C2D2E"/>
                <w:sz w:val="20"/>
              </w:rPr>
              <w:t>Администрации Куйбышевского района</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A7050000">
            <w:pPr>
              <w:spacing w:after="0" w:line="240" w:lineRule="auto"/>
              <w:ind/>
              <w:jc w:val="center"/>
              <w:rPr>
                <w:color w:val="2C2D2E"/>
                <w:sz w:val="20"/>
              </w:rPr>
            </w:pPr>
            <w:r>
              <w:rPr>
                <w:color w:val="2C2D2E"/>
                <w:sz w:val="20"/>
              </w:rPr>
              <w:t>с. Куйбышево, ул. Куйбышевская, 24</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A8050000">
            <w:pPr>
              <w:spacing w:after="0" w:line="240" w:lineRule="auto"/>
              <w:ind/>
              <w:jc w:val="center"/>
              <w:rPr>
                <w:color w:val="2C2D2E"/>
                <w:sz w:val="20"/>
              </w:rPr>
            </w:pPr>
            <w:r>
              <w:rPr>
                <w:color w:val="2C2D2E"/>
                <w:sz w:val="20"/>
              </w:rPr>
              <w:t>1961,8</w:t>
            </w:r>
          </w:p>
        </w:tc>
      </w:tr>
      <w:tr>
        <w:trPr>
          <w:trHeight w:hRule="atLeast" w:val="675"/>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A9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AA050000">
            <w:pPr>
              <w:spacing w:after="0" w:line="240" w:lineRule="auto"/>
              <w:ind/>
              <w:jc w:val="center"/>
              <w:rPr>
                <w:color w:val="2C2D2E"/>
                <w:sz w:val="20"/>
              </w:rPr>
            </w:pPr>
            <w:r>
              <w:rPr>
                <w:color w:val="2C2D2E"/>
                <w:sz w:val="20"/>
              </w:rPr>
              <w:t>Административное здание</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AB050000">
            <w:pPr>
              <w:spacing w:after="0" w:line="240" w:lineRule="auto"/>
              <w:ind/>
              <w:jc w:val="center"/>
              <w:rPr>
                <w:color w:val="2C2D2E"/>
                <w:sz w:val="20"/>
              </w:rPr>
            </w:pPr>
            <w:r>
              <w:rPr>
                <w:color w:val="2C2D2E"/>
                <w:sz w:val="20"/>
              </w:rPr>
              <w:t>Администрации Куйбышевского района</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AC050000">
            <w:pPr>
              <w:spacing w:after="0" w:line="240" w:lineRule="auto"/>
              <w:ind/>
              <w:jc w:val="center"/>
              <w:rPr>
                <w:color w:val="2C2D2E"/>
                <w:sz w:val="20"/>
              </w:rPr>
            </w:pPr>
            <w:r>
              <w:rPr>
                <w:color w:val="2C2D2E"/>
                <w:sz w:val="20"/>
              </w:rPr>
              <w:t>с. Куйбышево, ул. Куйбышевская, 20</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AD050000">
            <w:pPr>
              <w:spacing w:after="0" w:line="240" w:lineRule="auto"/>
              <w:ind/>
              <w:jc w:val="center"/>
              <w:rPr>
                <w:color w:val="2C2D2E"/>
                <w:sz w:val="20"/>
              </w:rPr>
            </w:pPr>
            <w:r>
              <w:rPr>
                <w:color w:val="2C2D2E"/>
                <w:sz w:val="20"/>
              </w:rPr>
              <w:t>194,2</w:t>
            </w:r>
          </w:p>
        </w:tc>
      </w:tr>
      <w:tr>
        <w:trPr>
          <w:trHeight w:hRule="atLeast" w:val="486"/>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AE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AF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B0050000">
            <w:pPr>
              <w:spacing w:after="0" w:line="240" w:lineRule="auto"/>
              <w:ind/>
              <w:jc w:val="center"/>
              <w:rPr>
                <w:color w:val="2C2D2E"/>
                <w:sz w:val="20"/>
              </w:rPr>
            </w:pPr>
            <w:r>
              <w:rPr>
                <w:color w:val="2C2D2E"/>
                <w:sz w:val="20"/>
              </w:rPr>
              <w:t>ГБУ РО "ЦРБ" (стационар)</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B1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B2050000">
            <w:pPr>
              <w:spacing w:after="0" w:line="240" w:lineRule="auto"/>
              <w:ind/>
              <w:jc w:val="center"/>
              <w:rPr>
                <w:color w:val="2C2D2E"/>
                <w:sz w:val="20"/>
              </w:rPr>
            </w:pPr>
            <w:r>
              <w:rPr>
                <w:color w:val="2C2D2E"/>
                <w:sz w:val="20"/>
              </w:rPr>
              <w:t>913,6</w:t>
            </w:r>
          </w:p>
        </w:tc>
      </w:tr>
      <w:tr>
        <w:trPr>
          <w:trHeight w:hRule="atLeast" w:val="436"/>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B3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B4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B5050000">
            <w:pPr>
              <w:spacing w:after="0" w:line="240" w:lineRule="auto"/>
              <w:ind/>
              <w:jc w:val="center"/>
              <w:rPr>
                <w:color w:val="2C2D2E"/>
                <w:sz w:val="20"/>
              </w:rPr>
            </w:pPr>
            <w:r>
              <w:rPr>
                <w:color w:val="2C2D2E"/>
                <w:sz w:val="20"/>
              </w:rPr>
              <w:t>ГБУ РО "ЦРБ" (поликлиника)</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B6050000">
            <w:pPr>
              <w:spacing w:after="0" w:line="240" w:lineRule="auto"/>
              <w:ind/>
              <w:jc w:val="center"/>
              <w:rPr>
                <w:color w:val="2C2D2E"/>
                <w:sz w:val="20"/>
              </w:rPr>
            </w:pPr>
            <w:r>
              <w:rPr>
                <w:color w:val="2C2D2E"/>
                <w:sz w:val="20"/>
              </w:rPr>
              <w:t xml:space="preserve">с. </w:t>
            </w:r>
            <w:r>
              <w:rPr>
                <w:color w:val="2C2D2E"/>
                <w:sz w:val="20"/>
              </w:rPr>
              <w:t>Куйбышево, ул. Миусская, 3</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B7050000">
            <w:pPr>
              <w:spacing w:after="0" w:line="240" w:lineRule="auto"/>
              <w:ind/>
              <w:jc w:val="center"/>
              <w:rPr>
                <w:color w:val="2C2D2E"/>
                <w:sz w:val="20"/>
              </w:rPr>
            </w:pPr>
            <w:r>
              <w:rPr>
                <w:color w:val="2C2D2E"/>
                <w:sz w:val="20"/>
              </w:rPr>
              <w:t>463,2</w:t>
            </w:r>
          </w:p>
        </w:tc>
      </w:tr>
      <w:tr>
        <w:trPr>
          <w:trHeight w:hRule="atLeast" w:val="402"/>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B8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B9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BA050000">
            <w:pPr>
              <w:spacing w:after="0" w:line="240" w:lineRule="auto"/>
              <w:ind/>
              <w:jc w:val="center"/>
              <w:rPr>
                <w:color w:val="2C2D2E"/>
                <w:sz w:val="20"/>
              </w:rPr>
            </w:pPr>
            <w:r>
              <w:rPr>
                <w:color w:val="2C2D2E"/>
                <w:sz w:val="20"/>
              </w:rPr>
              <w:t>ГБУ РО "ЦРБ" (административный корпус)</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BB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BC050000">
            <w:pPr>
              <w:spacing w:after="0" w:line="240" w:lineRule="auto"/>
              <w:ind/>
              <w:jc w:val="center"/>
              <w:rPr>
                <w:color w:val="2C2D2E"/>
                <w:sz w:val="20"/>
              </w:rPr>
            </w:pPr>
            <w:r>
              <w:rPr>
                <w:color w:val="2C2D2E"/>
                <w:sz w:val="20"/>
              </w:rPr>
              <w:t>232,7</w:t>
            </w:r>
          </w:p>
        </w:tc>
      </w:tr>
      <w:tr>
        <w:trPr>
          <w:trHeight w:hRule="atLeast" w:val="551"/>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BD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BE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BF050000">
            <w:pPr>
              <w:spacing w:after="0" w:line="240" w:lineRule="auto"/>
              <w:ind/>
              <w:jc w:val="center"/>
              <w:rPr>
                <w:color w:val="2C2D2E"/>
                <w:sz w:val="20"/>
              </w:rPr>
            </w:pPr>
            <w:r>
              <w:rPr>
                <w:color w:val="2C2D2E"/>
                <w:sz w:val="20"/>
              </w:rPr>
              <w:t>ГБУ РО "ЦРБ" (административно-хозяйственный корпус)</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C0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C1050000">
            <w:pPr>
              <w:spacing w:after="0" w:line="240" w:lineRule="auto"/>
              <w:ind/>
              <w:jc w:val="center"/>
              <w:rPr>
                <w:color w:val="2C2D2E"/>
                <w:sz w:val="20"/>
              </w:rPr>
            </w:pPr>
            <w:r>
              <w:rPr>
                <w:color w:val="2C2D2E"/>
                <w:sz w:val="20"/>
              </w:rPr>
              <w:t>155,1</w:t>
            </w:r>
          </w:p>
        </w:tc>
      </w:tr>
      <w:tr>
        <w:trPr>
          <w:trHeight w:hRule="atLeast" w:val="499"/>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C2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C3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C4050000">
            <w:pPr>
              <w:spacing w:after="0" w:line="240" w:lineRule="auto"/>
              <w:ind/>
              <w:jc w:val="center"/>
              <w:rPr>
                <w:color w:val="2C2D2E"/>
                <w:sz w:val="20"/>
              </w:rPr>
            </w:pPr>
            <w:r>
              <w:rPr>
                <w:color w:val="2C2D2E"/>
                <w:sz w:val="20"/>
              </w:rPr>
              <w:t>ГБУ РО "ЦРБ" (кухня)</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C5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C6050000">
            <w:pPr>
              <w:spacing w:after="0" w:line="240" w:lineRule="auto"/>
              <w:ind/>
              <w:jc w:val="center"/>
              <w:rPr>
                <w:color w:val="2C2D2E"/>
                <w:sz w:val="20"/>
              </w:rPr>
            </w:pPr>
            <w:r>
              <w:rPr>
                <w:color w:val="2C2D2E"/>
                <w:sz w:val="20"/>
              </w:rPr>
              <w:t>138,8</w:t>
            </w:r>
          </w:p>
        </w:tc>
      </w:tr>
      <w:tr>
        <w:trPr>
          <w:trHeight w:hRule="atLeast" w:val="509"/>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C7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C8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C9050000">
            <w:pPr>
              <w:spacing w:after="0" w:line="240" w:lineRule="auto"/>
              <w:ind/>
              <w:jc w:val="center"/>
              <w:rPr>
                <w:color w:val="2C2D2E"/>
                <w:sz w:val="20"/>
              </w:rPr>
            </w:pPr>
            <w:r>
              <w:rPr>
                <w:color w:val="2C2D2E"/>
                <w:sz w:val="20"/>
              </w:rPr>
              <w:t>ГБУ РО "ЦРБ" (гараж)</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CA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CB050000">
            <w:pPr>
              <w:spacing w:after="0" w:line="240" w:lineRule="auto"/>
              <w:ind/>
              <w:jc w:val="center"/>
              <w:rPr>
                <w:color w:val="2C2D2E"/>
                <w:sz w:val="20"/>
              </w:rPr>
            </w:pPr>
            <w:r>
              <w:rPr>
                <w:color w:val="2C2D2E"/>
                <w:sz w:val="20"/>
              </w:rPr>
              <w:t>137,6</w:t>
            </w:r>
          </w:p>
        </w:tc>
      </w:tr>
      <w:tr>
        <w:trPr>
          <w:trHeight w:hRule="atLeast" w:val="599"/>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CC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CD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CE050000">
            <w:pPr>
              <w:spacing w:after="0" w:line="240" w:lineRule="auto"/>
              <w:ind/>
              <w:jc w:val="center"/>
              <w:rPr>
                <w:color w:val="2C2D2E"/>
                <w:sz w:val="20"/>
              </w:rPr>
            </w:pPr>
            <w:r>
              <w:rPr>
                <w:color w:val="2C2D2E"/>
                <w:sz w:val="20"/>
              </w:rPr>
              <w:t>ГБУ РО "ЦРБ" (флюрографический кабинет)</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CF050000">
            <w:pPr>
              <w:spacing w:after="0" w:line="240" w:lineRule="auto"/>
              <w:ind/>
              <w:jc w:val="center"/>
              <w:rPr>
                <w:color w:val="2C2D2E"/>
                <w:sz w:val="20"/>
              </w:rPr>
            </w:pPr>
            <w:r>
              <w:rPr>
                <w:color w:val="2C2D2E"/>
                <w:sz w:val="20"/>
              </w:rPr>
              <w:t>с. Куйбышево, ул.</w:t>
            </w:r>
            <w:r>
              <w:rPr>
                <w:color w:val="2C2D2E"/>
                <w:sz w:val="20"/>
              </w:rPr>
              <w:t xml:space="preserve"> Миусская, 3</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D0050000">
            <w:pPr>
              <w:spacing w:after="0" w:line="240" w:lineRule="auto"/>
              <w:ind/>
              <w:jc w:val="center"/>
              <w:rPr>
                <w:color w:val="2C2D2E"/>
                <w:sz w:val="20"/>
              </w:rPr>
            </w:pPr>
            <w:r>
              <w:rPr>
                <w:color w:val="2C2D2E"/>
                <w:sz w:val="20"/>
              </w:rPr>
              <w:t>47,6</w:t>
            </w:r>
          </w:p>
        </w:tc>
      </w:tr>
      <w:tr>
        <w:trPr>
          <w:trHeight w:hRule="atLeast" w:val="551"/>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D1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D2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D3050000">
            <w:pPr>
              <w:spacing w:after="0" w:line="240" w:lineRule="auto"/>
              <w:ind/>
              <w:jc w:val="center"/>
              <w:rPr>
                <w:color w:val="2C2D2E"/>
                <w:sz w:val="20"/>
              </w:rPr>
            </w:pPr>
            <w:r>
              <w:rPr>
                <w:color w:val="2C2D2E"/>
                <w:sz w:val="20"/>
              </w:rPr>
              <w:t>ГБУ РО "ЦРБ" (лаборатория)</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D4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D5050000">
            <w:pPr>
              <w:spacing w:after="0" w:line="240" w:lineRule="auto"/>
              <w:ind/>
              <w:jc w:val="center"/>
              <w:rPr>
                <w:color w:val="2C2D2E"/>
                <w:sz w:val="20"/>
              </w:rPr>
            </w:pPr>
            <w:r>
              <w:rPr>
                <w:color w:val="2C2D2E"/>
                <w:sz w:val="20"/>
              </w:rPr>
              <w:t>194,2</w:t>
            </w:r>
          </w:p>
        </w:tc>
      </w:tr>
      <w:tr>
        <w:trPr>
          <w:trHeight w:hRule="atLeast" w:val="559"/>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D6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D7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D8050000">
            <w:pPr>
              <w:spacing w:after="0" w:line="240" w:lineRule="auto"/>
              <w:ind/>
              <w:jc w:val="center"/>
              <w:rPr>
                <w:color w:val="2C2D2E"/>
                <w:sz w:val="20"/>
              </w:rPr>
            </w:pPr>
            <w:r>
              <w:rPr>
                <w:color w:val="2C2D2E"/>
                <w:sz w:val="20"/>
              </w:rPr>
              <w:t>ГБУ РО "ЦРБ" (роддом)</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D9050000">
            <w:pPr>
              <w:spacing w:after="0" w:line="240" w:lineRule="auto"/>
              <w:ind/>
              <w:jc w:val="center"/>
              <w:rPr>
                <w:color w:val="2C2D2E"/>
                <w:sz w:val="20"/>
              </w:rPr>
            </w:pPr>
            <w:r>
              <w:rPr>
                <w:color w:val="2C2D2E"/>
                <w:sz w:val="20"/>
              </w:rPr>
              <w:t>с. Куйбышево, ул. Миусская, 3</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DA050000">
            <w:pPr>
              <w:spacing w:after="0" w:line="240" w:lineRule="auto"/>
              <w:ind/>
              <w:jc w:val="center"/>
              <w:rPr>
                <w:color w:val="2C2D2E"/>
                <w:sz w:val="20"/>
              </w:rPr>
            </w:pPr>
            <w:r>
              <w:rPr>
                <w:color w:val="2C2D2E"/>
                <w:sz w:val="20"/>
              </w:rPr>
              <w:t>570,8</w:t>
            </w:r>
          </w:p>
        </w:tc>
      </w:tr>
      <w:tr>
        <w:trPr>
          <w:trHeight w:hRule="atLeast" w:val="553"/>
        </w:trPr>
        <w:tc>
          <w:tcPr>
            <w:tcW w:type="dxa" w:w="567"/>
            <w:tcBorders>
              <w:top w:sz="4" w:val="nil"/>
              <w:left w:color="000000" w:sz="4" w:val="single"/>
              <w:bottom w:color="000000" w:sz="4" w:val="single"/>
              <w:right w:color="000000" w:sz="4" w:val="single"/>
            </w:tcBorders>
            <w:shd w:fill="FFFFFF" w:val="clear"/>
            <w:tcMar>
              <w:left w:type="dxa" w:w="0"/>
              <w:right w:type="dxa" w:w="0"/>
            </w:tcMar>
            <w:vAlign w:val="center"/>
          </w:tcPr>
          <w:p w14:paraId="DB050000">
            <w:pPr>
              <w:pStyle w:val="Style_6"/>
              <w:numPr>
                <w:ilvl w:val="0"/>
                <w:numId w:val="1"/>
              </w:numPr>
              <w:ind/>
              <w:contextualSpacing w:val="1"/>
              <w:jc w:val="center"/>
              <w:rPr>
                <w:color w:val="2C2D2E"/>
                <w:sz w:val="20"/>
              </w:rPr>
            </w:pPr>
          </w:p>
        </w:tc>
        <w:tc>
          <w:tcPr>
            <w:tcW w:type="dxa" w:w="1700"/>
            <w:tcBorders>
              <w:top w:sz="4" w:val="nil"/>
              <w:left w:color="000000" w:sz="4" w:val="single"/>
              <w:bottom w:color="000000" w:sz="4" w:val="single"/>
              <w:right w:color="000000" w:sz="4" w:val="single"/>
            </w:tcBorders>
            <w:shd w:fill="FFFFFF" w:val="clear"/>
            <w:tcMar>
              <w:left w:type="dxa" w:w="0"/>
              <w:right w:type="dxa" w:w="0"/>
            </w:tcMar>
            <w:vAlign w:val="center"/>
          </w:tcPr>
          <w:p w14:paraId="DC050000">
            <w:pPr>
              <w:spacing w:after="0" w:line="240" w:lineRule="auto"/>
              <w:ind/>
              <w:jc w:val="center"/>
              <w:rPr>
                <w:color w:val="2C2D2E"/>
                <w:sz w:val="20"/>
              </w:rPr>
            </w:pPr>
            <w:r>
              <w:rPr>
                <w:color w:val="2C2D2E"/>
                <w:sz w:val="20"/>
              </w:rPr>
              <w:t>Учреждение здравоохранения</w:t>
            </w:r>
          </w:p>
        </w:tc>
        <w:tc>
          <w:tcPr>
            <w:tcW w:type="dxa" w:w="3967"/>
            <w:tcBorders>
              <w:top w:sz="4" w:val="nil"/>
              <w:left w:color="000000" w:sz="4" w:val="single"/>
              <w:bottom w:color="000000" w:sz="4" w:val="single"/>
              <w:right w:color="000000" w:sz="4" w:val="single"/>
            </w:tcBorders>
            <w:shd w:fill="FFFFFF" w:val="clear"/>
            <w:tcMar>
              <w:left w:type="dxa" w:w="0"/>
              <w:right w:type="dxa" w:w="0"/>
            </w:tcMar>
            <w:vAlign w:val="center"/>
          </w:tcPr>
          <w:p w14:paraId="DD050000">
            <w:pPr>
              <w:spacing w:after="0" w:line="240" w:lineRule="auto"/>
              <w:ind/>
              <w:jc w:val="center"/>
              <w:rPr>
                <w:color w:val="2C2D2E"/>
                <w:sz w:val="20"/>
              </w:rPr>
            </w:pPr>
            <w:r>
              <w:rPr>
                <w:color w:val="2C2D2E"/>
                <w:sz w:val="20"/>
              </w:rPr>
              <w:t>ГБУ РО "ЦРБ" (прачечная)</w:t>
            </w:r>
          </w:p>
        </w:tc>
        <w:tc>
          <w:tcPr>
            <w:tcW w:type="dxa" w:w="2126"/>
            <w:tcBorders>
              <w:top w:sz="4" w:val="nil"/>
              <w:left w:color="000000" w:sz="4" w:val="single"/>
              <w:bottom w:color="000000" w:sz="4" w:val="single"/>
              <w:right w:color="000000" w:sz="4" w:val="single"/>
            </w:tcBorders>
            <w:shd w:fill="FFFFFF" w:val="clear"/>
            <w:tcMar>
              <w:left w:type="dxa" w:w="0"/>
              <w:right w:type="dxa" w:w="0"/>
            </w:tcMar>
            <w:vAlign w:val="center"/>
          </w:tcPr>
          <w:p w14:paraId="DE050000">
            <w:pPr>
              <w:spacing w:after="0" w:line="240" w:lineRule="auto"/>
              <w:ind/>
              <w:jc w:val="center"/>
              <w:rPr>
                <w:color w:val="2C2D2E"/>
                <w:sz w:val="20"/>
              </w:rPr>
            </w:pPr>
            <w:r>
              <w:rPr>
                <w:color w:val="2C2D2E"/>
                <w:sz w:val="20"/>
              </w:rPr>
              <w:t xml:space="preserve">с. </w:t>
            </w:r>
            <w:r>
              <w:rPr>
                <w:color w:val="2C2D2E"/>
                <w:sz w:val="20"/>
              </w:rPr>
              <w:t>Куйбышево, ул. Миусская, 3</w:t>
            </w:r>
          </w:p>
        </w:tc>
        <w:tc>
          <w:tcPr>
            <w:tcW w:type="dxa" w:w="1274"/>
            <w:tcBorders>
              <w:top w:sz="4" w:val="nil"/>
              <w:left w:color="000000" w:sz="4" w:val="single"/>
              <w:bottom w:color="000000" w:sz="4" w:val="single"/>
              <w:right w:color="000000" w:sz="4" w:val="single"/>
            </w:tcBorders>
            <w:shd w:fill="FFFFFF" w:val="clear"/>
            <w:tcMar>
              <w:left w:type="dxa" w:w="0"/>
              <w:right w:type="dxa" w:w="0"/>
            </w:tcMar>
            <w:vAlign w:val="center"/>
          </w:tcPr>
          <w:p w14:paraId="DF050000">
            <w:pPr>
              <w:spacing w:after="0" w:line="240" w:lineRule="auto"/>
              <w:ind/>
              <w:jc w:val="center"/>
              <w:rPr>
                <w:color w:val="2C2D2E"/>
                <w:sz w:val="20"/>
              </w:rPr>
            </w:pPr>
            <w:r>
              <w:rPr>
                <w:color w:val="2C2D2E"/>
                <w:sz w:val="20"/>
              </w:rPr>
              <w:t>265,1</w:t>
            </w:r>
          </w:p>
        </w:tc>
      </w:tr>
    </w:tbl>
    <w:p w14:paraId="E0050000">
      <w:pPr>
        <w:spacing w:before="200" w:line="240" w:lineRule="auto"/>
        <w:ind w:firstLine="709" w:left="0"/>
        <w:jc w:val="both"/>
        <w:rPr>
          <w:b w:val="1"/>
          <w:sz w:val="28"/>
        </w:rPr>
      </w:pPr>
      <w:r>
        <w:rPr>
          <w:b w:val="1"/>
          <w:sz w:val="28"/>
        </w:rPr>
        <w:t xml:space="preserve">РАЗДЕЛ 11. РЕШЕНИЯ О РАСПРЕДЕЛЕНИИ ТЕПЛОВОЙ НАГРУЗКИ МЕЖДУ ИСТОЧНИКАМИ ТЕПЛОВОЙ ЭНЕРГИИКУЙБЫШЕВСКОГО СЕЛЬСКОГО ПОСЕЛЕНИЯ КУЙБЫШЕВСКОГО РАЙОНА </w:t>
      </w:r>
    </w:p>
    <w:p w14:paraId="E1050000">
      <w:pPr>
        <w:spacing w:before="200" w:line="240" w:lineRule="auto"/>
        <w:ind w:firstLine="709" w:left="0"/>
        <w:jc w:val="both"/>
        <w:rPr>
          <w:sz w:val="28"/>
        </w:rPr>
      </w:pPr>
      <w:r>
        <w:rPr>
          <w:sz w:val="28"/>
        </w:rPr>
        <w:t xml:space="preserve">Перераспределение объёмов тепловой нагрузки между источниками тепловой энергии на 2024 год актуализации не предусматривается. </w:t>
      </w:r>
    </w:p>
    <w:p w14:paraId="E2050000">
      <w:pPr>
        <w:spacing w:before="200" w:line="240" w:lineRule="auto"/>
        <w:ind w:firstLine="709" w:left="0"/>
        <w:jc w:val="both"/>
        <w:rPr>
          <w:b w:val="1"/>
          <w:sz w:val="28"/>
        </w:rPr>
      </w:pPr>
      <w:r>
        <w:rPr>
          <w:b w:val="1"/>
          <w:sz w:val="28"/>
        </w:rPr>
        <w:t>РАЗДЕЛ 12. РЕШЕНИЯ ПО БЕСХОЗЯЙНЫМ ТЕПЛОВЫМ СЕТЯМ КУЙБЫШЕВСКОГО СЕЛЬСКОГО ПОСЕЛЕНИЯ КУЙБЫШЕВСКОГО РАЙОНА</w:t>
      </w:r>
    </w:p>
    <w:p w14:paraId="E3050000">
      <w:pPr>
        <w:spacing w:before="200" w:line="240" w:lineRule="auto"/>
        <w:ind w:firstLine="709" w:left="0"/>
        <w:jc w:val="both"/>
        <w:rPr>
          <w:b w:val="1"/>
          <w:sz w:val="28"/>
        </w:rPr>
      </w:pPr>
      <w:r>
        <w:rPr>
          <w:sz w:val="28"/>
        </w:rPr>
        <w:t>В случае выявления бесхоз</w:t>
      </w:r>
      <w:r>
        <w:rPr>
          <w:sz w:val="28"/>
        </w:rPr>
        <w:t>яйных тепловых сетей (тепловых сетей, не имеющих эксплуатирующей организации), Администрация Куйбышевского сельского поселения, до признания права собственности на указанные бесхозяйные тепловые сети, в течение 30-ти дней с даты их выявления обязана опреде</w:t>
      </w:r>
      <w:r>
        <w:rPr>
          <w:sz w:val="28"/>
        </w:rPr>
        <w:t>лить теплосетевую организацию, тепловые сети которой непосредственно соединены с указанными бесхозяйными тепловыми сетями, или ЕТО, в которую входят указанные бесхозяйные тепловые сети, и которая осуществляет содержание и обслуживание указанных бесхозяйных</w:t>
      </w:r>
      <w:r>
        <w:rPr>
          <w:sz w:val="28"/>
        </w:rPr>
        <w:t xml:space="preserve"> тепловых сетей. На территории Куйбышевского сельского поселения не выявлены бесхозяйные тепловые сети и объекты теплового хозяйства.</w:t>
      </w:r>
    </w:p>
    <w:p w14:paraId="E4050000">
      <w:pPr>
        <w:spacing w:before="200" w:line="240" w:lineRule="auto"/>
        <w:ind w:firstLine="709" w:left="0"/>
        <w:jc w:val="both"/>
        <w:rPr>
          <w:b w:val="1"/>
          <w:sz w:val="28"/>
        </w:rPr>
      </w:pPr>
      <w:r>
        <w:rPr>
          <w:b w:val="1"/>
          <w:sz w:val="28"/>
        </w:rPr>
        <w:t>РАЗДЕЛ 13. СИНХРОНИЗАЦИЯ СХЕМЫ ТЕПЛОСНАБЖЕНИЯ СО СХЕМОЙ ГАЗОСНАБЖЕНИЯ И ГАЗИФИКАЦИИ РОСТОВСКОЙ ОБЛАСТИ И КУЙБЫШЕВСКОГО СЕЛ</w:t>
      </w:r>
      <w:r>
        <w:rPr>
          <w:b w:val="1"/>
          <w:sz w:val="28"/>
        </w:rPr>
        <w:t>ЬСКОГО ПОСЕЛЕНИЯ КУЙБЫШЕВСКОГО РАЙОНА, СХЕМОЙ И ПРОГРАММОЙ РАЗВИТИЯ ЭЛЕКТРОЭНЕРГЕТИКИ, А ТАКЖЕ СО СХЕМОЙ ВОДОСНАБЖЕНИЯ И ВОДООТВЕДЕНИЯ КУЙБЫШЕВСКОГО СЕЛЬСКОГО ПОСЕЛЕНИЯ КУЙБЫШЕВСКОГО РАЙОНА</w:t>
      </w:r>
    </w:p>
    <w:p w14:paraId="E5050000">
      <w:pPr>
        <w:spacing w:before="200" w:line="240" w:lineRule="auto"/>
        <w:ind w:firstLine="709" w:left="0"/>
        <w:jc w:val="both"/>
        <w:rPr>
          <w:b w:val="1"/>
          <w:sz w:val="28"/>
        </w:rPr>
      </w:pPr>
      <w:r>
        <w:rPr>
          <w:b w:val="1"/>
          <w:sz w:val="28"/>
        </w:rPr>
        <w:t>13.1 Описание решений (на основе утверждённой региональной програм</w:t>
      </w:r>
      <w:r>
        <w:rPr>
          <w:b w:val="1"/>
          <w:sz w:val="28"/>
        </w:rPr>
        <w:t>мы «Газификация жилищно-коммунального хозяйства, промышленных и иных организаций Ростовской области на 2021-2030 годы») о развитии соответствующей системы газоснабжения в части обеспечения топливом источников тепловой энергии</w:t>
      </w:r>
    </w:p>
    <w:p w14:paraId="E6050000">
      <w:pPr>
        <w:spacing w:before="200" w:line="240" w:lineRule="auto"/>
        <w:ind w:firstLine="709" w:left="0"/>
        <w:jc w:val="both"/>
        <w:rPr>
          <w:sz w:val="28"/>
        </w:rPr>
      </w:pPr>
      <w:r>
        <w:rPr>
          <w:sz w:val="28"/>
        </w:rPr>
        <w:t>Распоряжением Губернатора Рост</w:t>
      </w:r>
      <w:r>
        <w:rPr>
          <w:sz w:val="28"/>
        </w:rPr>
        <w:t>овской области от 23.12.2021 г. № 334, с изменениями от 28.12.2022 г. «Об утверждении региональной программы газификации жилищно-коммунального хозяйства, промышленных и иных организаций Ростовской области на 2021 - 2030 годы» решений о развитии соответству</w:t>
      </w:r>
      <w:r>
        <w:rPr>
          <w:sz w:val="28"/>
        </w:rPr>
        <w:t xml:space="preserve">ющей системы газоснабжения в части обеспечения топливом источников тепловой энергии на территории Куйбышевского сельского поселения не предусматривается. </w:t>
      </w:r>
    </w:p>
    <w:p w14:paraId="E7050000">
      <w:pPr>
        <w:spacing w:before="200" w:line="240" w:lineRule="auto"/>
        <w:ind w:firstLine="709" w:left="0"/>
        <w:jc w:val="both"/>
        <w:rPr>
          <w:b w:val="1"/>
          <w:sz w:val="28"/>
        </w:rPr>
      </w:pPr>
      <w:r>
        <w:rPr>
          <w:b w:val="1"/>
          <w:sz w:val="28"/>
        </w:rPr>
        <w:t xml:space="preserve">13.2 Описание проблем организации газоснабжения, источников тепловой энергии </w:t>
      </w:r>
    </w:p>
    <w:p w14:paraId="E8050000">
      <w:pPr>
        <w:spacing w:before="200" w:line="240" w:lineRule="auto"/>
        <w:ind w:firstLine="709" w:left="0"/>
        <w:jc w:val="both"/>
        <w:rPr>
          <w:sz w:val="28"/>
        </w:rPr>
      </w:pPr>
      <w:r>
        <w:rPr>
          <w:sz w:val="28"/>
        </w:rPr>
        <w:t>На территории Куйбышевс</w:t>
      </w:r>
      <w:r>
        <w:rPr>
          <w:sz w:val="28"/>
        </w:rPr>
        <w:t>кого сельского поселения, проблемы организации газоснабжения источников тепловой энергии, отсутствуют.</w:t>
      </w:r>
    </w:p>
    <w:p w14:paraId="E9050000">
      <w:pPr>
        <w:spacing w:before="200" w:line="240" w:lineRule="auto"/>
        <w:ind w:firstLine="709" w:left="0"/>
        <w:jc w:val="both"/>
        <w:rPr>
          <w:b w:val="1"/>
          <w:sz w:val="28"/>
        </w:rPr>
      </w:pPr>
      <w:r>
        <w:rPr>
          <w:b w:val="1"/>
          <w:sz w:val="28"/>
        </w:rPr>
        <w:t>13.3 Предложения по корректировке утверждённой региональной программы «Газификация жилищно-коммунального хозяйства, промышленных и иных организаций Росто</w:t>
      </w:r>
      <w:r>
        <w:rPr>
          <w:b w:val="1"/>
          <w:sz w:val="28"/>
        </w:rPr>
        <w:t xml:space="preserve">вской области на 2021-2030 годы»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
    <w:p w14:paraId="EA050000">
      <w:pPr>
        <w:spacing w:before="200" w:line="240" w:lineRule="auto"/>
        <w:ind w:firstLine="709" w:left="0"/>
        <w:jc w:val="both"/>
        <w:rPr>
          <w:sz w:val="28"/>
        </w:rPr>
      </w:pPr>
      <w:r>
        <w:rPr>
          <w:sz w:val="28"/>
        </w:rPr>
        <w:t xml:space="preserve">Предложения по корректировке утверждённой региональной программы </w:t>
      </w:r>
      <w:r>
        <w:rPr>
          <w:sz w:val="28"/>
        </w:rPr>
        <w:t xml:space="preserve">«Газификация жилищно-коммунального хозяйства, промышленных и иных организаций Ростовской области на 2021-2030 годы» отсутствуют. </w:t>
      </w:r>
    </w:p>
    <w:p w14:paraId="EB050000">
      <w:pPr>
        <w:spacing w:before="200" w:line="240" w:lineRule="auto"/>
        <w:ind w:firstLine="709" w:left="0"/>
        <w:jc w:val="both"/>
        <w:rPr>
          <w:sz w:val="28"/>
        </w:rPr>
      </w:pPr>
      <w:r>
        <w:rPr>
          <w:b w:val="1"/>
          <w:sz w:val="28"/>
        </w:rPr>
        <w:t>13.4 Описание решений (вырабатываемых с учётом положений утверждённой схемы и программы развития Единой энергетической системы</w:t>
      </w:r>
      <w:r>
        <w:rPr>
          <w:b w:val="1"/>
          <w:sz w:val="28"/>
        </w:rPr>
        <w:t xml:space="preserve">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w:t>
      </w:r>
      <w:r>
        <w:rPr>
          <w:b w:val="1"/>
          <w:sz w:val="28"/>
        </w:rPr>
        <w:t>тки электрической и тепловой энергии, в части перспективных балансов тепловой мощности в схемах теплоснабжения</w:t>
      </w:r>
    </w:p>
    <w:p w14:paraId="EC050000">
      <w:pPr>
        <w:spacing w:before="200" w:line="240" w:lineRule="auto"/>
        <w:ind w:firstLine="709" w:left="0"/>
        <w:jc w:val="both"/>
        <w:rPr>
          <w:sz w:val="28"/>
        </w:rPr>
      </w:pPr>
      <w:r>
        <w:rPr>
          <w:sz w:val="28"/>
        </w:rPr>
        <w:t xml:space="preserve">На территории Куйбышевского сельского поселения отсутствуют объекты, функционирующие в режиме комбинированной выработки электрической и тепловой энергии, ввиду этого настоящий подраздел не заполняется. </w:t>
      </w:r>
    </w:p>
    <w:p w14:paraId="ED050000">
      <w:pPr>
        <w:spacing w:before="200" w:line="240" w:lineRule="auto"/>
        <w:ind w:firstLine="709" w:left="0"/>
        <w:jc w:val="both"/>
        <w:rPr>
          <w:sz w:val="28"/>
        </w:rPr>
      </w:pPr>
      <w:r>
        <w:rPr>
          <w:b w:val="1"/>
          <w:sz w:val="28"/>
        </w:rPr>
        <w:t>13.5 Предложения по строительству генерирующих объект</w:t>
      </w:r>
      <w:r>
        <w:rPr>
          <w:b w:val="1"/>
          <w:sz w:val="28"/>
        </w:rPr>
        <w:t>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Ростовской области, схемы и программы развити</w:t>
      </w:r>
      <w:r>
        <w:rPr>
          <w:b w:val="1"/>
          <w:sz w:val="28"/>
        </w:rPr>
        <w:t>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EE050000">
      <w:pPr>
        <w:spacing w:before="200" w:line="240" w:lineRule="auto"/>
        <w:ind w:firstLine="709" w:left="0"/>
        <w:jc w:val="both"/>
        <w:rPr>
          <w:sz w:val="28"/>
        </w:rPr>
      </w:pPr>
      <w:r>
        <w:rPr>
          <w:sz w:val="28"/>
        </w:rPr>
        <w:t>Предложения по строительству генерирующих объектов, функционирующих в режиме комбинированной выработки э</w:t>
      </w:r>
      <w:r>
        <w:rPr>
          <w:sz w:val="28"/>
        </w:rPr>
        <w:t xml:space="preserve">лектрической и тепловой энергии,на территории Куйбышевского сельского поселения отсутствуют. </w:t>
      </w:r>
    </w:p>
    <w:p w14:paraId="EF050000">
      <w:pPr>
        <w:spacing w:before="200" w:line="240" w:lineRule="auto"/>
        <w:ind w:firstLine="709" w:left="0"/>
        <w:jc w:val="both"/>
        <w:rPr>
          <w:b w:val="1"/>
          <w:sz w:val="28"/>
        </w:rPr>
      </w:pPr>
      <w:r>
        <w:rPr>
          <w:b w:val="1"/>
          <w:sz w:val="28"/>
        </w:rPr>
        <w:t>13.6 Описание решений (вырабатываемых с учётом положений утверждённой схемы водоснабжения Куйбышевского сельского поселения Куйбышевского района) о развитии соотв</w:t>
      </w:r>
      <w:r>
        <w:rPr>
          <w:b w:val="1"/>
          <w:sz w:val="28"/>
        </w:rPr>
        <w:t>етствующей системы водоснабжения в части, относящейся к системам теплоснабжения</w:t>
      </w:r>
    </w:p>
    <w:p w14:paraId="F0050000">
      <w:pPr>
        <w:spacing w:before="200" w:line="240" w:lineRule="auto"/>
        <w:ind w:firstLine="709" w:left="0"/>
        <w:jc w:val="both"/>
        <w:rPr>
          <w:sz w:val="28"/>
        </w:rPr>
      </w:pPr>
      <w:r>
        <w:rPr>
          <w:sz w:val="28"/>
        </w:rPr>
        <w:t xml:space="preserve">Согласно актуализированной схеме водоснабжения и водоотведения Куйбышевского сельского поселения, решений о развитии соответствующей системы водоснабжения в части, относящейся </w:t>
      </w:r>
      <w:r>
        <w:rPr>
          <w:sz w:val="28"/>
        </w:rPr>
        <w:t xml:space="preserve">к системам теплоснабжения, не предусмотрено. </w:t>
      </w:r>
    </w:p>
    <w:p w14:paraId="F1050000">
      <w:pPr>
        <w:spacing w:before="200" w:line="240" w:lineRule="auto"/>
        <w:ind w:firstLine="709" w:left="0"/>
        <w:jc w:val="both"/>
        <w:rPr>
          <w:sz w:val="28"/>
        </w:rPr>
      </w:pPr>
      <w:r>
        <w:rPr>
          <w:b w:val="1"/>
          <w:sz w:val="28"/>
        </w:rPr>
        <w:t xml:space="preserve">13.7 Предложения по корректировке утверждённой (разработке) схемы водоснабжения и водоотведения Куйбышевского сельского поселения Куйбышевского района для обеспечения согласованности такой </w:t>
      </w:r>
      <w:r>
        <w:rPr>
          <w:b w:val="1"/>
          <w:sz w:val="28"/>
        </w:rPr>
        <w:t>схемы и указанных в с</w:t>
      </w:r>
      <w:r>
        <w:rPr>
          <w:b w:val="1"/>
          <w:sz w:val="28"/>
        </w:rPr>
        <w:t>хеме теплоснабжения решений о развитии источников тепловой энергии и систем теплоснабжения</w:t>
      </w:r>
    </w:p>
    <w:p w14:paraId="F2050000">
      <w:pPr>
        <w:spacing w:before="200" w:line="240" w:lineRule="auto"/>
        <w:ind w:firstLine="709" w:left="0"/>
        <w:jc w:val="both"/>
        <w:rPr>
          <w:sz w:val="28"/>
        </w:rPr>
      </w:pPr>
      <w:r>
        <w:rPr>
          <w:sz w:val="28"/>
        </w:rPr>
        <w:t>Предложения по корректировке утверждённой (разработке) схемы водоснабжения и водоотведения Куйбышевского сельского поселения для обеспечения согласованности такой сх</w:t>
      </w:r>
      <w:r>
        <w:rPr>
          <w:sz w:val="28"/>
        </w:rPr>
        <w:t xml:space="preserve">емы и указанных в схеме теплоснабжения решений о развитии источников тепловой энергии и систем теплоснабжения отсутствуют. </w:t>
      </w:r>
    </w:p>
    <w:p w14:paraId="F3050000">
      <w:pPr>
        <w:spacing w:before="200" w:line="240" w:lineRule="auto"/>
        <w:ind w:firstLine="709" w:left="0"/>
        <w:jc w:val="both"/>
        <w:rPr>
          <w:b w:val="1"/>
          <w:sz w:val="28"/>
        </w:rPr>
      </w:pPr>
    </w:p>
    <w:p w14:paraId="F4050000">
      <w:pPr>
        <w:spacing w:before="200" w:line="240" w:lineRule="auto"/>
        <w:ind w:firstLine="709" w:left="0"/>
        <w:jc w:val="both"/>
        <w:rPr>
          <w:b w:val="1"/>
          <w:sz w:val="28"/>
        </w:rPr>
      </w:pPr>
      <w:r>
        <w:rPr>
          <w:b w:val="1"/>
          <w:sz w:val="28"/>
        </w:rPr>
        <w:t xml:space="preserve">РАЗДЕЛ 14. ИНДИКАТОРЫ РАЗВИТИЯ СИСТЕМ ТЕПЛОСНАБЖЕНИЯ КУЙБЫШЕВСКОГО СЕЛЬСКОГО ПОСЕЛЕНИЯ КУЙБЫШЕВСКОГО РАЙОНА </w:t>
      </w:r>
    </w:p>
    <w:p w14:paraId="F5050000">
      <w:pPr>
        <w:spacing w:before="200" w:line="240" w:lineRule="auto"/>
        <w:ind/>
        <w:jc w:val="both"/>
        <w:rPr>
          <w:sz w:val="28"/>
        </w:rPr>
      </w:pPr>
      <w:r>
        <w:rPr>
          <w:sz w:val="28"/>
        </w:rPr>
        <w:t xml:space="preserve">Таблица 16 Индикаторы </w:t>
      </w:r>
      <w:r>
        <w:rPr>
          <w:sz w:val="28"/>
        </w:rPr>
        <w:t xml:space="preserve">систем теплоснабжения </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62"/>
        <w:gridCol w:w="701"/>
        <w:gridCol w:w="561"/>
        <w:gridCol w:w="561"/>
        <w:gridCol w:w="700"/>
        <w:gridCol w:w="701"/>
        <w:gridCol w:w="701"/>
        <w:gridCol w:w="701"/>
        <w:gridCol w:w="700"/>
        <w:gridCol w:w="561"/>
        <w:gridCol w:w="561"/>
        <w:gridCol w:w="561"/>
        <w:gridCol w:w="561"/>
      </w:tblGrid>
      <w:tr>
        <w:trPr>
          <w:trHeight w:hRule="atLeast" w:val="792"/>
        </w:trPr>
        <w:tc>
          <w:tcPr>
            <w:tcW w:type="dxa" w:w="1962"/>
            <w:tcBorders>
              <w:top w:color="000000" w:sz="4" w:val="single"/>
              <w:left w:color="000000" w:sz="4" w:val="single"/>
              <w:bottom w:color="000000" w:sz="4" w:val="single"/>
              <w:right w:color="000000" w:sz="4" w:val="single"/>
            </w:tcBorders>
            <w:vAlign w:val="center"/>
          </w:tcPr>
          <w:p w14:paraId="F6050000">
            <w:pPr>
              <w:spacing w:before="200" w:line="240" w:lineRule="auto"/>
              <w:ind/>
              <w:jc w:val="center"/>
              <w:rPr>
                <w:sz w:val="20"/>
              </w:rPr>
            </w:pPr>
            <w:r>
              <w:rPr>
                <w:sz w:val="20"/>
              </w:rPr>
              <w:t>Индикатор</w:t>
            </w:r>
          </w:p>
        </w:tc>
        <w:tc>
          <w:tcPr>
            <w:tcW w:type="dxa" w:w="701"/>
            <w:tcBorders>
              <w:top w:color="000000" w:sz="4" w:val="single"/>
              <w:left w:color="000000" w:sz="4" w:val="single"/>
              <w:bottom w:color="000000" w:sz="4" w:val="single"/>
              <w:right w:color="000000" w:sz="4" w:val="single"/>
            </w:tcBorders>
            <w:vAlign w:val="center"/>
          </w:tcPr>
          <w:p w14:paraId="F7050000">
            <w:pPr>
              <w:spacing w:before="200" w:line="240" w:lineRule="auto"/>
              <w:ind/>
              <w:jc w:val="center"/>
              <w:rPr>
                <w:sz w:val="20"/>
              </w:rPr>
            </w:pPr>
            <w:r>
              <w:rPr>
                <w:sz w:val="20"/>
              </w:rPr>
              <w:t>Ед. изм.</w:t>
            </w:r>
          </w:p>
        </w:tc>
        <w:tc>
          <w:tcPr>
            <w:tcW w:type="dxa" w:w="561"/>
            <w:tcBorders>
              <w:top w:color="000000" w:sz="4" w:val="single"/>
              <w:left w:color="000000" w:sz="4" w:val="single"/>
              <w:bottom w:color="000000" w:sz="4" w:val="single"/>
              <w:right w:color="000000" w:sz="4" w:val="single"/>
            </w:tcBorders>
            <w:textDirection w:val="btLr"/>
            <w:vAlign w:val="center"/>
          </w:tcPr>
          <w:p w14:paraId="F8050000">
            <w:pPr>
              <w:spacing w:line="240" w:lineRule="auto"/>
              <w:ind w:firstLine="0" w:left="113" w:right="113"/>
              <w:jc w:val="center"/>
              <w:rPr>
                <w:sz w:val="20"/>
              </w:rPr>
            </w:pPr>
            <w:r>
              <w:rPr>
                <w:sz w:val="20"/>
              </w:rPr>
              <w:t>2023</w:t>
            </w:r>
          </w:p>
        </w:tc>
        <w:tc>
          <w:tcPr>
            <w:tcW w:type="dxa" w:w="561"/>
            <w:tcBorders>
              <w:top w:color="000000" w:sz="4" w:val="single"/>
              <w:left w:color="000000" w:sz="4" w:val="single"/>
              <w:bottom w:color="000000" w:sz="4" w:val="single"/>
              <w:right w:color="000000" w:sz="4" w:val="single"/>
            </w:tcBorders>
            <w:textDirection w:val="btLr"/>
            <w:vAlign w:val="center"/>
          </w:tcPr>
          <w:p w14:paraId="F9050000">
            <w:pPr>
              <w:spacing w:line="240" w:lineRule="auto"/>
              <w:ind w:firstLine="0" w:left="113" w:right="113"/>
              <w:jc w:val="center"/>
              <w:rPr>
                <w:sz w:val="20"/>
              </w:rPr>
            </w:pPr>
            <w:r>
              <w:rPr>
                <w:sz w:val="20"/>
              </w:rPr>
              <w:t>2024</w:t>
            </w:r>
          </w:p>
        </w:tc>
        <w:tc>
          <w:tcPr>
            <w:tcW w:type="dxa" w:w="700"/>
            <w:tcBorders>
              <w:top w:color="000000" w:sz="4" w:val="single"/>
              <w:left w:color="000000" w:sz="4" w:val="single"/>
              <w:bottom w:color="000000" w:sz="4" w:val="single"/>
              <w:right w:color="000000" w:sz="4" w:val="single"/>
            </w:tcBorders>
            <w:textDirection w:val="btLr"/>
            <w:vAlign w:val="center"/>
          </w:tcPr>
          <w:p w14:paraId="FA050000">
            <w:pPr>
              <w:spacing w:line="240" w:lineRule="auto"/>
              <w:ind w:firstLine="0" w:left="113" w:right="113"/>
              <w:jc w:val="center"/>
              <w:rPr>
                <w:sz w:val="20"/>
              </w:rPr>
            </w:pPr>
            <w:r>
              <w:rPr>
                <w:sz w:val="20"/>
              </w:rPr>
              <w:t>2025</w:t>
            </w:r>
          </w:p>
        </w:tc>
        <w:tc>
          <w:tcPr>
            <w:tcW w:type="dxa" w:w="701"/>
            <w:tcBorders>
              <w:top w:color="000000" w:sz="4" w:val="single"/>
              <w:left w:color="000000" w:sz="4" w:val="single"/>
              <w:bottom w:color="000000" w:sz="4" w:val="single"/>
              <w:right w:color="000000" w:sz="4" w:val="single"/>
            </w:tcBorders>
            <w:textDirection w:val="btLr"/>
            <w:vAlign w:val="center"/>
          </w:tcPr>
          <w:p w14:paraId="FB050000">
            <w:pPr>
              <w:spacing w:line="240" w:lineRule="auto"/>
              <w:ind w:firstLine="0" w:left="113" w:right="113"/>
              <w:jc w:val="center"/>
              <w:rPr>
                <w:sz w:val="20"/>
              </w:rPr>
            </w:pPr>
            <w:r>
              <w:rPr>
                <w:sz w:val="20"/>
              </w:rPr>
              <w:t>2026</w:t>
            </w:r>
          </w:p>
        </w:tc>
        <w:tc>
          <w:tcPr>
            <w:tcW w:type="dxa" w:w="701"/>
            <w:tcBorders>
              <w:top w:color="000000" w:sz="4" w:val="single"/>
              <w:left w:color="000000" w:sz="4" w:val="single"/>
              <w:bottom w:color="000000" w:sz="4" w:val="single"/>
              <w:right w:color="000000" w:sz="4" w:val="single"/>
            </w:tcBorders>
            <w:textDirection w:val="btLr"/>
            <w:vAlign w:val="center"/>
          </w:tcPr>
          <w:p w14:paraId="FC050000">
            <w:pPr>
              <w:spacing w:line="240" w:lineRule="auto"/>
              <w:ind w:firstLine="0" w:left="113" w:right="113"/>
              <w:jc w:val="center"/>
              <w:rPr>
                <w:sz w:val="20"/>
              </w:rPr>
            </w:pPr>
            <w:r>
              <w:rPr>
                <w:sz w:val="20"/>
              </w:rPr>
              <w:t>2027</w:t>
            </w:r>
          </w:p>
        </w:tc>
        <w:tc>
          <w:tcPr>
            <w:tcW w:type="dxa" w:w="701"/>
            <w:tcBorders>
              <w:top w:color="000000" w:sz="4" w:val="single"/>
              <w:left w:color="000000" w:sz="4" w:val="single"/>
              <w:bottom w:color="000000" w:sz="4" w:val="single"/>
              <w:right w:color="000000" w:sz="4" w:val="single"/>
            </w:tcBorders>
            <w:textDirection w:val="btLr"/>
            <w:vAlign w:val="center"/>
          </w:tcPr>
          <w:p w14:paraId="FD050000">
            <w:pPr>
              <w:spacing w:line="240" w:lineRule="auto"/>
              <w:ind w:firstLine="0" w:left="113" w:right="113"/>
              <w:jc w:val="center"/>
              <w:rPr>
                <w:sz w:val="20"/>
              </w:rPr>
            </w:pPr>
            <w:r>
              <w:rPr>
                <w:sz w:val="20"/>
              </w:rPr>
              <w:t>2028</w:t>
            </w:r>
          </w:p>
        </w:tc>
        <w:tc>
          <w:tcPr>
            <w:tcW w:type="dxa" w:w="700"/>
            <w:tcBorders>
              <w:top w:color="000000" w:sz="4" w:val="single"/>
              <w:left w:color="000000" w:sz="4" w:val="single"/>
              <w:bottom w:color="000000" w:sz="4" w:val="single"/>
              <w:right w:color="000000" w:sz="4" w:val="single"/>
            </w:tcBorders>
            <w:textDirection w:val="btLr"/>
            <w:vAlign w:val="center"/>
          </w:tcPr>
          <w:p w14:paraId="FE050000">
            <w:pPr>
              <w:spacing w:line="240" w:lineRule="auto"/>
              <w:ind w:firstLine="0" w:left="113" w:right="113"/>
              <w:jc w:val="center"/>
              <w:rPr>
                <w:sz w:val="20"/>
              </w:rPr>
            </w:pPr>
            <w:r>
              <w:rPr>
                <w:sz w:val="20"/>
              </w:rPr>
              <w:t>2029</w:t>
            </w:r>
          </w:p>
        </w:tc>
        <w:tc>
          <w:tcPr>
            <w:tcW w:type="dxa" w:w="561"/>
            <w:tcBorders>
              <w:top w:color="000000" w:sz="4" w:val="single"/>
              <w:left w:color="000000" w:sz="4" w:val="single"/>
              <w:bottom w:color="000000" w:sz="4" w:val="single"/>
              <w:right w:color="000000" w:sz="4" w:val="single"/>
            </w:tcBorders>
            <w:textDirection w:val="btLr"/>
            <w:vAlign w:val="center"/>
          </w:tcPr>
          <w:p w14:paraId="FF050000">
            <w:pPr>
              <w:spacing w:line="240" w:lineRule="auto"/>
              <w:ind w:firstLine="0" w:left="113" w:right="113"/>
              <w:jc w:val="center"/>
              <w:rPr>
                <w:sz w:val="20"/>
              </w:rPr>
            </w:pPr>
            <w:r>
              <w:rPr>
                <w:sz w:val="20"/>
              </w:rPr>
              <w:t>2030</w:t>
            </w:r>
          </w:p>
        </w:tc>
        <w:tc>
          <w:tcPr>
            <w:tcW w:type="dxa" w:w="561"/>
            <w:tcBorders>
              <w:top w:color="000000" w:sz="4" w:val="single"/>
              <w:left w:color="000000" w:sz="4" w:val="single"/>
              <w:bottom w:color="000000" w:sz="4" w:val="single"/>
              <w:right w:color="000000" w:sz="4" w:val="single"/>
            </w:tcBorders>
            <w:textDirection w:val="btLr"/>
            <w:vAlign w:val="center"/>
          </w:tcPr>
          <w:p w14:paraId="00060000">
            <w:pPr>
              <w:spacing w:line="240" w:lineRule="auto"/>
              <w:ind w:firstLine="0" w:left="113" w:right="113"/>
              <w:jc w:val="center"/>
              <w:rPr>
                <w:sz w:val="20"/>
              </w:rPr>
            </w:pPr>
            <w:r>
              <w:rPr>
                <w:sz w:val="20"/>
              </w:rPr>
              <w:t>2031</w:t>
            </w:r>
          </w:p>
        </w:tc>
        <w:tc>
          <w:tcPr>
            <w:tcW w:type="dxa" w:w="561"/>
            <w:tcBorders>
              <w:top w:color="000000" w:sz="4" w:val="single"/>
              <w:left w:color="000000" w:sz="4" w:val="single"/>
              <w:bottom w:color="000000" w:sz="4" w:val="single"/>
              <w:right w:color="000000" w:sz="4" w:val="single"/>
            </w:tcBorders>
            <w:textDirection w:val="btLr"/>
            <w:vAlign w:val="center"/>
          </w:tcPr>
          <w:p w14:paraId="01060000">
            <w:pPr>
              <w:spacing w:line="240" w:lineRule="auto"/>
              <w:ind w:firstLine="0" w:left="113" w:right="113"/>
              <w:jc w:val="center"/>
              <w:rPr>
                <w:sz w:val="20"/>
              </w:rPr>
            </w:pPr>
            <w:r>
              <w:rPr>
                <w:sz w:val="20"/>
              </w:rPr>
              <w:t>2032</w:t>
            </w:r>
          </w:p>
        </w:tc>
        <w:tc>
          <w:tcPr>
            <w:tcW w:type="dxa" w:w="561"/>
            <w:tcBorders>
              <w:top w:color="000000" w:sz="4" w:val="single"/>
              <w:left w:color="000000" w:sz="4" w:val="single"/>
              <w:bottom w:color="000000" w:sz="4" w:val="single"/>
              <w:right w:color="000000" w:sz="4" w:val="single"/>
            </w:tcBorders>
            <w:textDirection w:val="btLr"/>
          </w:tcPr>
          <w:p w14:paraId="02060000">
            <w:pPr>
              <w:spacing w:line="240" w:lineRule="auto"/>
              <w:ind w:firstLine="0" w:left="113" w:right="113"/>
              <w:jc w:val="center"/>
              <w:rPr>
                <w:sz w:val="20"/>
              </w:rPr>
            </w:pPr>
            <w:r>
              <w:rPr>
                <w:sz w:val="20"/>
              </w:rPr>
              <w:t>2033</w:t>
            </w:r>
          </w:p>
        </w:tc>
      </w:tr>
      <w:tr>
        <w:trPr>
          <w:trHeight w:hRule="atLeast" w:val="2189"/>
        </w:trPr>
        <w:tc>
          <w:tcPr>
            <w:tcW w:type="dxa" w:w="1962"/>
            <w:tcBorders>
              <w:top w:color="000000" w:sz="4" w:val="single"/>
              <w:left w:color="000000" w:sz="4" w:val="single"/>
              <w:bottom w:color="000000" w:sz="4" w:val="single"/>
              <w:right w:color="000000" w:sz="4" w:val="single"/>
            </w:tcBorders>
            <w:vAlign w:val="center"/>
          </w:tcPr>
          <w:p w14:paraId="03060000">
            <w:pPr>
              <w:spacing w:before="200" w:line="240" w:lineRule="auto"/>
              <w:ind/>
              <w:jc w:val="center"/>
              <w:rPr>
                <w:sz w:val="20"/>
              </w:rPr>
            </w:pPr>
            <w:r>
              <w:rPr>
                <w:sz w:val="20"/>
              </w:rPr>
              <w:t>количество прекращений подачи тепловой энергии, теплоносителя в результате технологических нарушений на тепловых сетях</w:t>
            </w:r>
          </w:p>
        </w:tc>
        <w:tc>
          <w:tcPr>
            <w:tcW w:type="dxa" w:w="701"/>
            <w:tcBorders>
              <w:top w:color="000000" w:sz="4" w:val="single"/>
              <w:left w:color="000000" w:sz="4" w:val="single"/>
              <w:bottom w:color="000000" w:sz="4" w:val="single"/>
              <w:right w:color="000000" w:sz="4" w:val="single"/>
            </w:tcBorders>
            <w:vAlign w:val="center"/>
          </w:tcPr>
          <w:p w14:paraId="04060000">
            <w:pPr>
              <w:spacing w:before="200" w:line="240" w:lineRule="auto"/>
              <w:ind/>
              <w:jc w:val="center"/>
              <w:rPr>
                <w:sz w:val="20"/>
              </w:rPr>
            </w:pPr>
            <w:r>
              <w:rPr>
                <w:sz w:val="20"/>
              </w:rPr>
              <w:t>ед./ км</w:t>
            </w:r>
          </w:p>
        </w:tc>
        <w:tc>
          <w:tcPr>
            <w:tcW w:type="dxa" w:w="561"/>
            <w:tcBorders>
              <w:top w:color="000000" w:sz="4" w:val="single"/>
              <w:left w:color="000000" w:sz="4" w:val="single"/>
              <w:bottom w:color="000000" w:sz="4" w:val="single"/>
              <w:right w:color="000000" w:sz="4" w:val="single"/>
            </w:tcBorders>
            <w:vAlign w:val="center"/>
          </w:tcPr>
          <w:p w14:paraId="0506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vAlign w:val="center"/>
          </w:tcPr>
          <w:p w14:paraId="06060000">
            <w:pPr>
              <w:spacing w:before="200" w:line="240" w:lineRule="auto"/>
              <w:ind/>
              <w:jc w:val="center"/>
              <w:rPr>
                <w:sz w:val="20"/>
              </w:rPr>
            </w:pPr>
            <w:r>
              <w:rPr>
                <w:sz w:val="20"/>
              </w:rPr>
              <w:t>0</w:t>
            </w:r>
          </w:p>
        </w:tc>
        <w:tc>
          <w:tcPr>
            <w:tcW w:type="dxa" w:w="700"/>
            <w:tcBorders>
              <w:top w:color="000000" w:sz="4" w:val="single"/>
              <w:left w:color="000000" w:sz="4" w:val="single"/>
              <w:bottom w:color="000000" w:sz="4" w:val="single"/>
              <w:right w:color="000000" w:sz="4" w:val="single"/>
            </w:tcBorders>
            <w:vAlign w:val="center"/>
          </w:tcPr>
          <w:p w14:paraId="07060000">
            <w:pPr>
              <w:spacing w:before="200" w:line="240" w:lineRule="auto"/>
              <w:ind/>
              <w:jc w:val="center"/>
              <w:rPr>
                <w:sz w:val="20"/>
              </w:rPr>
            </w:pPr>
            <w:r>
              <w:rPr>
                <w:sz w:val="20"/>
              </w:rPr>
              <w:t>0</w:t>
            </w:r>
          </w:p>
        </w:tc>
        <w:tc>
          <w:tcPr>
            <w:tcW w:type="dxa" w:w="701"/>
            <w:tcBorders>
              <w:top w:color="000000" w:sz="4" w:val="single"/>
              <w:left w:color="000000" w:sz="4" w:val="single"/>
              <w:bottom w:color="000000" w:sz="4" w:val="single"/>
              <w:right w:color="000000" w:sz="4" w:val="single"/>
            </w:tcBorders>
            <w:vAlign w:val="center"/>
          </w:tcPr>
          <w:p w14:paraId="08060000">
            <w:pPr>
              <w:spacing w:before="200" w:line="240" w:lineRule="auto"/>
              <w:ind/>
              <w:jc w:val="center"/>
              <w:rPr>
                <w:sz w:val="20"/>
              </w:rPr>
            </w:pPr>
            <w:r>
              <w:rPr>
                <w:sz w:val="20"/>
              </w:rPr>
              <w:t>0</w:t>
            </w:r>
          </w:p>
        </w:tc>
        <w:tc>
          <w:tcPr>
            <w:tcW w:type="dxa" w:w="701"/>
            <w:tcBorders>
              <w:top w:color="000000" w:sz="4" w:val="single"/>
              <w:left w:color="000000" w:sz="4" w:val="single"/>
              <w:bottom w:color="000000" w:sz="4" w:val="single"/>
              <w:right w:color="000000" w:sz="4" w:val="single"/>
            </w:tcBorders>
            <w:vAlign w:val="center"/>
          </w:tcPr>
          <w:p w14:paraId="09060000">
            <w:pPr>
              <w:spacing w:before="200" w:line="240" w:lineRule="auto"/>
              <w:ind/>
              <w:jc w:val="center"/>
              <w:rPr>
                <w:sz w:val="20"/>
              </w:rPr>
            </w:pPr>
            <w:r>
              <w:rPr>
                <w:sz w:val="20"/>
              </w:rPr>
              <w:t>0</w:t>
            </w:r>
          </w:p>
        </w:tc>
        <w:tc>
          <w:tcPr>
            <w:tcW w:type="dxa" w:w="701"/>
            <w:tcBorders>
              <w:top w:color="000000" w:sz="4" w:val="single"/>
              <w:left w:color="000000" w:sz="4" w:val="single"/>
              <w:bottom w:color="000000" w:sz="4" w:val="single"/>
              <w:right w:color="000000" w:sz="4" w:val="single"/>
            </w:tcBorders>
            <w:vAlign w:val="center"/>
          </w:tcPr>
          <w:p w14:paraId="0A060000">
            <w:pPr>
              <w:spacing w:before="200" w:line="240" w:lineRule="auto"/>
              <w:ind/>
              <w:jc w:val="center"/>
              <w:rPr>
                <w:sz w:val="20"/>
              </w:rPr>
            </w:pPr>
            <w:r>
              <w:rPr>
                <w:sz w:val="20"/>
              </w:rPr>
              <w:t>0</w:t>
            </w:r>
          </w:p>
        </w:tc>
        <w:tc>
          <w:tcPr>
            <w:tcW w:type="dxa" w:w="700"/>
            <w:tcBorders>
              <w:top w:color="000000" w:sz="4" w:val="single"/>
              <w:left w:color="000000" w:sz="4" w:val="single"/>
              <w:bottom w:color="000000" w:sz="4" w:val="single"/>
              <w:right w:color="000000" w:sz="4" w:val="single"/>
            </w:tcBorders>
            <w:vAlign w:val="center"/>
          </w:tcPr>
          <w:p w14:paraId="0B06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vAlign w:val="center"/>
          </w:tcPr>
          <w:p w14:paraId="0C06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vAlign w:val="center"/>
          </w:tcPr>
          <w:p w14:paraId="0D06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vAlign w:val="center"/>
          </w:tcPr>
          <w:p w14:paraId="0E06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vAlign w:val="center"/>
          </w:tcPr>
          <w:p w14:paraId="0F060000">
            <w:pPr>
              <w:spacing w:before="200" w:line="240" w:lineRule="auto"/>
              <w:ind/>
              <w:jc w:val="center"/>
              <w:rPr>
                <w:sz w:val="20"/>
              </w:rPr>
            </w:pPr>
            <w:r>
              <w:rPr>
                <w:sz w:val="20"/>
              </w:rPr>
              <w:t>0</w:t>
            </w:r>
          </w:p>
        </w:tc>
      </w:tr>
      <w:tr>
        <w:trPr>
          <w:trHeight w:hRule="atLeast" w:val="2320"/>
        </w:trPr>
        <w:tc>
          <w:tcPr>
            <w:tcW w:type="dxa" w:w="1962"/>
            <w:tcBorders>
              <w:top w:color="000000" w:sz="4" w:val="single"/>
              <w:left w:color="000000" w:sz="4" w:val="single"/>
              <w:bottom w:color="000000" w:sz="4" w:val="single"/>
              <w:right w:color="000000" w:sz="4" w:val="single"/>
            </w:tcBorders>
            <w:vAlign w:val="center"/>
          </w:tcPr>
          <w:p w14:paraId="10060000">
            <w:pPr>
              <w:spacing w:before="200" w:line="240" w:lineRule="auto"/>
              <w:ind/>
              <w:jc w:val="center"/>
              <w:rPr>
                <w:sz w:val="20"/>
              </w:rPr>
            </w:pPr>
            <w:r>
              <w:rPr>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type="dxa" w:w="701"/>
            <w:tcBorders>
              <w:top w:color="000000" w:sz="4" w:val="single"/>
              <w:left w:color="000000" w:sz="4" w:val="single"/>
              <w:bottom w:color="000000" w:sz="4" w:val="single"/>
              <w:right w:color="000000" w:sz="4" w:val="single"/>
            </w:tcBorders>
            <w:vAlign w:val="center"/>
          </w:tcPr>
          <w:p w14:paraId="11060000">
            <w:pPr>
              <w:spacing w:before="200" w:line="240" w:lineRule="auto"/>
              <w:ind/>
              <w:jc w:val="center"/>
              <w:rPr>
                <w:sz w:val="20"/>
              </w:rPr>
            </w:pPr>
            <w:r>
              <w:rPr>
                <w:sz w:val="20"/>
              </w:rPr>
              <w:t>ед./ км</w:t>
            </w:r>
          </w:p>
        </w:tc>
        <w:tc>
          <w:tcPr>
            <w:tcW w:type="dxa" w:w="561"/>
            <w:tcBorders>
              <w:top w:color="000000" w:sz="4" w:val="single"/>
              <w:left w:color="000000" w:sz="4" w:val="single"/>
              <w:bottom w:color="000000" w:sz="4" w:val="single"/>
              <w:right w:color="000000" w:sz="4" w:val="single"/>
            </w:tcBorders>
            <w:vAlign w:val="center"/>
          </w:tcPr>
          <w:p w14:paraId="1206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vAlign w:val="center"/>
          </w:tcPr>
          <w:p w14:paraId="13060000">
            <w:pPr>
              <w:spacing w:before="200" w:line="240" w:lineRule="auto"/>
              <w:ind/>
              <w:jc w:val="center"/>
              <w:rPr>
                <w:sz w:val="20"/>
              </w:rPr>
            </w:pPr>
            <w:r>
              <w:rPr>
                <w:sz w:val="20"/>
              </w:rPr>
              <w:t>0</w:t>
            </w:r>
          </w:p>
        </w:tc>
        <w:tc>
          <w:tcPr>
            <w:tcW w:type="dxa" w:w="700"/>
            <w:tcBorders>
              <w:top w:color="000000" w:sz="4" w:val="single"/>
              <w:left w:color="000000" w:sz="4" w:val="single"/>
              <w:bottom w:color="000000" w:sz="4" w:val="single"/>
              <w:right w:color="000000" w:sz="4" w:val="single"/>
            </w:tcBorders>
            <w:vAlign w:val="center"/>
          </w:tcPr>
          <w:p w14:paraId="14060000">
            <w:pPr>
              <w:spacing w:before="200" w:line="240" w:lineRule="auto"/>
              <w:ind/>
              <w:jc w:val="center"/>
              <w:rPr>
                <w:sz w:val="20"/>
              </w:rPr>
            </w:pPr>
            <w:r>
              <w:rPr>
                <w:sz w:val="20"/>
              </w:rPr>
              <w:t>0</w:t>
            </w:r>
          </w:p>
        </w:tc>
        <w:tc>
          <w:tcPr>
            <w:tcW w:type="dxa" w:w="701"/>
            <w:tcBorders>
              <w:top w:color="000000" w:sz="4" w:val="single"/>
              <w:left w:color="000000" w:sz="4" w:val="single"/>
              <w:bottom w:color="000000" w:sz="4" w:val="single"/>
              <w:right w:color="000000" w:sz="4" w:val="single"/>
            </w:tcBorders>
            <w:vAlign w:val="center"/>
          </w:tcPr>
          <w:p w14:paraId="15060000">
            <w:pPr>
              <w:spacing w:before="200" w:line="240" w:lineRule="auto"/>
              <w:ind/>
              <w:jc w:val="center"/>
              <w:rPr>
                <w:sz w:val="20"/>
              </w:rPr>
            </w:pPr>
            <w:r>
              <w:rPr>
                <w:sz w:val="20"/>
              </w:rPr>
              <w:t>0</w:t>
            </w:r>
          </w:p>
        </w:tc>
        <w:tc>
          <w:tcPr>
            <w:tcW w:type="dxa" w:w="701"/>
            <w:tcBorders>
              <w:top w:color="000000" w:sz="4" w:val="single"/>
              <w:left w:color="000000" w:sz="4" w:val="single"/>
              <w:bottom w:color="000000" w:sz="4" w:val="single"/>
              <w:right w:color="000000" w:sz="4" w:val="single"/>
            </w:tcBorders>
            <w:vAlign w:val="center"/>
          </w:tcPr>
          <w:p w14:paraId="16060000">
            <w:pPr>
              <w:spacing w:before="200" w:line="240" w:lineRule="auto"/>
              <w:ind/>
              <w:jc w:val="center"/>
              <w:rPr>
                <w:sz w:val="20"/>
              </w:rPr>
            </w:pPr>
            <w:r>
              <w:rPr>
                <w:sz w:val="20"/>
              </w:rPr>
              <w:t>0</w:t>
            </w:r>
          </w:p>
        </w:tc>
        <w:tc>
          <w:tcPr>
            <w:tcW w:type="dxa" w:w="701"/>
            <w:tcBorders>
              <w:top w:color="000000" w:sz="4" w:val="single"/>
              <w:left w:color="000000" w:sz="4" w:val="single"/>
              <w:bottom w:color="000000" w:sz="4" w:val="single"/>
              <w:right w:color="000000" w:sz="4" w:val="single"/>
            </w:tcBorders>
            <w:vAlign w:val="center"/>
          </w:tcPr>
          <w:p w14:paraId="17060000">
            <w:pPr>
              <w:spacing w:before="200" w:line="240" w:lineRule="auto"/>
              <w:ind/>
              <w:jc w:val="center"/>
              <w:rPr>
                <w:sz w:val="20"/>
              </w:rPr>
            </w:pPr>
            <w:r>
              <w:rPr>
                <w:sz w:val="20"/>
              </w:rPr>
              <w:t>0</w:t>
            </w:r>
          </w:p>
        </w:tc>
        <w:tc>
          <w:tcPr>
            <w:tcW w:type="dxa" w:w="700"/>
            <w:tcBorders>
              <w:top w:color="000000" w:sz="4" w:val="single"/>
              <w:left w:color="000000" w:sz="4" w:val="single"/>
              <w:bottom w:color="000000" w:sz="4" w:val="single"/>
              <w:right w:color="000000" w:sz="4" w:val="single"/>
            </w:tcBorders>
            <w:vAlign w:val="center"/>
          </w:tcPr>
          <w:p w14:paraId="1806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vAlign w:val="center"/>
          </w:tcPr>
          <w:p w14:paraId="1906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vAlign w:val="center"/>
          </w:tcPr>
          <w:p w14:paraId="1A06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vAlign w:val="center"/>
          </w:tcPr>
          <w:p w14:paraId="1B060000">
            <w:pPr>
              <w:spacing w:before="200" w:line="240" w:lineRule="auto"/>
              <w:ind/>
              <w:jc w:val="center"/>
              <w:rPr>
                <w:sz w:val="20"/>
              </w:rPr>
            </w:pPr>
            <w:r>
              <w:rPr>
                <w:sz w:val="20"/>
              </w:rPr>
              <w:t>0</w:t>
            </w:r>
          </w:p>
        </w:tc>
        <w:tc>
          <w:tcPr>
            <w:tcW w:type="dxa" w:w="561"/>
            <w:tcBorders>
              <w:top w:color="000000" w:sz="4" w:val="single"/>
              <w:left w:color="000000" w:sz="4" w:val="single"/>
              <w:bottom w:color="000000" w:sz="4" w:val="single"/>
              <w:right w:color="000000" w:sz="4" w:val="single"/>
            </w:tcBorders>
            <w:vAlign w:val="center"/>
          </w:tcPr>
          <w:p w14:paraId="1C060000">
            <w:pPr>
              <w:spacing w:before="200" w:line="240" w:lineRule="auto"/>
              <w:ind/>
              <w:jc w:val="center"/>
              <w:rPr>
                <w:sz w:val="20"/>
              </w:rPr>
            </w:pPr>
            <w:r>
              <w:rPr>
                <w:sz w:val="20"/>
              </w:rPr>
              <w:t>0</w:t>
            </w:r>
          </w:p>
        </w:tc>
      </w:tr>
      <w:tr>
        <w:trPr>
          <w:trHeight w:hRule="atLeast" w:val="2018"/>
        </w:trPr>
        <w:tc>
          <w:tcPr>
            <w:tcW w:type="dxa" w:w="1962"/>
            <w:tcBorders>
              <w:top w:color="000000" w:sz="4" w:val="single"/>
              <w:left w:color="000000" w:sz="4" w:val="single"/>
              <w:bottom w:color="000000" w:sz="4" w:val="single"/>
              <w:right w:color="000000" w:sz="4" w:val="single"/>
            </w:tcBorders>
            <w:vAlign w:val="center"/>
          </w:tcPr>
          <w:p w14:paraId="1D060000">
            <w:pPr>
              <w:spacing w:before="200" w:line="240" w:lineRule="auto"/>
              <w:ind/>
              <w:jc w:val="center"/>
              <w:rPr>
                <w:sz w:val="20"/>
              </w:rPr>
            </w:pPr>
            <w:r>
              <w:rPr>
                <w:sz w:val="20"/>
              </w:rPr>
              <w:t xml:space="preserve">сводный удельный расход условного топлива на единицу тепловой энергии, отпускаемой с коллекторов источников тепловой энергии </w:t>
            </w:r>
          </w:p>
        </w:tc>
        <w:tc>
          <w:tcPr>
            <w:tcW w:type="dxa" w:w="701"/>
            <w:tcBorders>
              <w:top w:color="000000" w:sz="4" w:val="single"/>
              <w:left w:color="000000" w:sz="4" w:val="single"/>
              <w:bottom w:color="000000" w:sz="4" w:val="single"/>
              <w:right w:color="000000" w:sz="4" w:val="single"/>
            </w:tcBorders>
            <w:vAlign w:val="center"/>
          </w:tcPr>
          <w:p w14:paraId="1E060000">
            <w:pPr>
              <w:pStyle w:val="Style_7"/>
              <w:ind w:firstLine="0" w:left="0"/>
              <w:jc w:val="center"/>
              <w:rPr>
                <w:sz w:val="20"/>
              </w:rPr>
            </w:pPr>
            <w:r>
              <w:rPr>
                <w:sz w:val="20"/>
              </w:rPr>
              <w:t>Т.у.т./               Гкал</w:t>
            </w:r>
          </w:p>
        </w:tc>
        <w:tc>
          <w:tcPr>
            <w:tcW w:type="dxa" w:w="561"/>
            <w:tcBorders>
              <w:top w:color="000000" w:sz="4" w:val="single"/>
              <w:left w:color="000000" w:sz="4" w:val="single"/>
              <w:bottom w:color="000000" w:sz="4" w:val="single"/>
              <w:right w:color="000000" w:sz="4" w:val="single"/>
            </w:tcBorders>
            <w:vAlign w:val="center"/>
          </w:tcPr>
          <w:p w14:paraId="1F060000">
            <w:pPr>
              <w:spacing w:before="200" w:line="240" w:lineRule="auto"/>
              <w:ind/>
              <w:jc w:val="center"/>
              <w:rPr>
                <w:sz w:val="20"/>
              </w:rPr>
            </w:pPr>
            <w:r>
              <w:rPr>
                <w:sz w:val="20"/>
              </w:rPr>
              <w:t>0,165</w:t>
            </w:r>
          </w:p>
        </w:tc>
        <w:tc>
          <w:tcPr>
            <w:tcW w:type="dxa" w:w="561"/>
            <w:tcBorders>
              <w:top w:color="000000" w:sz="4" w:val="single"/>
              <w:left w:color="000000" w:sz="4" w:val="single"/>
              <w:bottom w:color="000000" w:sz="4" w:val="single"/>
              <w:right w:color="000000" w:sz="4" w:val="single"/>
            </w:tcBorders>
            <w:vAlign w:val="center"/>
          </w:tcPr>
          <w:p w14:paraId="20060000">
            <w:pPr>
              <w:spacing w:before="200" w:line="240" w:lineRule="auto"/>
              <w:ind/>
              <w:jc w:val="center"/>
              <w:rPr>
                <w:sz w:val="20"/>
              </w:rPr>
            </w:pPr>
            <w:r>
              <w:rPr>
                <w:sz w:val="20"/>
              </w:rPr>
              <w:t>0,165</w:t>
            </w:r>
          </w:p>
        </w:tc>
        <w:tc>
          <w:tcPr>
            <w:tcW w:type="dxa" w:w="700"/>
            <w:tcBorders>
              <w:top w:color="000000" w:sz="4" w:val="single"/>
              <w:left w:color="000000" w:sz="4" w:val="single"/>
              <w:bottom w:color="000000" w:sz="4" w:val="single"/>
              <w:right w:color="000000" w:sz="4" w:val="single"/>
            </w:tcBorders>
            <w:vAlign w:val="center"/>
          </w:tcPr>
          <w:p w14:paraId="21060000">
            <w:pPr>
              <w:spacing w:before="200" w:line="240" w:lineRule="auto"/>
              <w:ind/>
              <w:jc w:val="center"/>
              <w:rPr>
                <w:sz w:val="20"/>
              </w:rPr>
            </w:pPr>
            <w:r>
              <w:rPr>
                <w:sz w:val="20"/>
              </w:rPr>
              <w:t>0,165</w:t>
            </w:r>
          </w:p>
        </w:tc>
        <w:tc>
          <w:tcPr>
            <w:tcW w:type="dxa" w:w="701"/>
            <w:tcBorders>
              <w:top w:color="000000" w:sz="4" w:val="single"/>
              <w:left w:color="000000" w:sz="4" w:val="single"/>
              <w:bottom w:color="000000" w:sz="4" w:val="single"/>
              <w:right w:color="000000" w:sz="4" w:val="single"/>
            </w:tcBorders>
            <w:vAlign w:val="center"/>
          </w:tcPr>
          <w:p w14:paraId="22060000">
            <w:pPr>
              <w:spacing w:before="200" w:line="240" w:lineRule="auto"/>
              <w:ind/>
              <w:jc w:val="center"/>
              <w:rPr>
                <w:sz w:val="20"/>
              </w:rPr>
            </w:pPr>
            <w:r>
              <w:rPr>
                <w:sz w:val="20"/>
              </w:rPr>
              <w:t>0,165</w:t>
            </w:r>
          </w:p>
        </w:tc>
        <w:tc>
          <w:tcPr>
            <w:tcW w:type="dxa" w:w="701"/>
            <w:tcBorders>
              <w:top w:color="000000" w:sz="4" w:val="single"/>
              <w:left w:color="000000" w:sz="4" w:val="single"/>
              <w:bottom w:color="000000" w:sz="4" w:val="single"/>
              <w:right w:color="000000" w:sz="4" w:val="single"/>
            </w:tcBorders>
            <w:vAlign w:val="center"/>
          </w:tcPr>
          <w:p w14:paraId="23060000">
            <w:pPr>
              <w:spacing w:before="200" w:line="240" w:lineRule="auto"/>
              <w:ind/>
              <w:jc w:val="center"/>
              <w:rPr>
                <w:sz w:val="20"/>
              </w:rPr>
            </w:pPr>
            <w:r>
              <w:rPr>
                <w:sz w:val="20"/>
              </w:rPr>
              <w:t>0,165</w:t>
            </w:r>
          </w:p>
        </w:tc>
        <w:tc>
          <w:tcPr>
            <w:tcW w:type="dxa" w:w="701"/>
            <w:tcBorders>
              <w:top w:color="000000" w:sz="4" w:val="single"/>
              <w:left w:color="000000" w:sz="4" w:val="single"/>
              <w:bottom w:color="000000" w:sz="4" w:val="single"/>
              <w:right w:color="000000" w:sz="4" w:val="single"/>
            </w:tcBorders>
            <w:vAlign w:val="center"/>
          </w:tcPr>
          <w:p w14:paraId="24060000">
            <w:pPr>
              <w:spacing w:before="200" w:line="240" w:lineRule="auto"/>
              <w:ind/>
              <w:jc w:val="center"/>
              <w:rPr>
                <w:sz w:val="20"/>
              </w:rPr>
            </w:pPr>
            <w:r>
              <w:rPr>
                <w:sz w:val="20"/>
              </w:rPr>
              <w:t>0,165</w:t>
            </w:r>
          </w:p>
        </w:tc>
        <w:tc>
          <w:tcPr>
            <w:tcW w:type="dxa" w:w="700"/>
            <w:tcBorders>
              <w:top w:color="000000" w:sz="4" w:val="single"/>
              <w:left w:color="000000" w:sz="4" w:val="single"/>
              <w:bottom w:color="000000" w:sz="4" w:val="single"/>
              <w:right w:color="000000" w:sz="4" w:val="single"/>
            </w:tcBorders>
            <w:vAlign w:val="center"/>
          </w:tcPr>
          <w:p w14:paraId="25060000">
            <w:pPr>
              <w:spacing w:before="200" w:line="240" w:lineRule="auto"/>
              <w:ind/>
              <w:jc w:val="center"/>
              <w:rPr>
                <w:sz w:val="20"/>
              </w:rPr>
            </w:pPr>
            <w:r>
              <w:rPr>
                <w:sz w:val="20"/>
              </w:rPr>
              <w:t>0,165</w:t>
            </w:r>
          </w:p>
        </w:tc>
        <w:tc>
          <w:tcPr>
            <w:tcW w:type="dxa" w:w="561"/>
            <w:tcBorders>
              <w:top w:color="000000" w:sz="4" w:val="single"/>
              <w:left w:color="000000" w:sz="4" w:val="single"/>
              <w:bottom w:color="000000" w:sz="4" w:val="single"/>
              <w:right w:color="000000" w:sz="4" w:val="single"/>
            </w:tcBorders>
            <w:vAlign w:val="center"/>
          </w:tcPr>
          <w:p w14:paraId="26060000">
            <w:pPr>
              <w:spacing w:before="200" w:line="240" w:lineRule="auto"/>
              <w:ind/>
              <w:jc w:val="center"/>
              <w:rPr>
                <w:sz w:val="20"/>
              </w:rPr>
            </w:pPr>
            <w:r>
              <w:rPr>
                <w:sz w:val="20"/>
              </w:rPr>
              <w:t>0,165</w:t>
            </w:r>
          </w:p>
        </w:tc>
        <w:tc>
          <w:tcPr>
            <w:tcW w:type="dxa" w:w="561"/>
            <w:tcBorders>
              <w:top w:color="000000" w:sz="4" w:val="single"/>
              <w:left w:color="000000" w:sz="4" w:val="single"/>
              <w:bottom w:color="000000" w:sz="4" w:val="single"/>
              <w:right w:color="000000" w:sz="4" w:val="single"/>
            </w:tcBorders>
            <w:vAlign w:val="center"/>
          </w:tcPr>
          <w:p w14:paraId="27060000">
            <w:pPr>
              <w:spacing w:before="200" w:line="240" w:lineRule="auto"/>
              <w:ind/>
              <w:jc w:val="center"/>
              <w:rPr>
                <w:sz w:val="20"/>
              </w:rPr>
            </w:pPr>
            <w:r>
              <w:rPr>
                <w:sz w:val="20"/>
              </w:rPr>
              <w:t>0,165</w:t>
            </w:r>
          </w:p>
        </w:tc>
        <w:tc>
          <w:tcPr>
            <w:tcW w:type="dxa" w:w="561"/>
            <w:tcBorders>
              <w:top w:color="000000" w:sz="4" w:val="single"/>
              <w:left w:color="000000" w:sz="4" w:val="single"/>
              <w:bottom w:color="000000" w:sz="4" w:val="single"/>
              <w:right w:color="000000" w:sz="4" w:val="single"/>
            </w:tcBorders>
            <w:vAlign w:val="center"/>
          </w:tcPr>
          <w:p w14:paraId="28060000">
            <w:pPr>
              <w:spacing w:before="200" w:line="240" w:lineRule="auto"/>
              <w:ind/>
              <w:jc w:val="center"/>
              <w:rPr>
                <w:sz w:val="20"/>
              </w:rPr>
            </w:pPr>
            <w:r>
              <w:rPr>
                <w:sz w:val="20"/>
              </w:rPr>
              <w:t>0,165</w:t>
            </w:r>
          </w:p>
        </w:tc>
        <w:tc>
          <w:tcPr>
            <w:tcW w:type="dxa" w:w="561"/>
            <w:tcBorders>
              <w:top w:color="000000" w:sz="4" w:val="single"/>
              <w:left w:color="000000" w:sz="4" w:val="single"/>
              <w:bottom w:color="000000" w:sz="4" w:val="single"/>
              <w:right w:color="000000" w:sz="4" w:val="single"/>
            </w:tcBorders>
            <w:vAlign w:val="center"/>
          </w:tcPr>
          <w:p w14:paraId="29060000">
            <w:pPr>
              <w:spacing w:before="200" w:line="240" w:lineRule="auto"/>
              <w:ind/>
              <w:jc w:val="center"/>
              <w:rPr>
                <w:sz w:val="20"/>
              </w:rPr>
            </w:pPr>
            <w:r>
              <w:rPr>
                <w:sz w:val="20"/>
              </w:rPr>
              <w:t>0,165</w:t>
            </w:r>
          </w:p>
        </w:tc>
      </w:tr>
      <w:tr>
        <w:trPr>
          <w:trHeight w:hRule="atLeast" w:val="2069"/>
        </w:trPr>
        <w:tc>
          <w:tcPr>
            <w:tcW w:type="dxa" w:w="1962"/>
            <w:tcBorders>
              <w:top w:color="000000" w:sz="4" w:val="single"/>
              <w:left w:color="000000" w:sz="4" w:val="single"/>
              <w:bottom w:color="000000" w:sz="4" w:val="single"/>
              <w:right w:color="000000" w:sz="4" w:val="single"/>
            </w:tcBorders>
            <w:vAlign w:val="center"/>
          </w:tcPr>
          <w:p w14:paraId="2A060000">
            <w:pPr>
              <w:spacing w:before="200" w:line="240" w:lineRule="auto"/>
              <w:ind/>
              <w:jc w:val="center"/>
              <w:rPr>
                <w:sz w:val="20"/>
              </w:rPr>
            </w:pPr>
            <w:r>
              <w:rPr>
                <w:sz w:val="20"/>
              </w:rPr>
              <w:t xml:space="preserve">отношение величины технологических </w:t>
            </w:r>
            <w:r>
              <w:rPr>
                <w:sz w:val="20"/>
              </w:rPr>
              <w:t>потерь тепловой энергии, теплоносителя к материальной характеристике тепловой сети</w:t>
            </w:r>
          </w:p>
        </w:tc>
        <w:tc>
          <w:tcPr>
            <w:tcW w:type="dxa" w:w="701"/>
            <w:tcBorders>
              <w:top w:color="000000" w:sz="4" w:val="single"/>
              <w:left w:color="000000" w:sz="4" w:val="single"/>
              <w:bottom w:color="000000" w:sz="4" w:val="single"/>
              <w:right w:color="000000" w:sz="4" w:val="single"/>
            </w:tcBorders>
            <w:vAlign w:val="center"/>
          </w:tcPr>
          <w:p w14:paraId="2B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2C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2D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vAlign w:val="center"/>
          </w:tcPr>
          <w:p w14:paraId="2E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2F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30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31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vAlign w:val="center"/>
          </w:tcPr>
          <w:p w14:paraId="32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33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34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35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36060000">
            <w:pPr>
              <w:spacing w:before="200" w:line="240" w:lineRule="auto"/>
              <w:ind/>
              <w:jc w:val="center"/>
              <w:rPr>
                <w:sz w:val="20"/>
              </w:rPr>
            </w:pPr>
            <w:r>
              <w:rPr>
                <w:sz w:val="20"/>
              </w:rPr>
              <w:t>-</w:t>
            </w:r>
          </w:p>
        </w:tc>
      </w:tr>
      <w:tr>
        <w:trPr>
          <w:trHeight w:hRule="atLeast" w:val="1123"/>
        </w:trPr>
        <w:tc>
          <w:tcPr>
            <w:tcW w:type="dxa" w:w="1962"/>
            <w:tcBorders>
              <w:top w:color="000000" w:sz="4" w:val="single"/>
              <w:left w:color="000000" w:sz="4" w:val="single"/>
              <w:bottom w:color="000000" w:sz="4" w:val="single"/>
              <w:right w:color="000000" w:sz="4" w:val="single"/>
            </w:tcBorders>
            <w:vAlign w:val="center"/>
          </w:tcPr>
          <w:p w14:paraId="37060000">
            <w:pPr>
              <w:spacing w:before="200" w:line="240" w:lineRule="auto"/>
              <w:ind/>
              <w:jc w:val="center"/>
              <w:rPr>
                <w:sz w:val="20"/>
              </w:rPr>
            </w:pPr>
            <w:r>
              <w:rPr>
                <w:sz w:val="20"/>
              </w:rPr>
              <w:t>коэффициент использования установленной тепловой мощности</w:t>
            </w:r>
          </w:p>
        </w:tc>
        <w:tc>
          <w:tcPr>
            <w:tcW w:type="dxa" w:w="701"/>
            <w:tcBorders>
              <w:top w:color="000000" w:sz="4" w:val="single"/>
              <w:left w:color="000000" w:sz="4" w:val="single"/>
              <w:bottom w:color="000000" w:sz="4" w:val="single"/>
              <w:right w:color="000000" w:sz="4" w:val="single"/>
            </w:tcBorders>
            <w:vAlign w:val="center"/>
          </w:tcPr>
          <w:p w14:paraId="38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39060000">
            <w:pPr>
              <w:spacing w:before="200" w:line="240" w:lineRule="auto"/>
              <w:ind/>
              <w:jc w:val="center"/>
              <w:rPr>
                <w:sz w:val="20"/>
              </w:rPr>
            </w:pPr>
            <w:r>
              <w:rPr>
                <w:sz w:val="20"/>
              </w:rPr>
              <w:t>97</w:t>
            </w:r>
          </w:p>
        </w:tc>
        <w:tc>
          <w:tcPr>
            <w:tcW w:type="dxa" w:w="561"/>
            <w:tcBorders>
              <w:top w:color="000000" w:sz="4" w:val="single"/>
              <w:left w:color="000000" w:sz="4" w:val="single"/>
              <w:bottom w:color="000000" w:sz="4" w:val="single"/>
              <w:right w:color="000000" w:sz="4" w:val="single"/>
            </w:tcBorders>
            <w:vAlign w:val="center"/>
          </w:tcPr>
          <w:p w14:paraId="3A060000">
            <w:pPr>
              <w:spacing w:before="200" w:line="240" w:lineRule="auto"/>
              <w:ind/>
              <w:jc w:val="center"/>
              <w:rPr>
                <w:sz w:val="20"/>
              </w:rPr>
            </w:pPr>
            <w:r>
              <w:rPr>
                <w:sz w:val="20"/>
              </w:rPr>
              <w:t>97</w:t>
            </w:r>
          </w:p>
        </w:tc>
        <w:tc>
          <w:tcPr>
            <w:tcW w:type="dxa" w:w="700"/>
            <w:tcBorders>
              <w:top w:color="000000" w:sz="4" w:val="single"/>
              <w:left w:color="000000" w:sz="4" w:val="single"/>
              <w:bottom w:color="000000" w:sz="4" w:val="single"/>
              <w:right w:color="000000" w:sz="4" w:val="single"/>
            </w:tcBorders>
            <w:vAlign w:val="center"/>
          </w:tcPr>
          <w:p w14:paraId="3B060000">
            <w:pPr>
              <w:spacing w:before="200" w:line="240" w:lineRule="auto"/>
              <w:ind/>
              <w:jc w:val="center"/>
              <w:rPr>
                <w:sz w:val="20"/>
              </w:rPr>
            </w:pPr>
            <w:r>
              <w:rPr>
                <w:sz w:val="20"/>
              </w:rPr>
              <w:t>97</w:t>
            </w:r>
          </w:p>
        </w:tc>
        <w:tc>
          <w:tcPr>
            <w:tcW w:type="dxa" w:w="701"/>
            <w:tcBorders>
              <w:top w:color="000000" w:sz="4" w:val="single"/>
              <w:left w:color="000000" w:sz="4" w:val="single"/>
              <w:bottom w:color="000000" w:sz="4" w:val="single"/>
              <w:right w:color="000000" w:sz="4" w:val="single"/>
            </w:tcBorders>
            <w:vAlign w:val="center"/>
          </w:tcPr>
          <w:p w14:paraId="3C060000">
            <w:pPr>
              <w:spacing w:before="200" w:line="240" w:lineRule="auto"/>
              <w:ind/>
              <w:jc w:val="center"/>
              <w:rPr>
                <w:sz w:val="20"/>
              </w:rPr>
            </w:pPr>
            <w:r>
              <w:rPr>
                <w:sz w:val="20"/>
              </w:rPr>
              <w:t>100</w:t>
            </w:r>
          </w:p>
        </w:tc>
        <w:tc>
          <w:tcPr>
            <w:tcW w:type="dxa" w:w="701"/>
            <w:tcBorders>
              <w:top w:color="000000" w:sz="4" w:val="single"/>
              <w:left w:color="000000" w:sz="4" w:val="single"/>
              <w:bottom w:color="000000" w:sz="4" w:val="single"/>
              <w:right w:color="000000" w:sz="4" w:val="single"/>
            </w:tcBorders>
            <w:vAlign w:val="center"/>
          </w:tcPr>
          <w:p w14:paraId="3D060000">
            <w:pPr>
              <w:spacing w:before="200" w:line="240" w:lineRule="auto"/>
              <w:ind/>
              <w:jc w:val="center"/>
              <w:rPr>
                <w:sz w:val="20"/>
              </w:rPr>
            </w:pPr>
            <w:r>
              <w:rPr>
                <w:sz w:val="20"/>
              </w:rPr>
              <w:t>100</w:t>
            </w:r>
          </w:p>
        </w:tc>
        <w:tc>
          <w:tcPr>
            <w:tcW w:type="dxa" w:w="701"/>
            <w:tcBorders>
              <w:top w:color="000000" w:sz="4" w:val="single"/>
              <w:left w:color="000000" w:sz="4" w:val="single"/>
              <w:bottom w:color="000000" w:sz="4" w:val="single"/>
              <w:right w:color="000000" w:sz="4" w:val="single"/>
            </w:tcBorders>
            <w:vAlign w:val="center"/>
          </w:tcPr>
          <w:p w14:paraId="3E060000">
            <w:pPr>
              <w:spacing w:before="200" w:line="240" w:lineRule="auto"/>
              <w:ind/>
              <w:jc w:val="center"/>
              <w:rPr>
                <w:sz w:val="20"/>
              </w:rPr>
            </w:pPr>
            <w:r>
              <w:rPr>
                <w:sz w:val="20"/>
              </w:rPr>
              <w:t>100</w:t>
            </w:r>
          </w:p>
        </w:tc>
        <w:tc>
          <w:tcPr>
            <w:tcW w:type="dxa" w:w="700"/>
            <w:tcBorders>
              <w:top w:color="000000" w:sz="4" w:val="single"/>
              <w:left w:color="000000" w:sz="4" w:val="single"/>
              <w:bottom w:color="000000" w:sz="4" w:val="single"/>
              <w:right w:color="000000" w:sz="4" w:val="single"/>
            </w:tcBorders>
            <w:vAlign w:val="center"/>
          </w:tcPr>
          <w:p w14:paraId="3F060000">
            <w:pPr>
              <w:spacing w:before="200" w:line="240" w:lineRule="auto"/>
              <w:ind/>
              <w:jc w:val="center"/>
              <w:rPr>
                <w:sz w:val="20"/>
              </w:rPr>
            </w:pPr>
            <w:r>
              <w:rPr>
                <w:sz w:val="20"/>
              </w:rPr>
              <w:t>100</w:t>
            </w:r>
          </w:p>
        </w:tc>
        <w:tc>
          <w:tcPr>
            <w:tcW w:type="dxa" w:w="561"/>
            <w:tcBorders>
              <w:top w:color="000000" w:sz="4" w:val="single"/>
              <w:left w:color="000000" w:sz="4" w:val="single"/>
              <w:bottom w:color="000000" w:sz="4" w:val="single"/>
              <w:right w:color="000000" w:sz="4" w:val="single"/>
            </w:tcBorders>
            <w:vAlign w:val="center"/>
          </w:tcPr>
          <w:p w14:paraId="40060000">
            <w:pPr>
              <w:spacing w:before="200" w:line="240" w:lineRule="auto"/>
              <w:ind/>
              <w:jc w:val="center"/>
              <w:rPr>
                <w:sz w:val="20"/>
              </w:rPr>
            </w:pPr>
            <w:r>
              <w:rPr>
                <w:sz w:val="20"/>
              </w:rPr>
              <w:t>100</w:t>
            </w:r>
          </w:p>
        </w:tc>
        <w:tc>
          <w:tcPr>
            <w:tcW w:type="dxa" w:w="561"/>
            <w:tcBorders>
              <w:top w:color="000000" w:sz="4" w:val="single"/>
              <w:left w:color="000000" w:sz="4" w:val="single"/>
              <w:bottom w:color="000000" w:sz="4" w:val="single"/>
              <w:right w:color="000000" w:sz="4" w:val="single"/>
            </w:tcBorders>
            <w:vAlign w:val="center"/>
          </w:tcPr>
          <w:p w14:paraId="41060000">
            <w:pPr>
              <w:spacing w:before="200" w:line="240" w:lineRule="auto"/>
              <w:ind/>
              <w:jc w:val="center"/>
              <w:rPr>
                <w:sz w:val="20"/>
              </w:rPr>
            </w:pPr>
            <w:r>
              <w:rPr>
                <w:sz w:val="20"/>
              </w:rPr>
              <w:t>100</w:t>
            </w:r>
          </w:p>
        </w:tc>
        <w:tc>
          <w:tcPr>
            <w:tcW w:type="dxa" w:w="561"/>
            <w:tcBorders>
              <w:top w:color="000000" w:sz="4" w:val="single"/>
              <w:left w:color="000000" w:sz="4" w:val="single"/>
              <w:bottom w:color="000000" w:sz="4" w:val="single"/>
              <w:right w:color="000000" w:sz="4" w:val="single"/>
            </w:tcBorders>
            <w:vAlign w:val="center"/>
          </w:tcPr>
          <w:p w14:paraId="42060000">
            <w:pPr>
              <w:spacing w:before="200" w:line="240" w:lineRule="auto"/>
              <w:ind/>
              <w:jc w:val="center"/>
              <w:rPr>
                <w:sz w:val="20"/>
              </w:rPr>
            </w:pPr>
            <w:r>
              <w:rPr>
                <w:sz w:val="20"/>
              </w:rPr>
              <w:t>100</w:t>
            </w:r>
          </w:p>
        </w:tc>
        <w:tc>
          <w:tcPr>
            <w:tcW w:type="dxa" w:w="561"/>
            <w:tcBorders>
              <w:top w:color="000000" w:sz="4" w:val="single"/>
              <w:left w:color="000000" w:sz="4" w:val="single"/>
              <w:bottom w:color="000000" w:sz="4" w:val="single"/>
              <w:right w:color="000000" w:sz="4" w:val="single"/>
            </w:tcBorders>
            <w:vAlign w:val="center"/>
          </w:tcPr>
          <w:p w14:paraId="43060000">
            <w:pPr>
              <w:spacing w:before="200" w:line="240" w:lineRule="auto"/>
              <w:ind/>
              <w:jc w:val="center"/>
              <w:rPr>
                <w:sz w:val="20"/>
              </w:rPr>
            </w:pPr>
            <w:r>
              <w:rPr>
                <w:sz w:val="20"/>
              </w:rPr>
              <w:t>100</w:t>
            </w:r>
          </w:p>
        </w:tc>
      </w:tr>
      <w:tr>
        <w:trPr>
          <w:trHeight w:hRule="atLeast" w:val="250"/>
        </w:trPr>
        <w:tc>
          <w:tcPr>
            <w:tcW w:type="dxa" w:w="1962"/>
            <w:tcBorders>
              <w:top w:color="000000" w:sz="4" w:val="single"/>
              <w:left w:color="000000" w:sz="4" w:val="single"/>
              <w:bottom w:color="000000" w:sz="4" w:val="single"/>
              <w:right w:color="000000" w:sz="4" w:val="single"/>
            </w:tcBorders>
            <w:vAlign w:val="center"/>
          </w:tcPr>
          <w:p w14:paraId="44060000">
            <w:pPr>
              <w:spacing w:before="200" w:line="240" w:lineRule="auto"/>
              <w:ind/>
              <w:jc w:val="center"/>
              <w:rPr>
                <w:sz w:val="20"/>
              </w:rPr>
            </w:pPr>
            <w:r>
              <w:rPr>
                <w:sz w:val="20"/>
              </w:rPr>
              <w:t xml:space="preserve">удельная материальная характеристика тепловых </w:t>
            </w:r>
            <w:r>
              <w:rPr>
                <w:sz w:val="20"/>
              </w:rPr>
              <w:t>сетей, приведенная к расчетной тепловой нагрузке</w:t>
            </w:r>
          </w:p>
        </w:tc>
        <w:tc>
          <w:tcPr>
            <w:tcW w:type="dxa" w:w="701"/>
            <w:tcBorders>
              <w:top w:color="000000" w:sz="4" w:val="single"/>
              <w:left w:color="000000" w:sz="4" w:val="single"/>
              <w:bottom w:color="000000" w:sz="4" w:val="single"/>
              <w:right w:color="000000" w:sz="4" w:val="single"/>
            </w:tcBorders>
            <w:vAlign w:val="center"/>
          </w:tcPr>
          <w:p w14:paraId="45060000">
            <w:pPr>
              <w:spacing w:before="200" w:line="240" w:lineRule="auto"/>
              <w:ind/>
              <w:jc w:val="center"/>
              <w:rPr>
                <w:sz w:val="20"/>
              </w:rPr>
            </w:pPr>
            <w:r>
              <w:rPr>
                <w:sz w:val="20"/>
              </w:rPr>
              <w:t>м</w:t>
            </w:r>
            <w:r>
              <w:rPr>
                <w:sz w:val="20"/>
                <w:vertAlign w:val="superscript"/>
              </w:rPr>
              <w:t>2</w:t>
            </w:r>
            <w:r>
              <w:rPr>
                <w:sz w:val="20"/>
              </w:rPr>
              <w:t>/ Гкал/ч</w:t>
            </w:r>
          </w:p>
        </w:tc>
        <w:tc>
          <w:tcPr>
            <w:tcW w:type="dxa" w:w="561"/>
            <w:tcBorders>
              <w:top w:color="000000" w:sz="4" w:val="single"/>
              <w:left w:color="000000" w:sz="4" w:val="single"/>
              <w:bottom w:color="000000" w:sz="4" w:val="single"/>
              <w:right w:color="000000" w:sz="4" w:val="single"/>
            </w:tcBorders>
            <w:vAlign w:val="center"/>
          </w:tcPr>
          <w:p w14:paraId="46060000">
            <w:pPr>
              <w:spacing w:before="200" w:line="240" w:lineRule="auto"/>
              <w:ind/>
              <w:jc w:val="center"/>
              <w:rPr>
                <w:sz w:val="20"/>
              </w:rPr>
            </w:pPr>
            <w:r>
              <w:rPr>
                <w:sz w:val="20"/>
              </w:rPr>
              <w:t>0,73</w:t>
            </w:r>
          </w:p>
        </w:tc>
        <w:tc>
          <w:tcPr>
            <w:tcW w:type="dxa" w:w="561"/>
            <w:tcBorders>
              <w:top w:color="000000" w:sz="4" w:val="single"/>
              <w:left w:color="000000" w:sz="4" w:val="single"/>
              <w:bottom w:color="000000" w:sz="4" w:val="single"/>
              <w:right w:color="000000" w:sz="4" w:val="single"/>
            </w:tcBorders>
            <w:vAlign w:val="center"/>
          </w:tcPr>
          <w:p w14:paraId="47060000">
            <w:pPr>
              <w:spacing w:before="200" w:line="240" w:lineRule="auto"/>
              <w:ind/>
              <w:jc w:val="center"/>
              <w:rPr>
                <w:sz w:val="20"/>
              </w:rPr>
            </w:pPr>
            <w:r>
              <w:rPr>
                <w:sz w:val="20"/>
              </w:rPr>
              <w:t>0,73</w:t>
            </w:r>
          </w:p>
        </w:tc>
        <w:tc>
          <w:tcPr>
            <w:tcW w:type="dxa" w:w="700"/>
            <w:tcBorders>
              <w:top w:color="000000" w:sz="4" w:val="single"/>
              <w:left w:color="000000" w:sz="4" w:val="single"/>
              <w:bottom w:color="000000" w:sz="4" w:val="single"/>
              <w:right w:color="000000" w:sz="4" w:val="single"/>
            </w:tcBorders>
            <w:vAlign w:val="center"/>
          </w:tcPr>
          <w:p w14:paraId="48060000">
            <w:pPr>
              <w:spacing w:before="200" w:line="240" w:lineRule="auto"/>
              <w:ind/>
              <w:jc w:val="center"/>
              <w:rPr>
                <w:sz w:val="20"/>
              </w:rPr>
            </w:pPr>
            <w:r>
              <w:rPr>
                <w:sz w:val="20"/>
              </w:rPr>
              <w:t>0,73</w:t>
            </w:r>
          </w:p>
        </w:tc>
        <w:tc>
          <w:tcPr>
            <w:tcW w:type="dxa" w:w="701"/>
            <w:tcBorders>
              <w:top w:color="000000" w:sz="4" w:val="single"/>
              <w:left w:color="000000" w:sz="4" w:val="single"/>
              <w:bottom w:color="000000" w:sz="4" w:val="single"/>
              <w:right w:color="000000" w:sz="4" w:val="single"/>
            </w:tcBorders>
            <w:vAlign w:val="center"/>
          </w:tcPr>
          <w:p w14:paraId="49060000">
            <w:pPr>
              <w:spacing w:before="200" w:line="240" w:lineRule="auto"/>
              <w:ind/>
              <w:jc w:val="center"/>
              <w:rPr>
                <w:sz w:val="20"/>
              </w:rPr>
            </w:pPr>
            <w:r>
              <w:rPr>
                <w:sz w:val="20"/>
              </w:rPr>
              <w:t>0,73</w:t>
            </w:r>
          </w:p>
        </w:tc>
        <w:tc>
          <w:tcPr>
            <w:tcW w:type="dxa" w:w="701"/>
            <w:tcBorders>
              <w:top w:color="000000" w:sz="4" w:val="single"/>
              <w:left w:color="000000" w:sz="4" w:val="single"/>
              <w:bottom w:color="000000" w:sz="4" w:val="single"/>
              <w:right w:color="000000" w:sz="4" w:val="single"/>
            </w:tcBorders>
            <w:vAlign w:val="center"/>
          </w:tcPr>
          <w:p w14:paraId="4A060000">
            <w:pPr>
              <w:spacing w:before="200" w:line="240" w:lineRule="auto"/>
              <w:ind/>
              <w:jc w:val="center"/>
              <w:rPr>
                <w:sz w:val="20"/>
              </w:rPr>
            </w:pPr>
            <w:r>
              <w:rPr>
                <w:sz w:val="20"/>
              </w:rPr>
              <w:t>0,73</w:t>
            </w:r>
          </w:p>
        </w:tc>
        <w:tc>
          <w:tcPr>
            <w:tcW w:type="dxa" w:w="701"/>
            <w:tcBorders>
              <w:top w:color="000000" w:sz="4" w:val="single"/>
              <w:left w:color="000000" w:sz="4" w:val="single"/>
              <w:bottom w:color="000000" w:sz="4" w:val="single"/>
              <w:right w:color="000000" w:sz="4" w:val="single"/>
            </w:tcBorders>
            <w:vAlign w:val="center"/>
          </w:tcPr>
          <w:p w14:paraId="4B060000">
            <w:pPr>
              <w:spacing w:before="200" w:line="240" w:lineRule="auto"/>
              <w:ind/>
              <w:jc w:val="center"/>
              <w:rPr>
                <w:sz w:val="20"/>
              </w:rPr>
            </w:pPr>
            <w:r>
              <w:rPr>
                <w:sz w:val="20"/>
              </w:rPr>
              <w:t>0,73</w:t>
            </w:r>
          </w:p>
        </w:tc>
        <w:tc>
          <w:tcPr>
            <w:tcW w:type="dxa" w:w="700"/>
            <w:tcBorders>
              <w:top w:color="000000" w:sz="4" w:val="single"/>
              <w:left w:color="000000" w:sz="4" w:val="single"/>
              <w:bottom w:color="000000" w:sz="4" w:val="single"/>
              <w:right w:color="000000" w:sz="4" w:val="single"/>
            </w:tcBorders>
            <w:vAlign w:val="center"/>
          </w:tcPr>
          <w:p w14:paraId="4C060000">
            <w:pPr>
              <w:spacing w:before="200" w:line="240" w:lineRule="auto"/>
              <w:ind/>
              <w:jc w:val="center"/>
              <w:rPr>
                <w:sz w:val="20"/>
              </w:rPr>
            </w:pPr>
            <w:r>
              <w:rPr>
                <w:sz w:val="20"/>
              </w:rPr>
              <w:t>0,73</w:t>
            </w:r>
          </w:p>
        </w:tc>
        <w:tc>
          <w:tcPr>
            <w:tcW w:type="dxa" w:w="561"/>
            <w:tcBorders>
              <w:top w:color="000000" w:sz="4" w:val="single"/>
              <w:left w:color="000000" w:sz="4" w:val="single"/>
              <w:bottom w:color="000000" w:sz="4" w:val="single"/>
              <w:right w:color="000000" w:sz="4" w:val="single"/>
            </w:tcBorders>
            <w:vAlign w:val="center"/>
          </w:tcPr>
          <w:p w14:paraId="4D060000">
            <w:pPr>
              <w:spacing w:before="200" w:line="240" w:lineRule="auto"/>
              <w:ind/>
              <w:jc w:val="center"/>
              <w:rPr>
                <w:sz w:val="20"/>
              </w:rPr>
            </w:pPr>
            <w:r>
              <w:rPr>
                <w:sz w:val="20"/>
              </w:rPr>
              <w:t>0,73</w:t>
            </w:r>
          </w:p>
        </w:tc>
        <w:tc>
          <w:tcPr>
            <w:tcW w:type="dxa" w:w="561"/>
            <w:tcBorders>
              <w:top w:color="000000" w:sz="4" w:val="single"/>
              <w:left w:color="000000" w:sz="4" w:val="single"/>
              <w:bottom w:color="000000" w:sz="4" w:val="single"/>
              <w:right w:color="000000" w:sz="4" w:val="single"/>
            </w:tcBorders>
            <w:vAlign w:val="center"/>
          </w:tcPr>
          <w:p w14:paraId="4E060000">
            <w:pPr>
              <w:spacing w:before="200" w:line="240" w:lineRule="auto"/>
              <w:ind/>
              <w:jc w:val="center"/>
              <w:rPr>
                <w:sz w:val="20"/>
              </w:rPr>
            </w:pPr>
            <w:r>
              <w:rPr>
                <w:sz w:val="20"/>
              </w:rPr>
              <w:t>0,73</w:t>
            </w:r>
          </w:p>
        </w:tc>
        <w:tc>
          <w:tcPr>
            <w:tcW w:type="dxa" w:w="561"/>
            <w:tcBorders>
              <w:top w:color="000000" w:sz="4" w:val="single"/>
              <w:left w:color="000000" w:sz="4" w:val="single"/>
              <w:bottom w:color="000000" w:sz="4" w:val="single"/>
              <w:right w:color="000000" w:sz="4" w:val="single"/>
            </w:tcBorders>
            <w:vAlign w:val="center"/>
          </w:tcPr>
          <w:p w14:paraId="4F060000">
            <w:pPr>
              <w:spacing w:before="200" w:line="240" w:lineRule="auto"/>
              <w:ind/>
              <w:jc w:val="center"/>
              <w:rPr>
                <w:sz w:val="20"/>
              </w:rPr>
            </w:pPr>
            <w:r>
              <w:rPr>
                <w:sz w:val="20"/>
              </w:rPr>
              <w:t>0,73</w:t>
            </w:r>
          </w:p>
        </w:tc>
        <w:tc>
          <w:tcPr>
            <w:tcW w:type="dxa" w:w="561"/>
            <w:tcBorders>
              <w:top w:color="000000" w:sz="4" w:val="single"/>
              <w:left w:color="000000" w:sz="4" w:val="single"/>
              <w:bottom w:color="000000" w:sz="4" w:val="single"/>
              <w:right w:color="000000" w:sz="4" w:val="single"/>
            </w:tcBorders>
            <w:vAlign w:val="center"/>
          </w:tcPr>
          <w:p w14:paraId="50060000">
            <w:pPr>
              <w:spacing w:before="200" w:line="240" w:lineRule="auto"/>
              <w:ind/>
              <w:jc w:val="center"/>
              <w:rPr>
                <w:sz w:val="20"/>
              </w:rPr>
            </w:pPr>
            <w:r>
              <w:rPr>
                <w:sz w:val="20"/>
              </w:rPr>
              <w:t>0,73</w:t>
            </w:r>
          </w:p>
        </w:tc>
      </w:tr>
      <w:tr>
        <w:trPr>
          <w:trHeight w:hRule="atLeast" w:val="1050"/>
        </w:trPr>
        <w:tc>
          <w:tcPr>
            <w:tcW w:type="dxa" w:w="1962"/>
            <w:tcBorders>
              <w:top w:color="000000" w:sz="4" w:val="single"/>
              <w:left w:color="000000" w:sz="4" w:val="single"/>
              <w:bottom w:color="000000" w:sz="4" w:val="single"/>
              <w:right w:color="000000" w:sz="4" w:val="single"/>
            </w:tcBorders>
            <w:vAlign w:val="center"/>
          </w:tcPr>
          <w:p w14:paraId="51060000">
            <w:pPr>
              <w:spacing w:before="200" w:line="240" w:lineRule="auto"/>
              <w:ind/>
              <w:jc w:val="center"/>
              <w:rPr>
                <w:sz w:val="20"/>
              </w:rPr>
            </w:pPr>
            <w:r>
              <w:rPr>
                <w:sz w:val="20"/>
              </w:rPr>
              <w:t>доля тепловой энергии, выработанной в комбинированном режиме</w:t>
            </w:r>
          </w:p>
        </w:tc>
        <w:tc>
          <w:tcPr>
            <w:tcW w:type="dxa" w:w="701"/>
            <w:tcBorders>
              <w:top w:color="000000" w:sz="4" w:val="single"/>
              <w:left w:color="000000" w:sz="4" w:val="single"/>
              <w:bottom w:color="000000" w:sz="4" w:val="single"/>
              <w:right w:color="000000" w:sz="4" w:val="single"/>
            </w:tcBorders>
            <w:vAlign w:val="center"/>
          </w:tcPr>
          <w:p w14:paraId="52060000">
            <w:pPr>
              <w:spacing w:before="200" w:line="240" w:lineRule="auto"/>
              <w:ind/>
              <w:jc w:val="center"/>
              <w:rPr>
                <w:sz w:val="20"/>
              </w:rPr>
            </w:pPr>
            <w:r>
              <w:rPr>
                <w:sz w:val="20"/>
              </w:rPr>
              <w:t>Гкал/ч/ Гкал</w:t>
            </w:r>
          </w:p>
        </w:tc>
        <w:tc>
          <w:tcPr>
            <w:tcW w:type="dxa" w:w="561"/>
            <w:tcBorders>
              <w:top w:color="000000" w:sz="4" w:val="single"/>
              <w:left w:color="000000" w:sz="4" w:val="single"/>
              <w:bottom w:color="000000" w:sz="4" w:val="single"/>
              <w:right w:color="000000" w:sz="4" w:val="single"/>
            </w:tcBorders>
            <w:vAlign w:val="center"/>
          </w:tcPr>
          <w:p w14:paraId="53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54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vAlign w:val="center"/>
          </w:tcPr>
          <w:p w14:paraId="55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56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57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58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vAlign w:val="center"/>
          </w:tcPr>
          <w:p w14:paraId="59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5A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5B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5C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5D060000">
            <w:pPr>
              <w:spacing w:before="200" w:line="240" w:lineRule="auto"/>
              <w:ind/>
              <w:jc w:val="center"/>
              <w:rPr>
                <w:sz w:val="20"/>
              </w:rPr>
            </w:pPr>
            <w:r>
              <w:rPr>
                <w:sz w:val="20"/>
              </w:rPr>
              <w:t>-</w:t>
            </w:r>
          </w:p>
        </w:tc>
      </w:tr>
      <w:tr>
        <w:trPr>
          <w:trHeight w:hRule="atLeast" w:val="70"/>
        </w:trPr>
        <w:tc>
          <w:tcPr>
            <w:tcW w:type="dxa" w:w="1962"/>
            <w:tcBorders>
              <w:top w:color="000000" w:sz="4" w:val="single"/>
              <w:left w:color="000000" w:sz="4" w:val="single"/>
              <w:bottom w:color="000000" w:sz="4" w:val="single"/>
              <w:right w:color="000000" w:sz="4" w:val="single"/>
            </w:tcBorders>
            <w:vAlign w:val="center"/>
          </w:tcPr>
          <w:p w14:paraId="5E060000">
            <w:pPr>
              <w:spacing w:before="200" w:line="240" w:lineRule="auto"/>
              <w:ind/>
              <w:jc w:val="center"/>
              <w:rPr>
                <w:sz w:val="20"/>
              </w:rPr>
            </w:pPr>
            <w:r>
              <w:rPr>
                <w:sz w:val="20"/>
              </w:rPr>
              <w:t xml:space="preserve">средний удельный расход условного топлива </w:t>
            </w:r>
            <w:r>
              <w:rPr>
                <w:sz w:val="20"/>
              </w:rPr>
              <w:t>на отпуск электрической энергии</w:t>
            </w:r>
          </w:p>
        </w:tc>
        <w:tc>
          <w:tcPr>
            <w:tcW w:type="dxa" w:w="701"/>
            <w:tcBorders>
              <w:top w:color="000000" w:sz="4" w:val="single"/>
              <w:left w:color="000000" w:sz="4" w:val="single"/>
              <w:bottom w:color="000000" w:sz="4" w:val="single"/>
              <w:right w:color="000000" w:sz="4" w:val="single"/>
            </w:tcBorders>
            <w:vAlign w:val="center"/>
          </w:tcPr>
          <w:p w14:paraId="5F060000">
            <w:pPr>
              <w:spacing w:before="200" w:line="240" w:lineRule="auto"/>
              <w:ind/>
              <w:jc w:val="center"/>
              <w:rPr>
                <w:sz w:val="20"/>
              </w:rPr>
            </w:pPr>
            <w:r>
              <w:rPr>
                <w:sz w:val="20"/>
              </w:rPr>
              <w:t>Тыс. кВт.ч/ тыс. Гкал</w:t>
            </w:r>
          </w:p>
        </w:tc>
        <w:tc>
          <w:tcPr>
            <w:tcW w:type="dxa" w:w="561"/>
            <w:tcBorders>
              <w:top w:color="000000" w:sz="4" w:val="single"/>
              <w:left w:color="000000" w:sz="4" w:val="single"/>
              <w:bottom w:color="000000" w:sz="4" w:val="single"/>
              <w:right w:color="000000" w:sz="4" w:val="single"/>
            </w:tcBorders>
            <w:vAlign w:val="center"/>
          </w:tcPr>
          <w:p w14:paraId="60060000">
            <w:pPr>
              <w:spacing w:before="200" w:line="240" w:lineRule="auto"/>
              <w:ind/>
              <w:jc w:val="center"/>
              <w:rPr>
                <w:sz w:val="20"/>
              </w:rPr>
            </w:pPr>
            <w:r>
              <w:rPr>
                <w:sz w:val="20"/>
              </w:rPr>
              <w:t>12</w:t>
            </w:r>
          </w:p>
        </w:tc>
        <w:tc>
          <w:tcPr>
            <w:tcW w:type="dxa" w:w="561"/>
            <w:tcBorders>
              <w:top w:color="000000" w:sz="4" w:val="single"/>
              <w:left w:color="000000" w:sz="4" w:val="single"/>
              <w:bottom w:color="000000" w:sz="4" w:val="single"/>
              <w:right w:color="000000" w:sz="4" w:val="single"/>
            </w:tcBorders>
            <w:vAlign w:val="center"/>
          </w:tcPr>
          <w:p w14:paraId="61060000">
            <w:pPr>
              <w:spacing w:before="200" w:line="240" w:lineRule="auto"/>
              <w:ind/>
              <w:jc w:val="center"/>
              <w:rPr>
                <w:sz w:val="20"/>
              </w:rPr>
            </w:pPr>
            <w:r>
              <w:rPr>
                <w:sz w:val="20"/>
              </w:rPr>
              <w:t>12</w:t>
            </w:r>
          </w:p>
        </w:tc>
        <w:tc>
          <w:tcPr>
            <w:tcW w:type="dxa" w:w="700"/>
            <w:tcBorders>
              <w:top w:color="000000" w:sz="4" w:val="single"/>
              <w:left w:color="000000" w:sz="4" w:val="single"/>
              <w:bottom w:color="000000" w:sz="4" w:val="single"/>
              <w:right w:color="000000" w:sz="4" w:val="single"/>
            </w:tcBorders>
            <w:vAlign w:val="center"/>
          </w:tcPr>
          <w:p w14:paraId="62060000">
            <w:pPr>
              <w:spacing w:before="200" w:line="240" w:lineRule="auto"/>
              <w:ind/>
              <w:jc w:val="center"/>
              <w:rPr>
                <w:sz w:val="20"/>
              </w:rPr>
            </w:pPr>
            <w:r>
              <w:rPr>
                <w:sz w:val="20"/>
              </w:rPr>
              <w:t>12</w:t>
            </w:r>
          </w:p>
        </w:tc>
        <w:tc>
          <w:tcPr>
            <w:tcW w:type="dxa" w:w="701"/>
            <w:tcBorders>
              <w:top w:color="000000" w:sz="4" w:val="single"/>
              <w:left w:color="000000" w:sz="4" w:val="single"/>
              <w:bottom w:color="000000" w:sz="4" w:val="single"/>
              <w:right w:color="000000" w:sz="4" w:val="single"/>
            </w:tcBorders>
            <w:vAlign w:val="center"/>
          </w:tcPr>
          <w:p w14:paraId="63060000">
            <w:pPr>
              <w:spacing w:before="200" w:line="240" w:lineRule="auto"/>
              <w:ind/>
              <w:jc w:val="center"/>
              <w:rPr>
                <w:sz w:val="20"/>
              </w:rPr>
            </w:pPr>
            <w:r>
              <w:rPr>
                <w:sz w:val="20"/>
              </w:rPr>
              <w:t>12</w:t>
            </w:r>
          </w:p>
        </w:tc>
        <w:tc>
          <w:tcPr>
            <w:tcW w:type="dxa" w:w="701"/>
            <w:tcBorders>
              <w:top w:color="000000" w:sz="4" w:val="single"/>
              <w:left w:color="000000" w:sz="4" w:val="single"/>
              <w:bottom w:color="000000" w:sz="4" w:val="single"/>
              <w:right w:color="000000" w:sz="4" w:val="single"/>
            </w:tcBorders>
            <w:vAlign w:val="center"/>
          </w:tcPr>
          <w:p w14:paraId="64060000">
            <w:pPr>
              <w:spacing w:before="200" w:line="240" w:lineRule="auto"/>
              <w:ind/>
              <w:jc w:val="center"/>
              <w:rPr>
                <w:sz w:val="20"/>
              </w:rPr>
            </w:pPr>
            <w:r>
              <w:rPr>
                <w:sz w:val="20"/>
              </w:rPr>
              <w:t>12</w:t>
            </w:r>
          </w:p>
        </w:tc>
        <w:tc>
          <w:tcPr>
            <w:tcW w:type="dxa" w:w="701"/>
            <w:tcBorders>
              <w:top w:color="000000" w:sz="4" w:val="single"/>
              <w:left w:color="000000" w:sz="4" w:val="single"/>
              <w:bottom w:color="000000" w:sz="4" w:val="single"/>
              <w:right w:color="000000" w:sz="4" w:val="single"/>
            </w:tcBorders>
            <w:vAlign w:val="center"/>
          </w:tcPr>
          <w:p w14:paraId="65060000">
            <w:pPr>
              <w:spacing w:before="200" w:line="240" w:lineRule="auto"/>
              <w:ind/>
              <w:jc w:val="center"/>
              <w:rPr>
                <w:sz w:val="20"/>
              </w:rPr>
            </w:pPr>
            <w:r>
              <w:rPr>
                <w:sz w:val="20"/>
              </w:rPr>
              <w:t>12</w:t>
            </w:r>
          </w:p>
        </w:tc>
        <w:tc>
          <w:tcPr>
            <w:tcW w:type="dxa" w:w="700"/>
            <w:tcBorders>
              <w:top w:color="000000" w:sz="4" w:val="single"/>
              <w:left w:color="000000" w:sz="4" w:val="single"/>
              <w:bottom w:color="000000" w:sz="4" w:val="single"/>
              <w:right w:color="000000" w:sz="4" w:val="single"/>
            </w:tcBorders>
            <w:vAlign w:val="center"/>
          </w:tcPr>
          <w:p w14:paraId="66060000">
            <w:pPr>
              <w:spacing w:before="200" w:line="240" w:lineRule="auto"/>
              <w:ind/>
              <w:jc w:val="center"/>
              <w:rPr>
                <w:sz w:val="20"/>
              </w:rPr>
            </w:pPr>
            <w:r>
              <w:rPr>
                <w:sz w:val="20"/>
              </w:rPr>
              <w:t>12</w:t>
            </w:r>
          </w:p>
        </w:tc>
        <w:tc>
          <w:tcPr>
            <w:tcW w:type="dxa" w:w="561"/>
            <w:tcBorders>
              <w:top w:color="000000" w:sz="4" w:val="single"/>
              <w:left w:color="000000" w:sz="4" w:val="single"/>
              <w:bottom w:color="000000" w:sz="4" w:val="single"/>
              <w:right w:color="000000" w:sz="4" w:val="single"/>
            </w:tcBorders>
            <w:vAlign w:val="center"/>
          </w:tcPr>
          <w:p w14:paraId="67060000">
            <w:pPr>
              <w:spacing w:before="200" w:line="240" w:lineRule="auto"/>
              <w:ind/>
              <w:jc w:val="center"/>
              <w:rPr>
                <w:sz w:val="20"/>
              </w:rPr>
            </w:pPr>
            <w:r>
              <w:rPr>
                <w:sz w:val="20"/>
              </w:rPr>
              <w:t>12</w:t>
            </w:r>
          </w:p>
        </w:tc>
        <w:tc>
          <w:tcPr>
            <w:tcW w:type="dxa" w:w="561"/>
            <w:tcBorders>
              <w:top w:color="000000" w:sz="4" w:val="single"/>
              <w:left w:color="000000" w:sz="4" w:val="single"/>
              <w:bottom w:color="000000" w:sz="4" w:val="single"/>
              <w:right w:color="000000" w:sz="4" w:val="single"/>
            </w:tcBorders>
            <w:vAlign w:val="center"/>
          </w:tcPr>
          <w:p w14:paraId="68060000">
            <w:pPr>
              <w:spacing w:before="200" w:line="240" w:lineRule="auto"/>
              <w:ind/>
              <w:jc w:val="center"/>
              <w:rPr>
                <w:sz w:val="20"/>
              </w:rPr>
            </w:pPr>
            <w:r>
              <w:rPr>
                <w:sz w:val="20"/>
              </w:rPr>
              <w:t>12</w:t>
            </w:r>
          </w:p>
        </w:tc>
        <w:tc>
          <w:tcPr>
            <w:tcW w:type="dxa" w:w="561"/>
            <w:tcBorders>
              <w:top w:color="000000" w:sz="4" w:val="single"/>
              <w:left w:color="000000" w:sz="4" w:val="single"/>
              <w:bottom w:color="000000" w:sz="4" w:val="single"/>
              <w:right w:color="000000" w:sz="4" w:val="single"/>
            </w:tcBorders>
            <w:vAlign w:val="center"/>
          </w:tcPr>
          <w:p w14:paraId="69060000">
            <w:pPr>
              <w:spacing w:before="200" w:line="240" w:lineRule="auto"/>
              <w:ind/>
              <w:jc w:val="center"/>
              <w:rPr>
                <w:sz w:val="20"/>
              </w:rPr>
            </w:pPr>
            <w:r>
              <w:rPr>
                <w:sz w:val="20"/>
              </w:rPr>
              <w:t>12</w:t>
            </w:r>
          </w:p>
        </w:tc>
        <w:tc>
          <w:tcPr>
            <w:tcW w:type="dxa" w:w="561"/>
            <w:tcBorders>
              <w:top w:color="000000" w:sz="4" w:val="single"/>
              <w:left w:color="000000" w:sz="4" w:val="single"/>
              <w:bottom w:color="000000" w:sz="4" w:val="single"/>
              <w:right w:color="000000" w:sz="4" w:val="single"/>
            </w:tcBorders>
            <w:vAlign w:val="center"/>
          </w:tcPr>
          <w:p w14:paraId="6A060000">
            <w:pPr>
              <w:spacing w:before="200" w:line="240" w:lineRule="auto"/>
              <w:ind/>
              <w:jc w:val="center"/>
              <w:rPr>
                <w:sz w:val="20"/>
              </w:rPr>
            </w:pPr>
            <w:r>
              <w:rPr>
                <w:sz w:val="20"/>
              </w:rPr>
              <w:t>12</w:t>
            </w:r>
          </w:p>
        </w:tc>
      </w:tr>
      <w:tr>
        <w:trPr>
          <w:trHeight w:hRule="atLeast" w:val="918"/>
        </w:trPr>
        <w:tc>
          <w:tcPr>
            <w:tcW w:type="dxa" w:w="1962"/>
            <w:tcBorders>
              <w:top w:color="000000" w:sz="4" w:val="single"/>
              <w:left w:color="000000" w:sz="4" w:val="single"/>
              <w:bottom w:color="000000" w:sz="4" w:val="single"/>
              <w:right w:color="000000" w:sz="4" w:val="single"/>
            </w:tcBorders>
            <w:vAlign w:val="center"/>
          </w:tcPr>
          <w:p w14:paraId="6B060000">
            <w:pPr>
              <w:spacing w:before="200" w:line="240" w:lineRule="auto"/>
              <w:ind/>
              <w:jc w:val="center"/>
              <w:rPr>
                <w:sz w:val="20"/>
              </w:rPr>
            </w:pPr>
            <w:r>
              <w:rPr>
                <w:sz w:val="20"/>
              </w:rPr>
              <w:t>коэффициент использования теплоты топлива</w:t>
            </w:r>
          </w:p>
        </w:tc>
        <w:tc>
          <w:tcPr>
            <w:tcW w:type="dxa" w:w="701"/>
            <w:tcBorders>
              <w:top w:color="000000" w:sz="4" w:val="single"/>
              <w:left w:color="000000" w:sz="4" w:val="single"/>
              <w:bottom w:color="000000" w:sz="4" w:val="single"/>
              <w:right w:color="000000" w:sz="4" w:val="single"/>
            </w:tcBorders>
            <w:vAlign w:val="center"/>
          </w:tcPr>
          <w:p w14:paraId="6C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6D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6E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vAlign w:val="center"/>
          </w:tcPr>
          <w:p w14:paraId="6F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70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71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72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vAlign w:val="center"/>
          </w:tcPr>
          <w:p w14:paraId="73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74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75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76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77060000">
            <w:pPr>
              <w:spacing w:before="200" w:line="240" w:lineRule="auto"/>
              <w:ind/>
              <w:jc w:val="center"/>
              <w:rPr>
                <w:sz w:val="20"/>
              </w:rPr>
            </w:pPr>
            <w:r>
              <w:rPr>
                <w:sz w:val="20"/>
              </w:rPr>
              <w:t>-</w:t>
            </w:r>
          </w:p>
        </w:tc>
      </w:tr>
      <w:tr>
        <w:trPr>
          <w:trHeight w:hRule="atLeast" w:val="1798"/>
        </w:trPr>
        <w:tc>
          <w:tcPr>
            <w:tcW w:type="dxa" w:w="1962"/>
            <w:tcBorders>
              <w:top w:color="000000" w:sz="4" w:val="single"/>
              <w:left w:color="000000" w:sz="4" w:val="single"/>
              <w:bottom w:color="000000" w:sz="4" w:val="single"/>
              <w:right w:color="000000" w:sz="4" w:val="single"/>
            </w:tcBorders>
            <w:vAlign w:val="center"/>
          </w:tcPr>
          <w:p w14:paraId="78060000">
            <w:pPr>
              <w:spacing w:before="200" w:line="240" w:lineRule="auto"/>
              <w:ind/>
              <w:jc w:val="center"/>
              <w:rPr>
                <w:sz w:val="20"/>
              </w:rPr>
            </w:pPr>
            <w:r>
              <w:rPr>
                <w:sz w:val="20"/>
              </w:rPr>
              <w:t xml:space="preserve">доля отпуска тепловой энергии, осуществляемого потребителям по приборам учета, в общем объеме </w:t>
            </w:r>
            <w:r>
              <w:rPr>
                <w:sz w:val="20"/>
              </w:rPr>
              <w:t>отпущенной тепловой энергии</w:t>
            </w:r>
          </w:p>
        </w:tc>
        <w:tc>
          <w:tcPr>
            <w:tcW w:type="dxa" w:w="701"/>
            <w:tcBorders>
              <w:top w:color="000000" w:sz="4" w:val="single"/>
              <w:left w:color="000000" w:sz="4" w:val="single"/>
              <w:bottom w:color="000000" w:sz="4" w:val="single"/>
              <w:right w:color="000000" w:sz="4" w:val="single"/>
            </w:tcBorders>
            <w:vAlign w:val="center"/>
          </w:tcPr>
          <w:p w14:paraId="79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7A060000">
            <w:pPr>
              <w:spacing w:before="200" w:line="240" w:lineRule="auto"/>
              <w:ind/>
              <w:jc w:val="center"/>
              <w:rPr>
                <w:sz w:val="20"/>
              </w:rPr>
            </w:pPr>
            <w:r>
              <w:rPr>
                <w:sz w:val="20"/>
              </w:rPr>
              <w:t>18</w:t>
            </w:r>
          </w:p>
        </w:tc>
        <w:tc>
          <w:tcPr>
            <w:tcW w:type="dxa" w:w="561"/>
            <w:tcBorders>
              <w:top w:color="000000" w:sz="4" w:val="single"/>
              <w:left w:color="000000" w:sz="4" w:val="single"/>
              <w:bottom w:color="000000" w:sz="4" w:val="single"/>
              <w:right w:color="000000" w:sz="4" w:val="single"/>
            </w:tcBorders>
            <w:vAlign w:val="center"/>
          </w:tcPr>
          <w:p w14:paraId="7B060000">
            <w:pPr>
              <w:spacing w:before="200" w:line="240" w:lineRule="auto"/>
              <w:ind/>
              <w:jc w:val="center"/>
              <w:rPr>
                <w:sz w:val="20"/>
              </w:rPr>
            </w:pPr>
            <w:r>
              <w:rPr>
                <w:sz w:val="20"/>
              </w:rPr>
              <w:t>18</w:t>
            </w:r>
          </w:p>
        </w:tc>
        <w:tc>
          <w:tcPr>
            <w:tcW w:type="dxa" w:w="700"/>
            <w:tcBorders>
              <w:top w:color="000000" w:sz="4" w:val="single"/>
              <w:left w:color="000000" w:sz="4" w:val="single"/>
              <w:bottom w:color="000000" w:sz="4" w:val="single"/>
              <w:right w:color="000000" w:sz="4" w:val="single"/>
            </w:tcBorders>
            <w:vAlign w:val="center"/>
          </w:tcPr>
          <w:p w14:paraId="7C060000">
            <w:pPr>
              <w:spacing w:before="200" w:line="240" w:lineRule="auto"/>
              <w:ind/>
              <w:jc w:val="center"/>
              <w:rPr>
                <w:sz w:val="20"/>
              </w:rPr>
            </w:pPr>
            <w:r>
              <w:rPr>
                <w:sz w:val="20"/>
              </w:rPr>
              <w:t>18</w:t>
            </w:r>
          </w:p>
        </w:tc>
        <w:tc>
          <w:tcPr>
            <w:tcW w:type="dxa" w:w="701"/>
            <w:tcBorders>
              <w:top w:color="000000" w:sz="4" w:val="single"/>
              <w:left w:color="000000" w:sz="4" w:val="single"/>
              <w:bottom w:color="000000" w:sz="4" w:val="single"/>
              <w:right w:color="000000" w:sz="4" w:val="single"/>
            </w:tcBorders>
            <w:vAlign w:val="center"/>
          </w:tcPr>
          <w:p w14:paraId="7D060000">
            <w:pPr>
              <w:spacing w:before="200" w:line="240" w:lineRule="auto"/>
              <w:ind/>
              <w:jc w:val="center"/>
              <w:rPr>
                <w:sz w:val="20"/>
              </w:rPr>
            </w:pPr>
            <w:r>
              <w:rPr>
                <w:sz w:val="20"/>
              </w:rPr>
              <w:t>18</w:t>
            </w:r>
          </w:p>
        </w:tc>
        <w:tc>
          <w:tcPr>
            <w:tcW w:type="dxa" w:w="701"/>
            <w:tcBorders>
              <w:top w:color="000000" w:sz="4" w:val="single"/>
              <w:left w:color="000000" w:sz="4" w:val="single"/>
              <w:bottom w:color="000000" w:sz="4" w:val="single"/>
              <w:right w:color="000000" w:sz="4" w:val="single"/>
            </w:tcBorders>
            <w:vAlign w:val="center"/>
          </w:tcPr>
          <w:p w14:paraId="7E060000">
            <w:pPr>
              <w:spacing w:before="200" w:line="240" w:lineRule="auto"/>
              <w:ind/>
              <w:jc w:val="center"/>
              <w:rPr>
                <w:sz w:val="20"/>
              </w:rPr>
            </w:pPr>
            <w:r>
              <w:rPr>
                <w:sz w:val="20"/>
              </w:rPr>
              <w:t>18</w:t>
            </w:r>
          </w:p>
        </w:tc>
        <w:tc>
          <w:tcPr>
            <w:tcW w:type="dxa" w:w="701"/>
            <w:tcBorders>
              <w:top w:color="000000" w:sz="4" w:val="single"/>
              <w:left w:color="000000" w:sz="4" w:val="single"/>
              <w:bottom w:color="000000" w:sz="4" w:val="single"/>
              <w:right w:color="000000" w:sz="4" w:val="single"/>
            </w:tcBorders>
            <w:vAlign w:val="center"/>
          </w:tcPr>
          <w:p w14:paraId="7F060000">
            <w:pPr>
              <w:spacing w:before="200" w:line="240" w:lineRule="auto"/>
              <w:ind/>
              <w:jc w:val="center"/>
              <w:rPr>
                <w:sz w:val="20"/>
              </w:rPr>
            </w:pPr>
            <w:r>
              <w:rPr>
                <w:sz w:val="20"/>
              </w:rPr>
              <w:t>18</w:t>
            </w:r>
          </w:p>
        </w:tc>
        <w:tc>
          <w:tcPr>
            <w:tcW w:type="dxa" w:w="700"/>
            <w:tcBorders>
              <w:top w:color="000000" w:sz="4" w:val="single"/>
              <w:left w:color="000000" w:sz="4" w:val="single"/>
              <w:bottom w:color="000000" w:sz="4" w:val="single"/>
              <w:right w:color="000000" w:sz="4" w:val="single"/>
            </w:tcBorders>
            <w:vAlign w:val="center"/>
          </w:tcPr>
          <w:p w14:paraId="80060000">
            <w:pPr>
              <w:spacing w:before="200" w:line="240" w:lineRule="auto"/>
              <w:ind/>
              <w:jc w:val="center"/>
              <w:rPr>
                <w:sz w:val="20"/>
              </w:rPr>
            </w:pPr>
            <w:r>
              <w:rPr>
                <w:sz w:val="20"/>
              </w:rPr>
              <w:t>18</w:t>
            </w:r>
          </w:p>
        </w:tc>
        <w:tc>
          <w:tcPr>
            <w:tcW w:type="dxa" w:w="561"/>
            <w:tcBorders>
              <w:top w:color="000000" w:sz="4" w:val="single"/>
              <w:left w:color="000000" w:sz="4" w:val="single"/>
              <w:bottom w:color="000000" w:sz="4" w:val="single"/>
              <w:right w:color="000000" w:sz="4" w:val="single"/>
            </w:tcBorders>
            <w:vAlign w:val="center"/>
          </w:tcPr>
          <w:p w14:paraId="81060000">
            <w:pPr>
              <w:spacing w:before="200" w:line="240" w:lineRule="auto"/>
              <w:ind/>
              <w:jc w:val="center"/>
              <w:rPr>
                <w:sz w:val="20"/>
              </w:rPr>
            </w:pPr>
            <w:r>
              <w:rPr>
                <w:sz w:val="20"/>
              </w:rPr>
              <w:t>18</w:t>
            </w:r>
          </w:p>
        </w:tc>
        <w:tc>
          <w:tcPr>
            <w:tcW w:type="dxa" w:w="561"/>
            <w:tcBorders>
              <w:top w:color="000000" w:sz="4" w:val="single"/>
              <w:left w:color="000000" w:sz="4" w:val="single"/>
              <w:bottom w:color="000000" w:sz="4" w:val="single"/>
              <w:right w:color="000000" w:sz="4" w:val="single"/>
            </w:tcBorders>
            <w:vAlign w:val="center"/>
          </w:tcPr>
          <w:p w14:paraId="82060000">
            <w:pPr>
              <w:spacing w:before="200" w:line="240" w:lineRule="auto"/>
              <w:ind/>
              <w:jc w:val="center"/>
              <w:rPr>
                <w:sz w:val="20"/>
              </w:rPr>
            </w:pPr>
            <w:r>
              <w:rPr>
                <w:sz w:val="20"/>
              </w:rPr>
              <w:t>18</w:t>
            </w:r>
          </w:p>
        </w:tc>
        <w:tc>
          <w:tcPr>
            <w:tcW w:type="dxa" w:w="561"/>
            <w:tcBorders>
              <w:top w:color="000000" w:sz="4" w:val="single"/>
              <w:left w:color="000000" w:sz="4" w:val="single"/>
              <w:bottom w:color="000000" w:sz="4" w:val="single"/>
              <w:right w:color="000000" w:sz="4" w:val="single"/>
            </w:tcBorders>
            <w:vAlign w:val="center"/>
          </w:tcPr>
          <w:p w14:paraId="83060000">
            <w:pPr>
              <w:spacing w:before="200" w:line="240" w:lineRule="auto"/>
              <w:ind/>
              <w:jc w:val="center"/>
              <w:rPr>
                <w:sz w:val="20"/>
              </w:rPr>
            </w:pPr>
            <w:r>
              <w:rPr>
                <w:sz w:val="20"/>
              </w:rPr>
              <w:t>18</w:t>
            </w:r>
          </w:p>
        </w:tc>
        <w:tc>
          <w:tcPr>
            <w:tcW w:type="dxa" w:w="561"/>
            <w:tcBorders>
              <w:top w:color="000000" w:sz="4" w:val="single"/>
              <w:left w:color="000000" w:sz="4" w:val="single"/>
              <w:bottom w:color="000000" w:sz="4" w:val="single"/>
              <w:right w:color="000000" w:sz="4" w:val="single"/>
            </w:tcBorders>
            <w:vAlign w:val="center"/>
          </w:tcPr>
          <w:p w14:paraId="84060000">
            <w:pPr>
              <w:spacing w:before="200" w:line="240" w:lineRule="auto"/>
              <w:ind/>
              <w:jc w:val="center"/>
              <w:rPr>
                <w:sz w:val="20"/>
              </w:rPr>
            </w:pPr>
            <w:r>
              <w:rPr>
                <w:sz w:val="20"/>
              </w:rPr>
              <w:t>18</w:t>
            </w:r>
          </w:p>
        </w:tc>
      </w:tr>
      <w:tr>
        <w:trPr>
          <w:trHeight w:hRule="atLeast" w:val="1114"/>
        </w:trPr>
        <w:tc>
          <w:tcPr>
            <w:tcW w:type="dxa" w:w="1962"/>
            <w:tcBorders>
              <w:top w:color="000000" w:sz="4" w:val="single"/>
              <w:left w:color="000000" w:sz="4" w:val="single"/>
              <w:bottom w:color="000000" w:sz="4" w:val="single"/>
              <w:right w:color="000000" w:sz="4" w:val="single"/>
            </w:tcBorders>
            <w:vAlign w:val="center"/>
          </w:tcPr>
          <w:p w14:paraId="85060000">
            <w:pPr>
              <w:spacing w:before="200" w:line="240" w:lineRule="auto"/>
              <w:ind/>
              <w:jc w:val="center"/>
              <w:rPr>
                <w:sz w:val="20"/>
              </w:rPr>
            </w:pPr>
            <w:r>
              <w:rPr>
                <w:sz w:val="20"/>
              </w:rPr>
              <w:t>средневзвешенный (по материальной характеристике) срок эксплуатации тепловых сетей</w:t>
            </w:r>
          </w:p>
        </w:tc>
        <w:tc>
          <w:tcPr>
            <w:tcW w:type="dxa" w:w="701"/>
            <w:tcBorders>
              <w:top w:color="000000" w:sz="4" w:val="single"/>
              <w:left w:color="000000" w:sz="4" w:val="single"/>
              <w:bottom w:color="000000" w:sz="4" w:val="single"/>
              <w:right w:color="000000" w:sz="4" w:val="single"/>
            </w:tcBorders>
            <w:vAlign w:val="center"/>
          </w:tcPr>
          <w:p w14:paraId="86060000">
            <w:pPr>
              <w:spacing w:before="200" w:line="240" w:lineRule="auto"/>
              <w:ind/>
              <w:jc w:val="center"/>
              <w:rPr>
                <w:sz w:val="20"/>
              </w:rPr>
            </w:pPr>
            <w:r>
              <w:rPr>
                <w:sz w:val="20"/>
              </w:rPr>
              <w:t>лет</w:t>
            </w:r>
          </w:p>
        </w:tc>
        <w:tc>
          <w:tcPr>
            <w:tcW w:type="dxa" w:w="561"/>
            <w:tcBorders>
              <w:top w:color="000000" w:sz="4" w:val="single"/>
              <w:left w:color="000000" w:sz="4" w:val="single"/>
              <w:bottom w:color="000000" w:sz="4" w:val="single"/>
              <w:right w:color="000000" w:sz="4" w:val="single"/>
            </w:tcBorders>
            <w:vAlign w:val="center"/>
          </w:tcPr>
          <w:p w14:paraId="87060000">
            <w:pPr>
              <w:spacing w:before="200" w:line="240" w:lineRule="auto"/>
              <w:ind/>
              <w:jc w:val="center"/>
              <w:rPr>
                <w:sz w:val="20"/>
              </w:rPr>
            </w:pPr>
            <w:r>
              <w:rPr>
                <w:sz w:val="20"/>
              </w:rPr>
              <w:t>15</w:t>
            </w:r>
          </w:p>
        </w:tc>
        <w:tc>
          <w:tcPr>
            <w:tcW w:type="dxa" w:w="561"/>
            <w:tcBorders>
              <w:top w:color="000000" w:sz="4" w:val="single"/>
              <w:left w:color="000000" w:sz="4" w:val="single"/>
              <w:bottom w:color="000000" w:sz="4" w:val="single"/>
              <w:right w:color="000000" w:sz="4" w:val="single"/>
            </w:tcBorders>
            <w:vAlign w:val="center"/>
          </w:tcPr>
          <w:p w14:paraId="88060000">
            <w:pPr>
              <w:spacing w:before="200" w:line="240" w:lineRule="auto"/>
              <w:ind/>
              <w:jc w:val="center"/>
              <w:rPr>
                <w:sz w:val="20"/>
              </w:rPr>
            </w:pPr>
            <w:r>
              <w:rPr>
                <w:sz w:val="20"/>
              </w:rPr>
              <w:t>15</w:t>
            </w:r>
          </w:p>
        </w:tc>
        <w:tc>
          <w:tcPr>
            <w:tcW w:type="dxa" w:w="700"/>
            <w:tcBorders>
              <w:top w:color="000000" w:sz="4" w:val="single"/>
              <w:left w:color="000000" w:sz="4" w:val="single"/>
              <w:bottom w:color="000000" w:sz="4" w:val="single"/>
              <w:right w:color="000000" w:sz="4" w:val="single"/>
            </w:tcBorders>
            <w:vAlign w:val="center"/>
          </w:tcPr>
          <w:p w14:paraId="89060000">
            <w:pPr>
              <w:spacing w:before="200" w:line="240" w:lineRule="auto"/>
              <w:ind/>
              <w:jc w:val="center"/>
              <w:rPr>
                <w:sz w:val="20"/>
              </w:rPr>
            </w:pPr>
            <w:r>
              <w:rPr>
                <w:sz w:val="20"/>
              </w:rPr>
              <w:t>15</w:t>
            </w:r>
          </w:p>
        </w:tc>
        <w:tc>
          <w:tcPr>
            <w:tcW w:type="dxa" w:w="701"/>
            <w:tcBorders>
              <w:top w:color="000000" w:sz="4" w:val="single"/>
              <w:left w:color="000000" w:sz="4" w:val="single"/>
              <w:bottom w:color="000000" w:sz="4" w:val="single"/>
              <w:right w:color="000000" w:sz="4" w:val="single"/>
            </w:tcBorders>
            <w:vAlign w:val="center"/>
          </w:tcPr>
          <w:p w14:paraId="8A060000">
            <w:pPr>
              <w:spacing w:before="200" w:line="240" w:lineRule="auto"/>
              <w:ind/>
              <w:jc w:val="center"/>
              <w:rPr>
                <w:sz w:val="20"/>
              </w:rPr>
            </w:pPr>
            <w:r>
              <w:rPr>
                <w:sz w:val="20"/>
              </w:rPr>
              <w:t>15</w:t>
            </w:r>
          </w:p>
        </w:tc>
        <w:tc>
          <w:tcPr>
            <w:tcW w:type="dxa" w:w="701"/>
            <w:tcBorders>
              <w:top w:color="000000" w:sz="4" w:val="single"/>
              <w:left w:color="000000" w:sz="4" w:val="single"/>
              <w:bottom w:color="000000" w:sz="4" w:val="single"/>
              <w:right w:color="000000" w:sz="4" w:val="single"/>
            </w:tcBorders>
            <w:vAlign w:val="center"/>
          </w:tcPr>
          <w:p w14:paraId="8B060000">
            <w:pPr>
              <w:spacing w:before="200" w:line="240" w:lineRule="auto"/>
              <w:ind/>
              <w:jc w:val="center"/>
              <w:rPr>
                <w:sz w:val="20"/>
              </w:rPr>
            </w:pPr>
            <w:r>
              <w:rPr>
                <w:sz w:val="20"/>
              </w:rPr>
              <w:t>15</w:t>
            </w:r>
          </w:p>
        </w:tc>
        <w:tc>
          <w:tcPr>
            <w:tcW w:type="dxa" w:w="701"/>
            <w:tcBorders>
              <w:top w:color="000000" w:sz="4" w:val="single"/>
              <w:left w:color="000000" w:sz="4" w:val="single"/>
              <w:bottom w:color="000000" w:sz="4" w:val="single"/>
              <w:right w:color="000000" w:sz="4" w:val="single"/>
            </w:tcBorders>
            <w:vAlign w:val="center"/>
          </w:tcPr>
          <w:p w14:paraId="8C060000">
            <w:pPr>
              <w:spacing w:before="200" w:line="240" w:lineRule="auto"/>
              <w:ind/>
              <w:jc w:val="center"/>
              <w:rPr>
                <w:sz w:val="20"/>
              </w:rPr>
            </w:pPr>
            <w:r>
              <w:rPr>
                <w:sz w:val="20"/>
              </w:rPr>
              <w:t>15</w:t>
            </w:r>
          </w:p>
        </w:tc>
        <w:tc>
          <w:tcPr>
            <w:tcW w:type="dxa" w:w="700"/>
            <w:tcBorders>
              <w:top w:color="000000" w:sz="4" w:val="single"/>
              <w:left w:color="000000" w:sz="4" w:val="single"/>
              <w:bottom w:color="000000" w:sz="4" w:val="single"/>
              <w:right w:color="000000" w:sz="4" w:val="single"/>
            </w:tcBorders>
            <w:vAlign w:val="center"/>
          </w:tcPr>
          <w:p w14:paraId="8D060000">
            <w:pPr>
              <w:spacing w:before="200" w:line="240" w:lineRule="auto"/>
              <w:ind/>
              <w:jc w:val="center"/>
              <w:rPr>
                <w:sz w:val="20"/>
              </w:rPr>
            </w:pPr>
            <w:r>
              <w:rPr>
                <w:sz w:val="20"/>
              </w:rPr>
              <w:t>15</w:t>
            </w:r>
          </w:p>
        </w:tc>
        <w:tc>
          <w:tcPr>
            <w:tcW w:type="dxa" w:w="561"/>
            <w:tcBorders>
              <w:top w:color="000000" w:sz="4" w:val="single"/>
              <w:left w:color="000000" w:sz="4" w:val="single"/>
              <w:bottom w:color="000000" w:sz="4" w:val="single"/>
              <w:right w:color="000000" w:sz="4" w:val="single"/>
            </w:tcBorders>
            <w:vAlign w:val="center"/>
          </w:tcPr>
          <w:p w14:paraId="8E060000">
            <w:pPr>
              <w:spacing w:before="200" w:line="240" w:lineRule="auto"/>
              <w:ind/>
              <w:jc w:val="center"/>
              <w:rPr>
                <w:sz w:val="20"/>
              </w:rPr>
            </w:pPr>
            <w:r>
              <w:rPr>
                <w:sz w:val="20"/>
              </w:rPr>
              <w:t>15</w:t>
            </w:r>
          </w:p>
        </w:tc>
        <w:tc>
          <w:tcPr>
            <w:tcW w:type="dxa" w:w="561"/>
            <w:tcBorders>
              <w:top w:color="000000" w:sz="4" w:val="single"/>
              <w:left w:color="000000" w:sz="4" w:val="single"/>
              <w:bottom w:color="000000" w:sz="4" w:val="single"/>
              <w:right w:color="000000" w:sz="4" w:val="single"/>
            </w:tcBorders>
            <w:vAlign w:val="center"/>
          </w:tcPr>
          <w:p w14:paraId="8F060000">
            <w:pPr>
              <w:spacing w:before="200" w:line="240" w:lineRule="auto"/>
              <w:ind/>
              <w:jc w:val="center"/>
              <w:rPr>
                <w:sz w:val="20"/>
              </w:rPr>
            </w:pPr>
            <w:r>
              <w:rPr>
                <w:sz w:val="20"/>
              </w:rPr>
              <w:t>15</w:t>
            </w:r>
          </w:p>
        </w:tc>
        <w:tc>
          <w:tcPr>
            <w:tcW w:type="dxa" w:w="561"/>
            <w:tcBorders>
              <w:top w:color="000000" w:sz="4" w:val="single"/>
              <w:left w:color="000000" w:sz="4" w:val="single"/>
              <w:bottom w:color="000000" w:sz="4" w:val="single"/>
              <w:right w:color="000000" w:sz="4" w:val="single"/>
            </w:tcBorders>
            <w:vAlign w:val="center"/>
          </w:tcPr>
          <w:p w14:paraId="90060000">
            <w:pPr>
              <w:spacing w:before="200" w:line="240" w:lineRule="auto"/>
              <w:ind/>
              <w:jc w:val="center"/>
              <w:rPr>
                <w:sz w:val="20"/>
              </w:rPr>
            </w:pPr>
            <w:r>
              <w:rPr>
                <w:sz w:val="20"/>
              </w:rPr>
              <w:t>15</w:t>
            </w:r>
          </w:p>
        </w:tc>
        <w:tc>
          <w:tcPr>
            <w:tcW w:type="dxa" w:w="561"/>
            <w:tcBorders>
              <w:top w:color="000000" w:sz="4" w:val="single"/>
              <w:left w:color="000000" w:sz="4" w:val="single"/>
              <w:bottom w:color="000000" w:sz="4" w:val="single"/>
              <w:right w:color="000000" w:sz="4" w:val="single"/>
            </w:tcBorders>
            <w:vAlign w:val="center"/>
          </w:tcPr>
          <w:p w14:paraId="91060000">
            <w:pPr>
              <w:spacing w:before="200" w:line="240" w:lineRule="auto"/>
              <w:ind/>
              <w:jc w:val="center"/>
              <w:rPr>
                <w:sz w:val="20"/>
              </w:rPr>
            </w:pPr>
            <w:r>
              <w:rPr>
                <w:sz w:val="20"/>
              </w:rPr>
              <w:t>15</w:t>
            </w:r>
          </w:p>
        </w:tc>
      </w:tr>
      <w:tr>
        <w:trPr>
          <w:trHeight w:hRule="atLeast" w:val="1966"/>
        </w:trPr>
        <w:tc>
          <w:tcPr>
            <w:tcW w:type="dxa" w:w="1962"/>
            <w:tcBorders>
              <w:top w:color="000000" w:sz="4" w:val="single"/>
              <w:left w:color="000000" w:sz="4" w:val="single"/>
              <w:bottom w:color="000000" w:sz="4" w:val="single"/>
              <w:right w:color="000000" w:sz="4" w:val="single"/>
            </w:tcBorders>
            <w:vAlign w:val="center"/>
          </w:tcPr>
          <w:p w14:paraId="92060000">
            <w:pPr>
              <w:spacing w:before="200" w:line="240" w:lineRule="auto"/>
              <w:ind/>
              <w:jc w:val="center"/>
              <w:rPr>
                <w:sz w:val="20"/>
              </w:rPr>
            </w:pPr>
            <w:r>
              <w:rPr>
                <w:sz w:val="20"/>
              </w:rPr>
              <w:t xml:space="preserve">отношение материальной характеристики тепловых сетей, </w:t>
            </w:r>
            <w:r>
              <w:rPr>
                <w:sz w:val="20"/>
              </w:rPr>
              <w:t>реконструированных за год, к общей материальной характеристике тепловых сетей</w:t>
            </w:r>
          </w:p>
        </w:tc>
        <w:tc>
          <w:tcPr>
            <w:tcW w:type="dxa" w:w="701"/>
            <w:tcBorders>
              <w:top w:color="000000" w:sz="4" w:val="single"/>
              <w:left w:color="000000" w:sz="4" w:val="single"/>
              <w:bottom w:color="000000" w:sz="4" w:val="single"/>
              <w:right w:color="000000" w:sz="4" w:val="single"/>
            </w:tcBorders>
            <w:vAlign w:val="center"/>
          </w:tcPr>
          <w:p w14:paraId="93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94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95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vAlign w:val="center"/>
          </w:tcPr>
          <w:p w14:paraId="96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97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98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99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vAlign w:val="center"/>
          </w:tcPr>
          <w:p w14:paraId="9A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9B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9C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9D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9E060000">
            <w:pPr>
              <w:spacing w:before="200" w:line="240" w:lineRule="auto"/>
              <w:ind/>
              <w:jc w:val="center"/>
              <w:rPr>
                <w:sz w:val="20"/>
              </w:rPr>
            </w:pPr>
            <w:r>
              <w:rPr>
                <w:sz w:val="20"/>
              </w:rPr>
              <w:t>-</w:t>
            </w:r>
          </w:p>
        </w:tc>
      </w:tr>
      <w:tr>
        <w:trPr>
          <w:trHeight w:hRule="atLeast" w:val="208"/>
        </w:trPr>
        <w:tc>
          <w:tcPr>
            <w:tcW w:type="dxa" w:w="1962"/>
            <w:tcBorders>
              <w:top w:color="000000" w:sz="4" w:val="single"/>
              <w:left w:color="000000" w:sz="4" w:val="single"/>
              <w:bottom w:color="000000" w:sz="4" w:val="single"/>
              <w:right w:color="000000" w:sz="4" w:val="single"/>
            </w:tcBorders>
            <w:vAlign w:val="center"/>
          </w:tcPr>
          <w:p w14:paraId="9F060000">
            <w:pPr>
              <w:spacing w:before="200" w:line="240" w:lineRule="auto"/>
              <w:ind/>
              <w:jc w:val="center"/>
              <w:rPr>
                <w:sz w:val="20"/>
              </w:rPr>
            </w:pPr>
            <w:r>
              <w:rPr>
                <w:sz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w:t>
            </w:r>
            <w:r>
              <w:rPr>
                <w:sz w:val="20"/>
              </w:rPr>
              <w:t>источников тепловой энергии</w:t>
            </w:r>
          </w:p>
        </w:tc>
        <w:tc>
          <w:tcPr>
            <w:tcW w:type="dxa" w:w="701"/>
            <w:tcBorders>
              <w:top w:color="000000" w:sz="4" w:val="single"/>
              <w:left w:color="000000" w:sz="4" w:val="single"/>
              <w:bottom w:color="000000" w:sz="4" w:val="single"/>
              <w:right w:color="000000" w:sz="4" w:val="single"/>
            </w:tcBorders>
            <w:vAlign w:val="center"/>
          </w:tcPr>
          <w:p w14:paraId="A0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A1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A2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vAlign w:val="center"/>
          </w:tcPr>
          <w:p w14:paraId="A3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A4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A5060000">
            <w:pPr>
              <w:spacing w:before="200" w:line="240" w:lineRule="auto"/>
              <w:ind/>
              <w:jc w:val="center"/>
              <w:rPr>
                <w:sz w:val="20"/>
              </w:rPr>
            </w:pPr>
            <w:r>
              <w:rPr>
                <w:sz w:val="20"/>
              </w:rPr>
              <w:t>-</w:t>
            </w:r>
          </w:p>
        </w:tc>
        <w:tc>
          <w:tcPr>
            <w:tcW w:type="dxa" w:w="701"/>
            <w:tcBorders>
              <w:top w:color="000000" w:sz="4" w:val="single"/>
              <w:left w:color="000000" w:sz="4" w:val="single"/>
              <w:bottom w:color="000000" w:sz="4" w:val="single"/>
              <w:right w:color="000000" w:sz="4" w:val="single"/>
            </w:tcBorders>
            <w:vAlign w:val="center"/>
          </w:tcPr>
          <w:p w14:paraId="A6060000">
            <w:pPr>
              <w:spacing w:before="200" w:line="240" w:lineRule="auto"/>
              <w:ind/>
              <w:jc w:val="center"/>
              <w:rPr>
                <w:sz w:val="20"/>
              </w:rPr>
            </w:pPr>
            <w:r>
              <w:rPr>
                <w:sz w:val="20"/>
              </w:rPr>
              <w:t>-</w:t>
            </w:r>
          </w:p>
        </w:tc>
        <w:tc>
          <w:tcPr>
            <w:tcW w:type="dxa" w:w="700"/>
            <w:tcBorders>
              <w:top w:color="000000" w:sz="4" w:val="single"/>
              <w:left w:color="000000" w:sz="4" w:val="single"/>
              <w:bottom w:color="000000" w:sz="4" w:val="single"/>
              <w:right w:color="000000" w:sz="4" w:val="single"/>
            </w:tcBorders>
            <w:vAlign w:val="center"/>
          </w:tcPr>
          <w:p w14:paraId="A7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A8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A9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AA060000">
            <w:pPr>
              <w:spacing w:before="200" w:line="240" w:lineRule="auto"/>
              <w:ind/>
              <w:jc w:val="center"/>
              <w:rPr>
                <w:sz w:val="20"/>
              </w:rPr>
            </w:pPr>
            <w:r>
              <w:rPr>
                <w:sz w:val="20"/>
              </w:rPr>
              <w:t>-</w:t>
            </w:r>
          </w:p>
        </w:tc>
        <w:tc>
          <w:tcPr>
            <w:tcW w:type="dxa" w:w="561"/>
            <w:tcBorders>
              <w:top w:color="000000" w:sz="4" w:val="single"/>
              <w:left w:color="000000" w:sz="4" w:val="single"/>
              <w:bottom w:color="000000" w:sz="4" w:val="single"/>
              <w:right w:color="000000" w:sz="4" w:val="single"/>
            </w:tcBorders>
            <w:vAlign w:val="center"/>
          </w:tcPr>
          <w:p w14:paraId="AB060000">
            <w:pPr>
              <w:spacing w:before="200" w:line="240" w:lineRule="auto"/>
              <w:ind/>
              <w:jc w:val="center"/>
              <w:rPr>
                <w:sz w:val="20"/>
              </w:rPr>
            </w:pPr>
            <w:r>
              <w:rPr>
                <w:sz w:val="20"/>
              </w:rPr>
              <w:t>-</w:t>
            </w:r>
          </w:p>
        </w:tc>
      </w:tr>
    </w:tbl>
    <w:p w14:paraId="AC060000">
      <w:pPr>
        <w:spacing w:before="200" w:line="240" w:lineRule="auto"/>
        <w:ind w:firstLine="709" w:left="0"/>
        <w:jc w:val="both"/>
        <w:rPr>
          <w:b w:val="1"/>
          <w:sz w:val="28"/>
        </w:rPr>
      </w:pPr>
    </w:p>
    <w:p w14:paraId="AD060000">
      <w:pPr>
        <w:spacing w:before="200" w:line="240" w:lineRule="auto"/>
        <w:ind w:firstLine="709" w:left="0"/>
        <w:jc w:val="both"/>
        <w:rPr>
          <w:b w:val="1"/>
          <w:sz w:val="28"/>
        </w:rPr>
      </w:pPr>
      <w:r>
        <w:rPr>
          <w:b w:val="1"/>
          <w:sz w:val="28"/>
        </w:rPr>
        <w:t>РАЗДЕЛ 15. ЦЕНОВЫЕ (ТАРИФНЫЕ) ПОСЛЕДСТВИЯ</w:t>
      </w:r>
    </w:p>
    <w:p w14:paraId="AE060000">
      <w:pPr>
        <w:spacing w:line="240" w:lineRule="auto"/>
        <w:ind w:firstLine="709" w:left="0"/>
        <w:jc w:val="both"/>
        <w:rPr>
          <w:sz w:val="28"/>
        </w:rPr>
      </w:pPr>
      <w:r>
        <w:rPr>
          <w:sz w:val="28"/>
        </w:rPr>
        <w:t>Для выполнения анализа ценовых последствий реализации мероприятий, предусмотренных схемой, выполняется прогноз тарифов на тепловую энергию до 2033 года. Расчёт тарифов на тепловую энергию выполнен за базовый период 2022 год. Прогнозные тарифы рассчитаны на</w:t>
      </w:r>
      <w:r>
        <w:rPr>
          <w:sz w:val="28"/>
        </w:rPr>
        <w:t xml:space="preserve"> основе экспертных оценок и могут пересматриваться по мере появления уточнённых прогнозов социально-экономического развития по данным Минэкономразвития РФ (прогнозов роста цен на топливо и электроэнергию, индекса потребительских цен и других индексов-дефля</w:t>
      </w:r>
      <w:r>
        <w:rPr>
          <w:sz w:val="28"/>
        </w:rPr>
        <w:t>торов), и с учётом изменения, условий реализации мероприятий схемы. Прогноз потерь тепловой энергии при её передаче по тепловым сетям, от данной котельной определены в размере 226,633 Гкал в 2024-2025 годах, в размере 198,72 Гкал в 2026 году, и до 2033 год</w:t>
      </w:r>
      <w:r>
        <w:rPr>
          <w:sz w:val="28"/>
        </w:rPr>
        <w:t>а 156,8 Гкал в год. Стоимость мероприятий по модернизации источников теплоснабжения итепловых сетей в ценах 2023 г. 17501,36+3511,02 тыс. руб.. Структура затрат на проведение запланированных мероприятий представлена на рисунке 2 схемы теплоснабжения. Необх</w:t>
      </w:r>
      <w:r>
        <w:rPr>
          <w:sz w:val="28"/>
        </w:rPr>
        <w:t>одимо отметить, что увеличение тарифа до значений, обеспечивающих необходимую валовую выручку (далее – НВВ), не является единственным источником финансирования запланированных мероприятий.</w:t>
      </w:r>
    </w:p>
    <w:p w14:paraId="AF060000">
      <w:pPr>
        <w:spacing w:line="240" w:lineRule="auto"/>
        <w:ind w:firstLine="709" w:left="0"/>
        <w:jc w:val="both"/>
        <w:rPr>
          <w:sz w:val="28"/>
        </w:rPr>
      </w:pPr>
      <w:r>
        <w:rPr>
          <w:sz w:val="28"/>
        </w:rPr>
        <w:t xml:space="preserve">Рисунок 1 Прогноз тарифа на тепловую энергию </w:t>
      </w:r>
    </w:p>
    <w:p w14:paraId="B0060000">
      <w:pPr>
        <w:spacing w:after="0" w:line="240" w:lineRule="auto"/>
        <w:ind/>
        <w:jc w:val="center"/>
        <w:rPr>
          <w:sz w:val="28"/>
        </w:rPr>
      </w:pPr>
      <w:r>
        <w:rPr>
          <w:sz w:val="28"/>
        </w:rPr>
        <w:drawing>
          <wp:inline>
            <wp:extent cx="5657850" cy="1895475"/>
            <wp:effectExtent b="0" l="0" r="0" t="0"/>
            <wp:docPr hidden="false" id="2" name="Picture 2"/>
            <a:graphic>
              <a:graphicData uri="http://schemas.openxmlformats.org/drawingml/2006/picture">
                <pic:pic>
                  <pic:nvPicPr>
                    <pic:cNvPr hidden="false" id="1" name="Picture 1"/>
                    <pic:cNvPicPr preferRelativeResize="true"/>
                  </pic:nvPicPr>
                  <pic:blipFill>
                    <a:blip/>
                    <a:stretch/>
                  </pic:blipFill>
                  <pic:spPr>
                    <a:xfrm flipH="false" flipV="false" rot="0">
                      <a:ext cx="5657850" cy="1895475"/>
                    </a:xfrm>
                    <a:prstGeom prst="rect"/>
                  </pic:spPr>
                </pic:pic>
              </a:graphicData>
            </a:graphic>
          </wp:inline>
        </w:drawing>
      </w:r>
    </w:p>
    <w:p w14:paraId="B1060000">
      <w:pPr>
        <w:spacing w:after="0" w:line="240" w:lineRule="auto"/>
        <w:ind/>
        <w:jc w:val="center"/>
      </w:pPr>
      <w:r>
        <w:rPr>
          <w:sz w:val="28"/>
        </w:rPr>
        <w:t xml:space="preserve">Рисунок 2Структура </w:t>
      </w:r>
      <w:r>
        <w:rPr>
          <w:sz w:val="28"/>
        </w:rPr>
        <w:t>затрат на проведение мероприятий</w:t>
      </w:r>
    </w:p>
    <w:p w14:paraId="B2060000">
      <w:pPr>
        <w:spacing w:after="0" w:line="240" w:lineRule="auto"/>
        <w:ind w:firstLine="440" w:left="0"/>
        <w:jc w:val="center"/>
        <w:rPr>
          <w:sz w:val="28"/>
        </w:rPr>
      </w:pPr>
      <w:r>
        <w:drawing>
          <wp:inline>
            <wp:extent cx="3962400" cy="2047875"/>
            <wp:effectExtent b="0" l="0" r="0" t="0"/>
            <wp:docPr hidden="false" id="4" name="Picture 4"/>
            <a:graphic>
              <a:graphicData uri="http://schemas.openxmlformats.org/drawingml/2006/picture">
                <pic:pic>
                  <pic:nvPicPr>
                    <pic:cNvPr hidden="false" id="3" name="Picture 3"/>
                    <pic:cNvPicPr preferRelativeResize="true"/>
                  </pic:nvPicPr>
                  <pic:blipFill>
                    <a:blip/>
                    <a:stretch/>
                  </pic:blipFill>
                  <pic:spPr>
                    <a:xfrm flipH="false" flipV="false" rot="0">
                      <a:ext cx="3962400" cy="2047875"/>
                    </a:xfrm>
                    <a:prstGeom prst="rect"/>
                  </pic:spPr>
                </pic:pic>
              </a:graphicData>
            </a:graphic>
          </wp:inline>
        </w:drawing>
      </w:r>
    </w:p>
    <w:p w14:paraId="B3060000">
      <w:pPr>
        <w:spacing w:after="0" w:line="240" w:lineRule="auto"/>
        <w:ind w:firstLine="709" w:left="0"/>
        <w:jc w:val="both"/>
        <w:rPr>
          <w:sz w:val="28"/>
        </w:rPr>
      </w:pPr>
    </w:p>
    <w:p w14:paraId="B4060000">
      <w:pPr>
        <w:spacing w:after="0" w:line="240" w:lineRule="auto"/>
        <w:ind w:firstLine="709" w:left="0"/>
        <w:jc w:val="both"/>
        <w:rPr>
          <w:sz w:val="28"/>
        </w:rPr>
      </w:pPr>
    </w:p>
    <w:p w14:paraId="B5060000">
      <w:pPr>
        <w:spacing w:after="0" w:line="240" w:lineRule="auto"/>
        <w:ind w:firstLine="709" w:left="0"/>
        <w:jc w:val="both"/>
        <w:rPr>
          <w:sz w:val="28"/>
        </w:rPr>
      </w:pPr>
    </w:p>
    <w:p w14:paraId="B6060000">
      <w:pPr>
        <w:spacing w:line="20" w:lineRule="atLeast"/>
        <w:ind/>
        <w:jc w:val="both"/>
        <w:rPr>
          <w:b w:val="1"/>
          <w:sz w:val="28"/>
        </w:rPr>
      </w:pPr>
    </w:p>
    <w:p w14:paraId="B7060000">
      <w:pPr>
        <w:spacing w:line="20" w:lineRule="atLeast"/>
        <w:ind w:firstLine="709" w:left="0"/>
        <w:jc w:val="both"/>
        <w:rPr>
          <w:b w:val="1"/>
          <w:sz w:val="28"/>
        </w:rPr>
      </w:pPr>
    </w:p>
    <w:p w14:paraId="B8060000">
      <w:pPr>
        <w:spacing w:line="20" w:lineRule="atLeast"/>
        <w:ind w:firstLine="709" w:left="0"/>
        <w:jc w:val="both"/>
        <w:rPr>
          <w:b w:val="1"/>
          <w:sz w:val="28"/>
        </w:rPr>
      </w:pPr>
    </w:p>
    <w:p w14:paraId="B9060000">
      <w:pPr>
        <w:spacing w:line="20" w:lineRule="atLeast"/>
        <w:ind w:firstLine="709" w:left="0"/>
        <w:jc w:val="both"/>
        <w:rPr>
          <w:b w:val="1"/>
          <w:sz w:val="28"/>
        </w:rPr>
      </w:pPr>
    </w:p>
    <w:p w14:paraId="BA060000">
      <w:pPr>
        <w:spacing w:line="20" w:lineRule="atLeast"/>
        <w:ind w:firstLine="709" w:left="0"/>
        <w:jc w:val="both"/>
        <w:rPr>
          <w:b w:val="1"/>
          <w:sz w:val="28"/>
        </w:rPr>
      </w:pPr>
    </w:p>
    <w:p w14:paraId="BB060000">
      <w:pPr>
        <w:spacing w:line="20" w:lineRule="atLeast"/>
        <w:ind w:firstLine="709" w:left="0"/>
        <w:jc w:val="both"/>
        <w:rPr>
          <w:b w:val="1"/>
          <w:sz w:val="28"/>
        </w:rPr>
      </w:pPr>
    </w:p>
    <w:p w14:paraId="BC060000">
      <w:pPr>
        <w:spacing w:after="0" w:line="20" w:lineRule="atLeast"/>
        <w:ind/>
        <w:jc w:val="center"/>
        <w:rPr>
          <w:b w:val="1"/>
          <w:sz w:val="28"/>
        </w:rPr>
      </w:pPr>
      <w:r>
        <w:rPr>
          <w:b w:val="1"/>
          <w:sz w:val="28"/>
        </w:rPr>
        <w:t>ЧАСТЬ II. ОБОСНОВЫВАЮЩИЕ МАТЕРИАЛЫ К АКТУАЛИЗАЦИИ СХЕМЫ ТЕПЛОСНАБЖЕНИЯ КУЙБЫШЕВСКОГО СЕЛЬСКОГО ПОСЕЛЕНИЯ КУЙБЫШЕВСКОГО РАЙОНА</w:t>
      </w:r>
    </w:p>
    <w:p w14:paraId="BD060000">
      <w:pPr>
        <w:spacing w:after="0" w:line="20" w:lineRule="atLeast"/>
        <w:ind/>
        <w:jc w:val="center"/>
        <w:rPr>
          <w:b w:val="1"/>
          <w:sz w:val="28"/>
        </w:rPr>
      </w:pPr>
    </w:p>
    <w:p w14:paraId="BE060000">
      <w:pPr>
        <w:spacing w:after="0" w:line="20" w:lineRule="atLeast"/>
        <w:ind/>
        <w:jc w:val="center"/>
        <w:rPr>
          <w:b w:val="1"/>
          <w:sz w:val="28"/>
        </w:rPr>
      </w:pPr>
    </w:p>
    <w:p w14:paraId="BF060000">
      <w:pPr>
        <w:spacing w:after="0" w:line="20" w:lineRule="atLeast"/>
        <w:ind/>
        <w:jc w:val="center"/>
        <w:rPr>
          <w:b w:val="1"/>
          <w:sz w:val="28"/>
        </w:rPr>
      </w:pPr>
    </w:p>
    <w:p w14:paraId="C0060000">
      <w:pPr>
        <w:spacing w:after="0" w:line="20" w:lineRule="atLeast"/>
        <w:ind/>
        <w:jc w:val="center"/>
        <w:rPr>
          <w:b w:val="1"/>
          <w:sz w:val="28"/>
        </w:rPr>
      </w:pPr>
    </w:p>
    <w:p w14:paraId="C1060000">
      <w:pPr>
        <w:spacing w:after="0" w:line="20" w:lineRule="atLeast"/>
        <w:ind/>
        <w:jc w:val="center"/>
        <w:rPr>
          <w:b w:val="1"/>
          <w:sz w:val="28"/>
        </w:rPr>
      </w:pPr>
    </w:p>
    <w:p w14:paraId="C2060000">
      <w:pPr>
        <w:spacing w:after="0" w:line="20" w:lineRule="atLeast"/>
        <w:ind/>
        <w:jc w:val="center"/>
        <w:rPr>
          <w:b w:val="1"/>
          <w:sz w:val="28"/>
        </w:rPr>
      </w:pPr>
    </w:p>
    <w:p w14:paraId="C3060000">
      <w:pPr>
        <w:spacing w:after="0" w:line="20" w:lineRule="atLeast"/>
        <w:ind/>
        <w:jc w:val="center"/>
        <w:rPr>
          <w:b w:val="1"/>
          <w:sz w:val="28"/>
        </w:rPr>
      </w:pPr>
    </w:p>
    <w:p w14:paraId="C4060000">
      <w:pPr>
        <w:spacing w:after="0" w:line="20" w:lineRule="atLeast"/>
        <w:ind/>
        <w:jc w:val="center"/>
        <w:rPr>
          <w:b w:val="1"/>
          <w:sz w:val="28"/>
        </w:rPr>
      </w:pPr>
    </w:p>
    <w:p w14:paraId="C5060000">
      <w:pPr>
        <w:spacing w:after="0" w:line="20" w:lineRule="atLeast"/>
        <w:ind/>
        <w:jc w:val="both"/>
        <w:rPr>
          <w:b w:val="1"/>
          <w:sz w:val="28"/>
        </w:rPr>
      </w:pPr>
    </w:p>
    <w:p w14:paraId="C6060000">
      <w:pPr>
        <w:spacing w:after="0" w:line="20" w:lineRule="atLeast"/>
        <w:ind/>
        <w:jc w:val="center"/>
        <w:rPr>
          <w:b w:val="1"/>
          <w:sz w:val="28"/>
        </w:rPr>
      </w:pPr>
    </w:p>
    <w:p w14:paraId="C7060000">
      <w:pPr>
        <w:spacing w:after="0" w:line="20" w:lineRule="atLeast"/>
        <w:ind/>
        <w:jc w:val="center"/>
        <w:rPr>
          <w:b w:val="1"/>
          <w:sz w:val="28"/>
        </w:rPr>
      </w:pPr>
    </w:p>
    <w:p w14:paraId="C8060000">
      <w:pPr>
        <w:spacing w:after="0" w:line="20" w:lineRule="atLeast"/>
        <w:ind/>
        <w:jc w:val="center"/>
        <w:rPr>
          <w:b w:val="1"/>
          <w:sz w:val="28"/>
        </w:rPr>
      </w:pPr>
    </w:p>
    <w:p w14:paraId="C9060000">
      <w:pPr>
        <w:spacing w:line="20" w:lineRule="atLeast"/>
        <w:ind/>
        <w:jc w:val="right"/>
        <w:rPr>
          <w:sz w:val="28"/>
        </w:rPr>
      </w:pPr>
      <w:r>
        <w:rPr>
          <w:sz w:val="28"/>
        </w:rPr>
        <w:t>Используемое сокращение в части II:</w:t>
      </w:r>
    </w:p>
    <w:p w14:paraId="CA060000">
      <w:pPr>
        <w:spacing w:after="0" w:line="20" w:lineRule="atLeast"/>
        <w:ind/>
        <w:jc w:val="right"/>
        <w:rPr>
          <w:b w:val="1"/>
          <w:sz w:val="28"/>
        </w:rPr>
      </w:pPr>
      <w:r>
        <w:rPr>
          <w:sz w:val="28"/>
        </w:rPr>
        <w:t>Постановление Правительства Российской Федерации № 154 от 22.02.2012 года «О требованиях к схемам теплоснабжения, порядку их разработки и утверждения» (с изменениями и дополнениями от 7 октября 2014 г., 18, 23 марта, 12 июля 2016 г., 3 апреля 2018 г., 16 м</w:t>
      </w:r>
      <w:r>
        <w:rPr>
          <w:sz w:val="28"/>
        </w:rPr>
        <w:t xml:space="preserve">арта 2019 г., 31 мая 2022 г., 10 января 2023 г.) (ПП РФ № 154) </w:t>
      </w:r>
    </w:p>
    <w:p w14:paraId="CB060000">
      <w:pPr>
        <w:spacing w:after="0" w:line="20" w:lineRule="atLeast"/>
        <w:ind/>
        <w:jc w:val="right"/>
        <w:rPr>
          <w:b w:val="1"/>
          <w:sz w:val="28"/>
        </w:rPr>
      </w:pPr>
    </w:p>
    <w:p w14:paraId="CC060000">
      <w:pPr>
        <w:spacing w:after="0" w:line="20" w:lineRule="atLeast"/>
        <w:ind/>
        <w:jc w:val="center"/>
        <w:rPr>
          <w:b w:val="1"/>
          <w:sz w:val="28"/>
        </w:rPr>
      </w:pPr>
    </w:p>
    <w:p w14:paraId="CD060000">
      <w:pPr>
        <w:spacing w:line="20" w:lineRule="atLeast"/>
        <w:ind/>
        <w:jc w:val="center"/>
        <w:rPr>
          <w:b w:val="1"/>
          <w:sz w:val="28"/>
        </w:rPr>
      </w:pPr>
      <w:r>
        <w:rPr>
          <w:b w:val="1"/>
          <w:sz w:val="28"/>
        </w:rPr>
        <w:t>Глава 1 «Существующее положение в сфере производства, передачи и потребления тепловой энергии для целей теплоснабжения Куйбышевского сельского поселения Куйбышевского района»</w:t>
      </w:r>
    </w:p>
    <w:p w14:paraId="CE060000">
      <w:pPr>
        <w:spacing w:line="20" w:lineRule="atLeast"/>
        <w:ind/>
        <w:jc w:val="center"/>
        <w:rPr>
          <w:b w:val="1"/>
          <w:sz w:val="28"/>
        </w:rPr>
      </w:pPr>
      <w:r>
        <w:rPr>
          <w:b w:val="1"/>
          <w:sz w:val="28"/>
        </w:rPr>
        <w:t>Часть 1 «Функци</w:t>
      </w:r>
      <w:r>
        <w:rPr>
          <w:b w:val="1"/>
          <w:sz w:val="28"/>
        </w:rPr>
        <w:t>ональная структура теплоснабжения Куйбышевского сельского поселения Куйбышевского района»</w:t>
      </w:r>
    </w:p>
    <w:p w14:paraId="CF060000">
      <w:pPr>
        <w:spacing w:after="0" w:line="240" w:lineRule="auto"/>
        <w:ind w:firstLine="709" w:left="0"/>
        <w:jc w:val="both"/>
        <w:rPr>
          <w:sz w:val="28"/>
        </w:rPr>
      </w:pPr>
      <w:r>
        <w:rPr>
          <w:sz w:val="28"/>
        </w:rPr>
        <w:t xml:space="preserve">В настоящее время теплоснабжение Куйбышевского сельского поселения в основном индивидуальное. Основными потребителями являются жилая застройка и прочие предприятия. </w:t>
      </w:r>
    </w:p>
    <w:p w14:paraId="D0060000">
      <w:pPr>
        <w:pStyle w:val="Style_3"/>
        <w:ind w:firstLine="560" w:left="0"/>
        <w:jc w:val="both"/>
        <w:rPr>
          <w:sz w:val="28"/>
        </w:rPr>
      </w:pPr>
      <w:r>
        <w:rPr>
          <w:sz w:val="28"/>
        </w:rPr>
        <w:t>Функциональная структура централизованного теплоснабжения Куйбышевского сельского поселения представляет собой производство тепловой энергии и передача её потребителю юридическим лицом. Потребителями тепловой энергии являются: общественные здания, социальн</w:t>
      </w:r>
      <w:r>
        <w:rPr>
          <w:sz w:val="28"/>
        </w:rPr>
        <w:t>о – культурные объекты.</w:t>
      </w:r>
    </w:p>
    <w:p w14:paraId="D1060000">
      <w:pPr>
        <w:pStyle w:val="Style_3"/>
        <w:ind w:firstLine="560" w:left="0"/>
        <w:jc w:val="both"/>
        <w:rPr>
          <w:sz w:val="28"/>
        </w:rPr>
      </w:pPr>
      <w:r>
        <w:rPr>
          <w:sz w:val="28"/>
        </w:rPr>
        <w:t xml:space="preserve">В границах Куйбышевского сельского поселения система теплоснабжения осуществляется теплоснабжающими организациями </w:t>
      </w:r>
      <w:bookmarkStart w:id="2" w:name="_Hlk141791843"/>
      <w:r>
        <w:rPr>
          <w:sz w:val="28"/>
        </w:rPr>
        <w:t>Куйбышевское обособленное подразделение – филиал ООО «Ростовтеплоэнерго» Куйбышевского района Ростовской области</w:t>
      </w:r>
      <w:bookmarkEnd w:id="2"/>
      <w:r>
        <w:rPr>
          <w:sz w:val="28"/>
        </w:rPr>
        <w:t xml:space="preserve"> (7 ко</w:t>
      </w:r>
      <w:r>
        <w:rPr>
          <w:sz w:val="28"/>
        </w:rPr>
        <w:t xml:space="preserve">тельных) и ООО «Теплогарант» (19 котельных). </w:t>
      </w:r>
    </w:p>
    <w:p w14:paraId="D2060000">
      <w:pPr>
        <w:pStyle w:val="Style_3"/>
        <w:ind w:firstLine="560" w:left="0"/>
        <w:jc w:val="both"/>
        <w:rPr>
          <w:sz w:val="28"/>
        </w:rPr>
      </w:pPr>
      <w:r>
        <w:rPr>
          <w:sz w:val="28"/>
        </w:rPr>
        <w:t>Куйбышевское обособленное подразделение – филиал ООО «Ростовтеплоэнерго» Куйбышевского района Ростовской области, адрес: 344012, г. Ростов-на-Дону, ул. Фрунзе, д.5, к.1. Границами зоны деятельности теплоснабжаю</w:t>
      </w:r>
      <w:r>
        <w:rPr>
          <w:sz w:val="28"/>
        </w:rPr>
        <w:t xml:space="preserve">щей организации в Куйбышевском сельском поселении является территория действия котельных в х. Свободный, х. Новобахмутский, с. Русское, с. Куйбышево, х. Ольховский, снабжающие тепловой энергией потребителей (15 объектов). </w:t>
      </w:r>
    </w:p>
    <w:p w14:paraId="D3060000">
      <w:pPr>
        <w:spacing w:after="0" w:line="240" w:lineRule="auto"/>
        <w:ind w:firstLine="560" w:left="0"/>
        <w:jc w:val="both"/>
        <w:rPr>
          <w:sz w:val="28"/>
        </w:rPr>
      </w:pPr>
      <w:r>
        <w:rPr>
          <w:sz w:val="28"/>
        </w:rPr>
        <w:t>Куйбышевское ОП – филиал ООО «Рос</w:t>
      </w:r>
      <w:r>
        <w:rPr>
          <w:sz w:val="28"/>
        </w:rPr>
        <w:t xml:space="preserve">товтеплоэнерго» КР РО эксплуатируют газовые котельные 7 шт., установленная мощность котельных 3,911 Гкал/ч. Куйбышевское ОП – ООО «Теплогарант» эксплуатируют газовые </w:t>
      </w:r>
      <w:r>
        <w:rPr>
          <w:sz w:val="28"/>
        </w:rPr>
        <w:t>котельные 19 шт., установленная мощность котельных 1,213 Гкал/ч. Регулирование отпуска теп</w:t>
      </w:r>
      <w:r>
        <w:rPr>
          <w:sz w:val="28"/>
        </w:rPr>
        <w:t>ла от источников централизованного теплоснабжения осуществляется по отопительному графику 95/70 ºС. Транспорт тепла от источников централизованного теплоснабжения осуществляется по развитой системе распределительных сетей. Схема присоединения систем отопле</w:t>
      </w:r>
      <w:r>
        <w:rPr>
          <w:sz w:val="28"/>
        </w:rPr>
        <w:t>ния независимая. В таблице 17 перечислен реестр имущества, необходимого для организации централизованного теплоснабжения населения сельского поселения.</w:t>
      </w:r>
    </w:p>
    <w:p w14:paraId="D4060000">
      <w:pPr>
        <w:spacing w:after="0" w:line="240" w:lineRule="auto"/>
        <w:ind w:firstLine="709" w:left="0"/>
        <w:jc w:val="both"/>
        <w:rPr>
          <w:sz w:val="28"/>
        </w:rPr>
      </w:pPr>
      <w:r>
        <w:rPr>
          <w:sz w:val="28"/>
        </w:rPr>
        <w:t>Оплату за потреблённую тепловую энергию осуществляют юридические лица напрямую с теплоснабжающей организ</w:t>
      </w:r>
      <w:r>
        <w:rPr>
          <w:sz w:val="28"/>
        </w:rPr>
        <w:t xml:space="preserve">ацией. </w:t>
      </w:r>
    </w:p>
    <w:p w14:paraId="D5060000">
      <w:pPr>
        <w:spacing w:after="0" w:line="240" w:lineRule="auto"/>
        <w:ind w:firstLine="709" w:left="0"/>
        <w:jc w:val="both"/>
        <w:rPr>
          <w:sz w:val="28"/>
        </w:rPr>
      </w:pPr>
      <w:r>
        <w:rPr>
          <w:sz w:val="28"/>
        </w:rPr>
        <w:t>Ежегодно в теплоснабжающей организации разрабатываются и утверждаются нормативные внутриорганизационные документы, направленные на поддержание качественного, надёжного и безопасного функционирования теплоснабжения. В документах регламентируются вну</w:t>
      </w:r>
      <w:r>
        <w:rPr>
          <w:sz w:val="28"/>
        </w:rPr>
        <w:t>триорганизационные и вне-организационные правила ведения оперативных переговоров, порядки согласования вывода из работы и вывода из резерва оборудования, его ремонта, правила ведения оперативной документации и прочие нормативные документы.</w:t>
      </w:r>
    </w:p>
    <w:p w14:paraId="D6060000">
      <w:pPr>
        <w:spacing w:after="0" w:line="240" w:lineRule="auto"/>
        <w:ind w:firstLine="709" w:left="0"/>
        <w:jc w:val="both"/>
        <w:rPr>
          <w:sz w:val="28"/>
        </w:rPr>
      </w:pPr>
      <w:r>
        <w:rPr>
          <w:sz w:val="28"/>
        </w:rPr>
        <w:t>Индивидуальное т</w:t>
      </w:r>
      <w:r>
        <w:rPr>
          <w:sz w:val="28"/>
        </w:rPr>
        <w:t xml:space="preserve">еплоснабжение потребителей осуществляется </w:t>
      </w:r>
    </w:p>
    <w:p w14:paraId="D7060000">
      <w:pPr>
        <w:spacing w:after="0" w:line="240" w:lineRule="auto"/>
        <w:ind/>
        <w:jc w:val="both"/>
        <w:rPr>
          <w:sz w:val="28"/>
        </w:rPr>
      </w:pPr>
      <w:r>
        <w:rPr>
          <w:sz w:val="28"/>
        </w:rPr>
        <w:t xml:space="preserve">посредством индивидуальных поквартирных котлов, от автоматических газовых отопительных котлов. Источником газоснабжения является существующая сеть газопровода высокого давления. Давление газа на выходе 0,3 МПа (3,0 кгс/см²). </w:t>
      </w:r>
    </w:p>
    <w:p w14:paraId="D8060000">
      <w:pPr>
        <w:spacing w:line="240" w:lineRule="auto"/>
        <w:ind w:firstLine="709" w:left="0"/>
        <w:jc w:val="both"/>
        <w:rPr>
          <w:sz w:val="28"/>
        </w:rPr>
      </w:pPr>
      <w:r>
        <w:rPr>
          <w:sz w:val="28"/>
        </w:rPr>
        <w:t>На территории Куйбышевского се</w:t>
      </w:r>
      <w:r>
        <w:rPr>
          <w:sz w:val="28"/>
        </w:rPr>
        <w:t xml:space="preserve">льского поселения производственные котельные не предусмотрены.  </w:t>
      </w:r>
    </w:p>
    <w:p w14:paraId="D9060000">
      <w:pPr>
        <w:spacing w:line="240" w:lineRule="auto"/>
        <w:ind w:firstLine="709" w:left="0"/>
        <w:jc w:val="center"/>
        <w:rPr>
          <w:b w:val="1"/>
          <w:sz w:val="28"/>
        </w:rPr>
      </w:pPr>
      <w:r>
        <w:rPr>
          <w:b w:val="1"/>
          <w:sz w:val="28"/>
        </w:rPr>
        <w:t>Часть 2 «Источники тепловой энергии Куйбышевского сельского поселения Куйбышевского района»</w:t>
      </w:r>
    </w:p>
    <w:p w14:paraId="DA060000">
      <w:pPr>
        <w:spacing w:line="240" w:lineRule="auto"/>
        <w:ind w:firstLine="709" w:left="0"/>
        <w:jc w:val="both"/>
        <w:rPr>
          <w:sz w:val="28"/>
        </w:rPr>
      </w:pPr>
      <w:r>
        <w:rPr>
          <w:sz w:val="28"/>
        </w:rPr>
        <w:t xml:space="preserve">а) Структура и технические характеристики основного оборудования. </w:t>
      </w:r>
    </w:p>
    <w:p w14:paraId="DB060000">
      <w:pPr>
        <w:spacing w:line="240" w:lineRule="auto"/>
        <w:ind w:firstLine="709" w:left="0"/>
        <w:jc w:val="both"/>
        <w:rPr>
          <w:sz w:val="28"/>
        </w:rPr>
      </w:pPr>
      <w:r>
        <w:rPr>
          <w:sz w:val="28"/>
        </w:rPr>
        <w:t>Котельные, эксплуатирующиеКуйбыш</w:t>
      </w:r>
      <w:r>
        <w:rPr>
          <w:sz w:val="28"/>
        </w:rPr>
        <w:t>евскими ОП – филиалом ООО «Ростовтеплоэнерго» КР РО и ООО «Теплогарант», работают на газу. Котлы, установленные в котельных различных марок (марки КЧМ-5 (9 секций), КСГВ-31,5, КСТГ 31,5, АОГВ-50, Protherm-50, КСТГВ-20, Гефест КСГ-16, марки «Beretta»  NOVEL</w:t>
      </w:r>
      <w:r>
        <w:rPr>
          <w:sz w:val="28"/>
        </w:rPr>
        <w:t xml:space="preserve">LA  MAXIMA 99, КСГ-20, КСГ-12,5, КСГ-10,КСГВ -20М. Все котельные оснащены вычислительным (измерительным) комплексом, циркуляционными и подпиточными насосами.  </w:t>
      </w:r>
    </w:p>
    <w:p w14:paraId="DC060000">
      <w:pPr>
        <w:spacing w:line="240" w:lineRule="auto"/>
        <w:ind w:firstLine="709" w:left="0"/>
        <w:jc w:val="both"/>
        <w:rPr>
          <w:sz w:val="28"/>
        </w:rPr>
      </w:pPr>
      <w:r>
        <w:rPr>
          <w:sz w:val="28"/>
        </w:rPr>
        <w:t>Таблица 17 Котельные Куйбышевского сельского поселения</w:t>
      </w:r>
    </w:p>
    <w:tbl>
      <w:tblPr>
        <w:tblStyle w:val="Style_4"/>
        <w:tblInd w:type="dxa" w:w="113"/>
        <w:tblLayout w:type="fixed"/>
      </w:tblPr>
      <w:tblGrid>
        <w:gridCol w:w="5321"/>
        <w:gridCol w:w="4204"/>
      </w:tblGrid>
      <w:tr>
        <w:trPr>
          <w:trHeight w:hRule="atLeast" w:val="252"/>
        </w:trPr>
        <w:tc>
          <w:tcPr>
            <w:tcW w:type="dxa" w:w="5321"/>
            <w:tcBorders>
              <w:top w:color="000000" w:sz="4" w:val="single"/>
              <w:left w:color="000000" w:sz="4" w:val="single"/>
              <w:bottom w:color="000000" w:sz="4" w:val="single"/>
              <w:right w:color="000000" w:sz="4" w:val="single"/>
            </w:tcBorders>
            <w:vAlign w:val="center"/>
          </w:tcPr>
          <w:p w14:paraId="DD060000">
            <w:pPr>
              <w:spacing w:after="0" w:line="240" w:lineRule="auto"/>
              <w:ind/>
              <w:jc w:val="center"/>
              <w:rPr>
                <w:sz w:val="20"/>
              </w:rPr>
            </w:pPr>
            <w:r>
              <w:rPr>
                <w:sz w:val="20"/>
              </w:rPr>
              <w:t>Адрес котельных</w:t>
            </w:r>
          </w:p>
        </w:tc>
        <w:tc>
          <w:tcPr>
            <w:tcW w:type="dxa" w:w="4204"/>
            <w:tcBorders>
              <w:top w:color="000000" w:sz="4" w:val="single"/>
              <w:left w:sz="4" w:val="nil"/>
              <w:bottom w:color="000000" w:sz="4" w:val="single"/>
              <w:right w:color="000000" w:sz="4" w:val="single"/>
            </w:tcBorders>
            <w:vAlign w:val="center"/>
          </w:tcPr>
          <w:p w14:paraId="DE060000">
            <w:pPr>
              <w:spacing w:after="0" w:line="240" w:lineRule="auto"/>
              <w:ind/>
              <w:jc w:val="center"/>
              <w:rPr>
                <w:sz w:val="20"/>
              </w:rPr>
            </w:pPr>
            <w:r>
              <w:rPr>
                <w:sz w:val="20"/>
              </w:rPr>
              <w:t>Установленная мощность ко</w:t>
            </w:r>
            <w:r>
              <w:rPr>
                <w:sz w:val="20"/>
              </w:rPr>
              <w:t>тельной, Гкал/час</w:t>
            </w:r>
          </w:p>
        </w:tc>
      </w:tr>
      <w:tr>
        <w:trPr>
          <w:trHeight w:hRule="atLeast" w:val="230"/>
        </w:trPr>
        <w:tc>
          <w:tcPr>
            <w:tcW w:type="dxa" w:w="5321"/>
            <w:tcBorders>
              <w:top w:sz="4" w:val="nil"/>
              <w:left w:color="000000" w:sz="4" w:val="single"/>
              <w:bottom w:color="000000" w:sz="4" w:val="single"/>
              <w:right w:color="000000" w:sz="4" w:val="single"/>
            </w:tcBorders>
            <w:vAlign w:val="center"/>
          </w:tcPr>
          <w:p w14:paraId="DF060000">
            <w:pPr>
              <w:spacing w:after="0" w:line="240" w:lineRule="auto"/>
              <w:ind/>
              <w:jc w:val="center"/>
              <w:rPr>
                <w:sz w:val="20"/>
              </w:rPr>
            </w:pPr>
            <w:r>
              <w:rPr>
                <w:sz w:val="20"/>
              </w:rPr>
              <w:t>с. Куйбышево, ул. Пролетарская, 7</w:t>
            </w:r>
          </w:p>
        </w:tc>
        <w:tc>
          <w:tcPr>
            <w:tcW w:type="dxa" w:w="4204"/>
            <w:tcBorders>
              <w:top w:sz="4" w:val="nil"/>
              <w:left w:color="000000" w:sz="4" w:val="single"/>
              <w:bottom w:color="000000" w:sz="4" w:val="single"/>
              <w:right w:color="000000" w:sz="4" w:val="single"/>
            </w:tcBorders>
            <w:vAlign w:val="center"/>
          </w:tcPr>
          <w:p w14:paraId="E0060000">
            <w:pPr>
              <w:spacing w:after="0" w:line="240" w:lineRule="auto"/>
              <w:ind/>
              <w:jc w:val="center"/>
              <w:rPr>
                <w:sz w:val="20"/>
              </w:rPr>
            </w:pPr>
            <w:r>
              <w:rPr>
                <w:sz w:val="20"/>
              </w:rPr>
              <w:t>3,44</w:t>
            </w:r>
          </w:p>
        </w:tc>
      </w:tr>
      <w:tr>
        <w:trPr>
          <w:trHeight w:hRule="atLeast" w:val="203"/>
        </w:trPr>
        <w:tc>
          <w:tcPr>
            <w:tcW w:type="dxa" w:w="5321"/>
            <w:tcBorders>
              <w:top w:sz="4" w:val="nil"/>
              <w:left w:color="000000" w:sz="4" w:val="single"/>
              <w:bottom w:color="000000" w:sz="4" w:val="single"/>
              <w:right w:color="000000" w:sz="4" w:val="single"/>
            </w:tcBorders>
            <w:vAlign w:val="center"/>
          </w:tcPr>
          <w:p w14:paraId="E1060000">
            <w:pPr>
              <w:spacing w:after="0" w:line="240" w:lineRule="auto"/>
              <w:ind/>
              <w:jc w:val="center"/>
              <w:rPr>
                <w:sz w:val="20"/>
              </w:rPr>
            </w:pPr>
            <w:r>
              <w:rPr>
                <w:sz w:val="20"/>
              </w:rPr>
              <w:t>с. Русское, ул. Красноармейская,8-а</w:t>
            </w:r>
          </w:p>
        </w:tc>
        <w:tc>
          <w:tcPr>
            <w:tcW w:type="dxa" w:w="4204"/>
            <w:tcBorders>
              <w:top w:sz="4" w:val="nil"/>
              <w:left w:sz="4" w:val="nil"/>
              <w:bottom w:color="000000" w:sz="4" w:val="single"/>
              <w:right w:color="000000" w:sz="4" w:val="single"/>
            </w:tcBorders>
            <w:vAlign w:val="center"/>
          </w:tcPr>
          <w:p w14:paraId="E2060000">
            <w:pPr>
              <w:spacing w:after="0" w:line="240" w:lineRule="auto"/>
              <w:ind/>
              <w:jc w:val="center"/>
              <w:rPr>
                <w:sz w:val="20"/>
              </w:rPr>
            </w:pPr>
            <w:r>
              <w:rPr>
                <w:sz w:val="20"/>
              </w:rPr>
              <w:t>0,165</w:t>
            </w:r>
          </w:p>
        </w:tc>
      </w:tr>
      <w:tr>
        <w:trPr>
          <w:trHeight w:hRule="atLeast" w:val="258"/>
        </w:trPr>
        <w:tc>
          <w:tcPr>
            <w:tcW w:type="dxa" w:w="5321"/>
            <w:tcBorders>
              <w:top w:sz="4" w:val="nil"/>
              <w:left w:color="000000" w:sz="4" w:val="single"/>
              <w:bottom w:color="000000" w:sz="4" w:val="single"/>
              <w:right w:color="000000" w:sz="4" w:val="single"/>
            </w:tcBorders>
            <w:vAlign w:val="center"/>
          </w:tcPr>
          <w:p w14:paraId="E3060000">
            <w:pPr>
              <w:spacing w:after="0" w:line="240" w:lineRule="auto"/>
              <w:ind/>
              <w:jc w:val="center"/>
              <w:rPr>
                <w:sz w:val="20"/>
              </w:rPr>
            </w:pPr>
            <w:r>
              <w:rPr>
                <w:sz w:val="20"/>
              </w:rPr>
              <w:t>с. Русское, ул. Героя Советского Союза М.П. Алексеева, 8</w:t>
            </w:r>
          </w:p>
        </w:tc>
        <w:tc>
          <w:tcPr>
            <w:tcW w:type="dxa" w:w="4204"/>
            <w:tcBorders>
              <w:top w:sz="4" w:val="nil"/>
              <w:left w:sz="4" w:val="nil"/>
              <w:bottom w:color="000000" w:sz="4" w:val="single"/>
              <w:right w:color="000000" w:sz="4" w:val="single"/>
            </w:tcBorders>
            <w:vAlign w:val="center"/>
          </w:tcPr>
          <w:p w14:paraId="E4060000">
            <w:pPr>
              <w:spacing w:after="0" w:line="240" w:lineRule="auto"/>
              <w:ind/>
              <w:jc w:val="center"/>
              <w:rPr>
                <w:sz w:val="20"/>
              </w:rPr>
            </w:pPr>
            <w:r>
              <w:rPr>
                <w:sz w:val="20"/>
              </w:rPr>
              <w:t>0,054</w:t>
            </w:r>
          </w:p>
        </w:tc>
      </w:tr>
      <w:tr>
        <w:trPr>
          <w:trHeight w:hRule="atLeast" w:val="235"/>
        </w:trPr>
        <w:tc>
          <w:tcPr>
            <w:tcW w:type="dxa" w:w="5321"/>
            <w:tcBorders>
              <w:top w:sz="4" w:val="nil"/>
              <w:left w:color="000000" w:sz="4" w:val="single"/>
              <w:bottom w:color="000000" w:sz="4" w:val="single"/>
              <w:right w:color="000000" w:sz="4" w:val="single"/>
            </w:tcBorders>
            <w:vAlign w:val="center"/>
          </w:tcPr>
          <w:p w14:paraId="E5060000">
            <w:pPr>
              <w:spacing w:after="0" w:line="240" w:lineRule="auto"/>
              <w:ind/>
              <w:jc w:val="center"/>
              <w:rPr>
                <w:sz w:val="20"/>
              </w:rPr>
            </w:pPr>
            <w:r>
              <w:rPr>
                <w:sz w:val="20"/>
              </w:rPr>
              <w:t>с. Куйбышево, ул. Театральная, 72</w:t>
            </w:r>
          </w:p>
        </w:tc>
        <w:tc>
          <w:tcPr>
            <w:tcW w:type="dxa" w:w="4204"/>
            <w:tcBorders>
              <w:top w:sz="4" w:val="nil"/>
              <w:left w:sz="4" w:val="nil"/>
              <w:bottom w:color="000000" w:sz="4" w:val="single"/>
              <w:right w:color="000000" w:sz="4" w:val="single"/>
            </w:tcBorders>
            <w:vAlign w:val="center"/>
          </w:tcPr>
          <w:p w14:paraId="E6060000">
            <w:pPr>
              <w:spacing w:after="0" w:line="240" w:lineRule="auto"/>
              <w:ind/>
              <w:jc w:val="center"/>
              <w:rPr>
                <w:sz w:val="20"/>
              </w:rPr>
            </w:pPr>
            <w:r>
              <w:rPr>
                <w:sz w:val="20"/>
              </w:rPr>
              <w:t>0,054</w:t>
            </w:r>
          </w:p>
        </w:tc>
      </w:tr>
      <w:tr>
        <w:trPr>
          <w:trHeight w:hRule="atLeast" w:val="226"/>
        </w:trPr>
        <w:tc>
          <w:tcPr>
            <w:tcW w:type="dxa" w:w="5321"/>
            <w:tcBorders>
              <w:top w:sz="4" w:val="nil"/>
              <w:left w:color="000000" w:sz="4" w:val="single"/>
              <w:bottom w:color="000000" w:sz="4" w:val="single"/>
              <w:right w:color="000000" w:sz="4" w:val="single"/>
            </w:tcBorders>
            <w:vAlign w:val="center"/>
          </w:tcPr>
          <w:p w14:paraId="E7060000">
            <w:pPr>
              <w:spacing w:after="0" w:line="240" w:lineRule="auto"/>
              <w:ind/>
              <w:jc w:val="center"/>
              <w:rPr>
                <w:sz w:val="20"/>
              </w:rPr>
            </w:pPr>
            <w:r>
              <w:rPr>
                <w:sz w:val="20"/>
              </w:rPr>
              <w:t>с. Куйбышево, ул. Пролетарская, 2 а</w:t>
            </w:r>
          </w:p>
        </w:tc>
        <w:tc>
          <w:tcPr>
            <w:tcW w:type="dxa" w:w="4204"/>
            <w:tcBorders>
              <w:top w:sz="4" w:val="nil"/>
              <w:left w:sz="4" w:val="nil"/>
              <w:bottom w:color="000000" w:sz="4" w:val="single"/>
              <w:right w:color="000000" w:sz="4" w:val="single"/>
            </w:tcBorders>
            <w:vAlign w:val="center"/>
          </w:tcPr>
          <w:p w14:paraId="E8060000">
            <w:pPr>
              <w:spacing w:after="0" w:line="240" w:lineRule="auto"/>
              <w:ind/>
              <w:jc w:val="center"/>
              <w:rPr>
                <w:sz w:val="20"/>
              </w:rPr>
            </w:pPr>
            <w:r>
              <w:rPr>
                <w:sz w:val="20"/>
              </w:rPr>
              <w:t>0,086</w:t>
            </w:r>
          </w:p>
        </w:tc>
      </w:tr>
      <w:tr>
        <w:trPr>
          <w:trHeight w:hRule="atLeast" w:val="101"/>
        </w:trPr>
        <w:tc>
          <w:tcPr>
            <w:tcW w:type="dxa" w:w="5321"/>
            <w:tcBorders>
              <w:top w:sz="4" w:val="nil"/>
              <w:left w:color="000000" w:sz="4" w:val="single"/>
              <w:bottom w:color="000000" w:sz="4" w:val="single"/>
              <w:right w:color="000000" w:sz="4" w:val="single"/>
            </w:tcBorders>
            <w:vAlign w:val="center"/>
          </w:tcPr>
          <w:p w14:paraId="E9060000">
            <w:pPr>
              <w:spacing w:after="0" w:line="240" w:lineRule="auto"/>
              <w:ind/>
              <w:jc w:val="center"/>
              <w:rPr>
                <w:sz w:val="20"/>
              </w:rPr>
            </w:pPr>
            <w:r>
              <w:rPr>
                <w:sz w:val="20"/>
              </w:rPr>
              <w:t xml:space="preserve">с. </w:t>
            </w:r>
            <w:r>
              <w:rPr>
                <w:sz w:val="20"/>
              </w:rPr>
              <w:t>Куйбышево, ул. Кузьменко, 3 а</w:t>
            </w:r>
          </w:p>
        </w:tc>
        <w:tc>
          <w:tcPr>
            <w:tcW w:type="dxa" w:w="4204"/>
            <w:tcBorders>
              <w:top w:sz="4" w:val="nil"/>
              <w:left w:sz="4" w:val="nil"/>
              <w:bottom w:color="000000" w:sz="4" w:val="single"/>
              <w:right w:color="000000" w:sz="4" w:val="single"/>
            </w:tcBorders>
            <w:vAlign w:val="center"/>
          </w:tcPr>
          <w:p w14:paraId="EA060000">
            <w:pPr>
              <w:spacing w:after="0" w:line="240" w:lineRule="auto"/>
              <w:ind/>
              <w:jc w:val="center"/>
              <w:rPr>
                <w:sz w:val="20"/>
              </w:rPr>
            </w:pPr>
            <w:r>
              <w:rPr>
                <w:sz w:val="20"/>
              </w:rPr>
              <w:t>0,172</w:t>
            </w:r>
          </w:p>
        </w:tc>
      </w:tr>
      <w:tr>
        <w:trPr>
          <w:trHeight w:hRule="atLeast" w:val="248"/>
        </w:trPr>
        <w:tc>
          <w:tcPr>
            <w:tcW w:type="dxa" w:w="5321"/>
            <w:tcBorders>
              <w:top w:sz="4" w:val="nil"/>
              <w:left w:color="000000" w:sz="4" w:val="single"/>
              <w:bottom w:color="000000" w:sz="4" w:val="single"/>
              <w:right w:color="000000" w:sz="4" w:val="single"/>
            </w:tcBorders>
            <w:vAlign w:val="center"/>
          </w:tcPr>
          <w:p w14:paraId="EB060000">
            <w:pPr>
              <w:spacing w:after="0" w:line="240" w:lineRule="auto"/>
              <w:ind/>
              <w:jc w:val="center"/>
              <w:rPr>
                <w:sz w:val="20"/>
              </w:rPr>
            </w:pPr>
            <w:r>
              <w:rPr>
                <w:sz w:val="20"/>
              </w:rPr>
              <w:t>х. Свободный, ул. Молодёжная, 8</w:t>
            </w:r>
          </w:p>
        </w:tc>
        <w:tc>
          <w:tcPr>
            <w:tcW w:type="dxa" w:w="4204"/>
            <w:tcBorders>
              <w:top w:sz="4" w:val="nil"/>
              <w:left w:sz="4" w:val="nil"/>
              <w:bottom w:color="000000" w:sz="4" w:val="single"/>
              <w:right w:color="000000" w:sz="4" w:val="single"/>
            </w:tcBorders>
            <w:vAlign w:val="center"/>
          </w:tcPr>
          <w:p w14:paraId="EC060000">
            <w:pPr>
              <w:spacing w:after="0" w:line="240" w:lineRule="auto"/>
              <w:ind/>
              <w:jc w:val="center"/>
              <w:rPr>
                <w:sz w:val="20"/>
              </w:rPr>
            </w:pPr>
            <w:r>
              <w:rPr>
                <w:sz w:val="20"/>
              </w:rPr>
              <w:t>0,126</w:t>
            </w:r>
          </w:p>
        </w:tc>
      </w:tr>
      <w:tr>
        <w:trPr>
          <w:trHeight w:hRule="atLeast" w:val="237"/>
        </w:trPr>
        <w:tc>
          <w:tcPr>
            <w:tcW w:type="dxa" w:w="5321"/>
            <w:tcBorders>
              <w:top w:sz="4" w:val="nil"/>
              <w:left w:color="000000" w:sz="4" w:val="single"/>
              <w:bottom w:color="000000" w:sz="4" w:val="single"/>
              <w:right w:color="000000" w:sz="4" w:val="single"/>
            </w:tcBorders>
            <w:vAlign w:val="center"/>
          </w:tcPr>
          <w:p w14:paraId="ED060000">
            <w:pPr>
              <w:spacing w:after="0" w:line="240" w:lineRule="auto"/>
              <w:ind/>
              <w:jc w:val="center"/>
              <w:rPr>
                <w:sz w:val="20"/>
              </w:rPr>
            </w:pPr>
            <w:r>
              <w:rPr>
                <w:sz w:val="20"/>
              </w:rPr>
              <w:t>х. Ольховский, ул. Центральная, 3 а</w:t>
            </w:r>
          </w:p>
        </w:tc>
        <w:tc>
          <w:tcPr>
            <w:tcW w:type="dxa" w:w="4204"/>
            <w:tcBorders>
              <w:top w:sz="4" w:val="nil"/>
              <w:left w:sz="4" w:val="nil"/>
              <w:bottom w:color="000000" w:sz="4" w:val="single"/>
              <w:right w:color="000000" w:sz="4" w:val="single"/>
            </w:tcBorders>
            <w:vAlign w:val="center"/>
          </w:tcPr>
          <w:p w14:paraId="EE060000">
            <w:pPr>
              <w:spacing w:after="0" w:line="240" w:lineRule="auto"/>
              <w:ind/>
              <w:jc w:val="center"/>
              <w:rPr>
                <w:sz w:val="20"/>
              </w:rPr>
            </w:pPr>
            <w:r>
              <w:rPr>
                <w:sz w:val="20"/>
              </w:rPr>
              <w:t>0,052</w:t>
            </w:r>
          </w:p>
        </w:tc>
      </w:tr>
      <w:tr>
        <w:trPr>
          <w:trHeight w:hRule="atLeast" w:val="256"/>
        </w:trPr>
        <w:tc>
          <w:tcPr>
            <w:tcW w:type="dxa" w:w="5321"/>
            <w:tcBorders>
              <w:top w:sz="4" w:val="nil"/>
              <w:left w:color="000000" w:sz="4" w:val="single"/>
              <w:bottom w:color="000000" w:sz="4" w:val="single"/>
              <w:right w:color="000000" w:sz="4" w:val="single"/>
            </w:tcBorders>
            <w:vAlign w:val="center"/>
          </w:tcPr>
          <w:p w14:paraId="EF060000">
            <w:pPr>
              <w:spacing w:after="0" w:line="240" w:lineRule="auto"/>
              <w:ind/>
              <w:jc w:val="center"/>
              <w:rPr>
                <w:sz w:val="20"/>
              </w:rPr>
            </w:pPr>
            <w:r>
              <w:rPr>
                <w:sz w:val="20"/>
              </w:rPr>
              <w:t>с. Куйбышево, ул. Пролетарская, 5</w:t>
            </w:r>
          </w:p>
        </w:tc>
        <w:tc>
          <w:tcPr>
            <w:tcW w:type="dxa" w:w="4204"/>
            <w:tcBorders>
              <w:top w:sz="4" w:val="nil"/>
              <w:left w:sz="4" w:val="nil"/>
              <w:bottom w:color="000000" w:sz="4" w:val="single"/>
              <w:right w:color="000000" w:sz="4" w:val="single"/>
            </w:tcBorders>
            <w:vAlign w:val="center"/>
          </w:tcPr>
          <w:p w14:paraId="F0060000">
            <w:pPr>
              <w:spacing w:after="0" w:line="240" w:lineRule="auto"/>
              <w:ind/>
              <w:jc w:val="center"/>
              <w:rPr>
                <w:sz w:val="20"/>
              </w:rPr>
            </w:pPr>
            <w:r>
              <w:rPr>
                <w:sz w:val="20"/>
              </w:rPr>
              <w:t>0,034</w:t>
            </w:r>
          </w:p>
        </w:tc>
      </w:tr>
      <w:tr>
        <w:trPr>
          <w:trHeight w:hRule="atLeast" w:val="245"/>
        </w:trPr>
        <w:tc>
          <w:tcPr>
            <w:tcW w:type="dxa" w:w="5321"/>
            <w:tcBorders>
              <w:top w:sz="4" w:val="nil"/>
              <w:left w:color="000000" w:sz="4" w:val="single"/>
              <w:bottom w:color="000000" w:sz="4" w:val="single"/>
              <w:right w:color="000000" w:sz="4" w:val="single"/>
            </w:tcBorders>
            <w:vAlign w:val="center"/>
          </w:tcPr>
          <w:p w14:paraId="F1060000">
            <w:pPr>
              <w:spacing w:after="0" w:line="240" w:lineRule="auto"/>
              <w:ind/>
              <w:jc w:val="center"/>
              <w:rPr>
                <w:sz w:val="20"/>
              </w:rPr>
            </w:pPr>
            <w:r>
              <w:rPr>
                <w:sz w:val="20"/>
              </w:rPr>
              <w:t>с. Куйбышево, ул. Театральная, 22</w:t>
            </w:r>
          </w:p>
        </w:tc>
        <w:tc>
          <w:tcPr>
            <w:tcW w:type="dxa" w:w="4204"/>
            <w:tcBorders>
              <w:top w:sz="4" w:val="nil"/>
              <w:left w:sz="4" w:val="nil"/>
              <w:bottom w:color="000000" w:sz="4" w:val="single"/>
              <w:right w:color="000000" w:sz="4" w:val="single"/>
            </w:tcBorders>
            <w:vAlign w:val="center"/>
          </w:tcPr>
          <w:p w14:paraId="F2060000">
            <w:pPr>
              <w:spacing w:after="0" w:line="240" w:lineRule="auto"/>
              <w:ind/>
              <w:jc w:val="center"/>
              <w:rPr>
                <w:sz w:val="20"/>
              </w:rPr>
            </w:pPr>
            <w:r>
              <w:rPr>
                <w:sz w:val="20"/>
              </w:rPr>
              <w:t>0,165</w:t>
            </w:r>
          </w:p>
        </w:tc>
      </w:tr>
      <w:tr>
        <w:trPr>
          <w:trHeight w:hRule="atLeast" w:val="264"/>
        </w:trPr>
        <w:tc>
          <w:tcPr>
            <w:tcW w:type="dxa" w:w="5321"/>
            <w:tcBorders>
              <w:top w:sz="4" w:val="nil"/>
              <w:left w:color="000000" w:sz="4" w:val="single"/>
              <w:bottom w:color="000000" w:sz="4" w:val="single"/>
              <w:right w:color="000000" w:sz="4" w:val="single"/>
            </w:tcBorders>
            <w:vAlign w:val="center"/>
          </w:tcPr>
          <w:p w14:paraId="F3060000">
            <w:pPr>
              <w:spacing w:after="0" w:line="240" w:lineRule="auto"/>
              <w:ind/>
              <w:jc w:val="center"/>
              <w:rPr>
                <w:sz w:val="20"/>
              </w:rPr>
            </w:pPr>
            <w:r>
              <w:rPr>
                <w:sz w:val="20"/>
              </w:rPr>
              <w:t>х. Свободный, ул. Победы, 29</w:t>
            </w:r>
          </w:p>
        </w:tc>
        <w:tc>
          <w:tcPr>
            <w:tcW w:type="dxa" w:w="4204"/>
            <w:tcBorders>
              <w:top w:sz="4" w:val="nil"/>
              <w:left w:sz="4" w:val="nil"/>
              <w:bottom w:color="000000" w:sz="4" w:val="single"/>
              <w:right w:color="000000" w:sz="4" w:val="single"/>
            </w:tcBorders>
            <w:vAlign w:val="center"/>
          </w:tcPr>
          <w:p w14:paraId="F4060000">
            <w:pPr>
              <w:spacing w:after="0" w:line="240" w:lineRule="auto"/>
              <w:ind/>
              <w:jc w:val="center"/>
              <w:rPr>
                <w:sz w:val="20"/>
              </w:rPr>
            </w:pPr>
            <w:r>
              <w:rPr>
                <w:sz w:val="20"/>
              </w:rPr>
              <w:t>0,014</w:t>
            </w:r>
          </w:p>
        </w:tc>
      </w:tr>
      <w:tr>
        <w:trPr>
          <w:trHeight w:hRule="atLeast" w:val="164"/>
        </w:trPr>
        <w:tc>
          <w:tcPr>
            <w:tcW w:type="dxa" w:w="5321"/>
            <w:tcBorders>
              <w:top w:sz="4" w:val="nil"/>
              <w:left w:color="000000" w:sz="4" w:val="single"/>
              <w:bottom w:color="000000" w:sz="4" w:val="single"/>
              <w:right w:color="000000" w:sz="4" w:val="single"/>
            </w:tcBorders>
            <w:vAlign w:val="center"/>
          </w:tcPr>
          <w:p w14:paraId="F5060000">
            <w:pPr>
              <w:spacing w:after="0" w:line="240" w:lineRule="auto"/>
              <w:ind/>
              <w:jc w:val="center"/>
              <w:rPr>
                <w:sz w:val="20"/>
              </w:rPr>
            </w:pPr>
            <w:r>
              <w:rPr>
                <w:sz w:val="20"/>
              </w:rPr>
              <w:t xml:space="preserve">х. Новобахмутский, </w:t>
            </w:r>
            <w:r>
              <w:rPr>
                <w:sz w:val="20"/>
              </w:rPr>
              <w:t>ул. Широкая, 89 а</w:t>
            </w:r>
          </w:p>
        </w:tc>
        <w:tc>
          <w:tcPr>
            <w:tcW w:type="dxa" w:w="4204"/>
            <w:tcBorders>
              <w:top w:sz="4" w:val="nil"/>
              <w:left w:sz="4" w:val="nil"/>
              <w:bottom w:color="000000" w:sz="4" w:val="single"/>
              <w:right w:color="000000" w:sz="4" w:val="single"/>
            </w:tcBorders>
            <w:vAlign w:val="center"/>
          </w:tcPr>
          <w:p w14:paraId="F6060000">
            <w:pPr>
              <w:spacing w:after="0" w:line="240" w:lineRule="auto"/>
              <w:ind/>
              <w:jc w:val="center"/>
              <w:rPr>
                <w:sz w:val="20"/>
              </w:rPr>
            </w:pPr>
            <w:r>
              <w:rPr>
                <w:sz w:val="20"/>
              </w:rPr>
              <w:t>0,014</w:t>
            </w:r>
          </w:p>
        </w:tc>
      </w:tr>
      <w:tr>
        <w:trPr>
          <w:trHeight w:hRule="atLeast" w:val="130"/>
        </w:trPr>
        <w:tc>
          <w:tcPr>
            <w:tcW w:type="dxa" w:w="5321"/>
            <w:tcBorders>
              <w:top w:sz="4" w:val="nil"/>
              <w:left w:color="000000" w:sz="4" w:val="single"/>
              <w:bottom w:color="000000" w:sz="4" w:val="single"/>
              <w:right w:color="000000" w:sz="4" w:val="single"/>
            </w:tcBorders>
            <w:vAlign w:val="center"/>
          </w:tcPr>
          <w:p w14:paraId="F7060000">
            <w:pPr>
              <w:spacing w:after="0" w:line="240" w:lineRule="auto"/>
              <w:ind/>
              <w:jc w:val="center"/>
              <w:rPr>
                <w:sz w:val="20"/>
              </w:rPr>
            </w:pPr>
            <w:r>
              <w:rPr>
                <w:sz w:val="20"/>
              </w:rPr>
              <w:t>с. Русское, ул. Красноармейская, 1</w:t>
            </w:r>
          </w:p>
        </w:tc>
        <w:tc>
          <w:tcPr>
            <w:tcW w:type="dxa" w:w="4204"/>
            <w:tcBorders>
              <w:top w:sz="4" w:val="nil"/>
              <w:left w:sz="4" w:val="nil"/>
              <w:bottom w:color="000000" w:sz="4" w:val="single"/>
              <w:right w:color="000000" w:sz="4" w:val="single"/>
            </w:tcBorders>
            <w:vAlign w:val="center"/>
          </w:tcPr>
          <w:p w14:paraId="F8060000">
            <w:pPr>
              <w:spacing w:after="0" w:line="240" w:lineRule="auto"/>
              <w:ind/>
              <w:jc w:val="center"/>
              <w:rPr>
                <w:sz w:val="20"/>
              </w:rPr>
            </w:pPr>
            <w:r>
              <w:rPr>
                <w:sz w:val="20"/>
              </w:rPr>
              <w:t>0,094</w:t>
            </w:r>
          </w:p>
        </w:tc>
      </w:tr>
      <w:tr>
        <w:trPr>
          <w:trHeight w:hRule="atLeast" w:val="275"/>
        </w:trPr>
        <w:tc>
          <w:tcPr>
            <w:tcW w:type="dxa" w:w="5321"/>
            <w:tcBorders>
              <w:top w:sz="4" w:val="nil"/>
              <w:left w:color="000000" w:sz="4" w:val="single"/>
              <w:bottom w:color="000000" w:sz="4" w:val="single"/>
              <w:right w:color="000000" w:sz="4" w:val="single"/>
            </w:tcBorders>
            <w:vAlign w:val="center"/>
          </w:tcPr>
          <w:p w14:paraId="F9060000">
            <w:pPr>
              <w:spacing w:after="0" w:line="240" w:lineRule="auto"/>
              <w:ind/>
              <w:jc w:val="center"/>
              <w:rPr>
                <w:sz w:val="20"/>
              </w:rPr>
            </w:pPr>
            <w:r>
              <w:rPr>
                <w:sz w:val="20"/>
              </w:rPr>
              <w:t>с. Куйбышево, ул. Цветаева, 31</w:t>
            </w:r>
          </w:p>
        </w:tc>
        <w:tc>
          <w:tcPr>
            <w:tcW w:type="dxa" w:w="4204"/>
            <w:tcBorders>
              <w:top w:sz="4" w:val="nil"/>
              <w:left w:sz="4" w:val="nil"/>
              <w:bottom w:color="000000" w:sz="4" w:val="single"/>
              <w:right w:color="000000" w:sz="4" w:val="single"/>
            </w:tcBorders>
            <w:vAlign w:val="center"/>
          </w:tcPr>
          <w:p w14:paraId="FA060000">
            <w:pPr>
              <w:spacing w:after="0" w:line="240" w:lineRule="auto"/>
              <w:ind/>
              <w:jc w:val="center"/>
              <w:rPr>
                <w:sz w:val="20"/>
              </w:rPr>
            </w:pPr>
            <w:r>
              <w:rPr>
                <w:sz w:val="20"/>
              </w:rPr>
              <w:t>0,020</w:t>
            </w:r>
          </w:p>
        </w:tc>
      </w:tr>
      <w:tr>
        <w:trPr>
          <w:trHeight w:hRule="atLeast" w:val="280"/>
        </w:trPr>
        <w:tc>
          <w:tcPr>
            <w:tcW w:type="dxa" w:w="5321"/>
            <w:tcBorders>
              <w:top w:sz="4" w:val="nil"/>
              <w:left w:color="000000" w:sz="4" w:val="single"/>
              <w:bottom w:color="000000" w:sz="4" w:val="single"/>
              <w:right w:color="000000" w:sz="4" w:val="single"/>
            </w:tcBorders>
            <w:vAlign w:val="center"/>
          </w:tcPr>
          <w:p w14:paraId="FB060000">
            <w:pPr>
              <w:spacing w:after="0" w:line="240" w:lineRule="auto"/>
              <w:ind/>
              <w:jc w:val="center"/>
              <w:rPr>
                <w:sz w:val="20"/>
              </w:rPr>
            </w:pPr>
            <w:r>
              <w:rPr>
                <w:sz w:val="20"/>
              </w:rPr>
              <w:t>с. Куйбышево, ул. Куйбышевская, 24</w:t>
            </w:r>
          </w:p>
        </w:tc>
        <w:tc>
          <w:tcPr>
            <w:tcW w:type="dxa" w:w="4204"/>
            <w:tcBorders>
              <w:top w:sz="4" w:val="nil"/>
              <w:left w:sz="4" w:val="nil"/>
              <w:bottom w:color="000000" w:sz="4" w:val="single"/>
              <w:right w:color="000000" w:sz="4" w:val="single"/>
            </w:tcBorders>
            <w:vAlign w:val="center"/>
          </w:tcPr>
          <w:p w14:paraId="FC060000">
            <w:pPr>
              <w:spacing w:after="0" w:line="240" w:lineRule="auto"/>
              <w:ind/>
              <w:jc w:val="center"/>
              <w:rPr>
                <w:sz w:val="20"/>
              </w:rPr>
            </w:pPr>
            <w:r>
              <w:rPr>
                <w:sz w:val="20"/>
              </w:rPr>
              <w:t>0,165</w:t>
            </w:r>
          </w:p>
        </w:tc>
      </w:tr>
      <w:tr>
        <w:trPr>
          <w:trHeight w:hRule="atLeast" w:val="128"/>
        </w:trPr>
        <w:tc>
          <w:tcPr>
            <w:tcW w:type="dxa" w:w="5321"/>
            <w:tcBorders>
              <w:top w:sz="4" w:val="nil"/>
              <w:left w:color="000000" w:sz="4" w:val="single"/>
              <w:bottom w:color="000000" w:sz="4" w:val="single"/>
              <w:right w:color="000000" w:sz="4" w:val="single"/>
            </w:tcBorders>
            <w:vAlign w:val="center"/>
          </w:tcPr>
          <w:p w14:paraId="FD060000">
            <w:pPr>
              <w:spacing w:after="0" w:line="240" w:lineRule="auto"/>
              <w:ind/>
              <w:jc w:val="center"/>
              <w:rPr>
                <w:sz w:val="20"/>
              </w:rPr>
            </w:pPr>
            <w:r>
              <w:rPr>
                <w:sz w:val="20"/>
              </w:rPr>
              <w:t>с. Куйбышево, ул. Куйбышевская, 20</w:t>
            </w:r>
          </w:p>
        </w:tc>
        <w:tc>
          <w:tcPr>
            <w:tcW w:type="dxa" w:w="4204"/>
            <w:tcBorders>
              <w:top w:sz="4" w:val="nil"/>
              <w:left w:sz="4" w:val="nil"/>
              <w:bottom w:color="000000" w:sz="4" w:val="single"/>
              <w:right w:color="000000" w:sz="4" w:val="single"/>
            </w:tcBorders>
            <w:vAlign w:val="center"/>
          </w:tcPr>
          <w:p w14:paraId="FE060000">
            <w:pPr>
              <w:spacing w:after="0" w:line="240" w:lineRule="auto"/>
              <w:ind/>
              <w:jc w:val="center"/>
              <w:rPr>
                <w:sz w:val="20"/>
              </w:rPr>
            </w:pPr>
            <w:r>
              <w:rPr>
                <w:sz w:val="20"/>
              </w:rPr>
              <w:t>0,027</w:t>
            </w:r>
          </w:p>
        </w:tc>
      </w:tr>
      <w:tr>
        <w:trPr>
          <w:trHeight w:hRule="atLeast" w:val="132"/>
        </w:trPr>
        <w:tc>
          <w:tcPr>
            <w:tcW w:type="dxa" w:w="5321"/>
            <w:tcBorders>
              <w:top w:sz="4" w:val="nil"/>
              <w:left w:color="000000" w:sz="4" w:val="single"/>
              <w:bottom w:color="000000" w:sz="4" w:val="single"/>
              <w:right w:color="000000" w:sz="4" w:val="single"/>
            </w:tcBorders>
            <w:vAlign w:val="center"/>
          </w:tcPr>
          <w:p w14:paraId="FF060000">
            <w:pPr>
              <w:spacing w:after="0" w:line="240" w:lineRule="auto"/>
              <w:ind/>
              <w:jc w:val="center"/>
              <w:rPr>
                <w:sz w:val="20"/>
              </w:rPr>
            </w:pPr>
            <w:r>
              <w:rPr>
                <w:sz w:val="20"/>
              </w:rPr>
              <w:t>с. Куйбышево, ул. Миусская, 3</w:t>
            </w:r>
          </w:p>
        </w:tc>
        <w:tc>
          <w:tcPr>
            <w:tcW w:type="dxa" w:w="4204"/>
            <w:tcBorders>
              <w:top w:sz="4" w:val="nil"/>
              <w:left w:sz="4" w:val="nil"/>
              <w:bottom w:color="000000" w:sz="4" w:val="single"/>
              <w:right w:color="000000" w:sz="4" w:val="single"/>
            </w:tcBorders>
            <w:vAlign w:val="center"/>
          </w:tcPr>
          <w:p w14:paraId="00070000">
            <w:pPr>
              <w:spacing w:after="0" w:line="240" w:lineRule="auto"/>
              <w:ind/>
              <w:jc w:val="center"/>
              <w:rPr>
                <w:sz w:val="20"/>
              </w:rPr>
            </w:pPr>
            <w:r>
              <w:rPr>
                <w:sz w:val="20"/>
              </w:rPr>
              <w:t>0,165</w:t>
            </w:r>
          </w:p>
        </w:tc>
      </w:tr>
      <w:tr>
        <w:trPr>
          <w:trHeight w:hRule="atLeast" w:val="121"/>
        </w:trPr>
        <w:tc>
          <w:tcPr>
            <w:tcW w:type="dxa" w:w="5321"/>
            <w:tcBorders>
              <w:top w:sz="4" w:val="nil"/>
              <w:left w:color="000000" w:sz="4" w:val="single"/>
              <w:bottom w:color="000000" w:sz="4" w:val="single"/>
              <w:right w:color="000000" w:sz="4" w:val="single"/>
            </w:tcBorders>
            <w:vAlign w:val="center"/>
          </w:tcPr>
          <w:p w14:paraId="01070000">
            <w:pPr>
              <w:spacing w:after="0" w:line="240" w:lineRule="auto"/>
              <w:ind/>
              <w:jc w:val="center"/>
              <w:rPr>
                <w:sz w:val="20"/>
              </w:rPr>
            </w:pPr>
            <w:r>
              <w:rPr>
                <w:sz w:val="20"/>
              </w:rPr>
              <w:t>с. Куйбышево, ул. Миусская, 3</w:t>
            </w:r>
          </w:p>
        </w:tc>
        <w:tc>
          <w:tcPr>
            <w:tcW w:type="dxa" w:w="4204"/>
            <w:tcBorders>
              <w:top w:sz="4" w:val="nil"/>
              <w:left w:sz="4" w:val="nil"/>
              <w:bottom w:color="000000" w:sz="4" w:val="single"/>
              <w:right w:color="000000" w:sz="4" w:val="single"/>
            </w:tcBorders>
            <w:vAlign w:val="center"/>
          </w:tcPr>
          <w:p w14:paraId="02070000">
            <w:pPr>
              <w:spacing w:after="0" w:line="240" w:lineRule="auto"/>
              <w:ind/>
              <w:jc w:val="center"/>
              <w:rPr>
                <w:sz w:val="20"/>
              </w:rPr>
            </w:pPr>
            <w:r>
              <w:rPr>
                <w:sz w:val="20"/>
              </w:rPr>
              <w:t>0,086</w:t>
            </w:r>
          </w:p>
        </w:tc>
      </w:tr>
      <w:tr>
        <w:trPr>
          <w:trHeight w:hRule="atLeast" w:val="282"/>
        </w:trPr>
        <w:tc>
          <w:tcPr>
            <w:tcW w:type="dxa" w:w="5321"/>
            <w:tcBorders>
              <w:top w:sz="4" w:val="nil"/>
              <w:left w:color="000000" w:sz="4" w:val="single"/>
              <w:bottom w:color="000000" w:sz="4" w:val="single"/>
              <w:right w:color="000000" w:sz="4" w:val="single"/>
            </w:tcBorders>
            <w:vAlign w:val="center"/>
          </w:tcPr>
          <w:p w14:paraId="03070000">
            <w:pPr>
              <w:spacing w:after="0" w:line="240" w:lineRule="auto"/>
              <w:ind/>
              <w:jc w:val="center"/>
              <w:rPr>
                <w:sz w:val="20"/>
              </w:rPr>
            </w:pPr>
            <w:r>
              <w:rPr>
                <w:sz w:val="20"/>
              </w:rPr>
              <w:t>с. Куйбышево, ул. Миусская, 3</w:t>
            </w:r>
          </w:p>
        </w:tc>
        <w:tc>
          <w:tcPr>
            <w:tcW w:type="dxa" w:w="4204"/>
            <w:tcBorders>
              <w:top w:sz="4" w:val="nil"/>
              <w:left w:sz="4" w:val="nil"/>
              <w:bottom w:color="000000" w:sz="4" w:val="single"/>
              <w:right w:color="000000" w:sz="4" w:val="single"/>
            </w:tcBorders>
            <w:vAlign w:val="center"/>
          </w:tcPr>
          <w:p w14:paraId="04070000">
            <w:pPr>
              <w:spacing w:after="0" w:line="240" w:lineRule="auto"/>
              <w:ind/>
              <w:jc w:val="center"/>
              <w:rPr>
                <w:sz w:val="20"/>
              </w:rPr>
            </w:pPr>
            <w:r>
              <w:rPr>
                <w:sz w:val="20"/>
              </w:rPr>
              <w:t>0,017</w:t>
            </w:r>
          </w:p>
        </w:tc>
      </w:tr>
      <w:tr>
        <w:trPr>
          <w:trHeight w:hRule="atLeast" w:val="129"/>
        </w:trPr>
        <w:tc>
          <w:tcPr>
            <w:tcW w:type="dxa" w:w="5321"/>
            <w:tcBorders>
              <w:top w:sz="4" w:val="nil"/>
              <w:left w:color="000000" w:sz="4" w:val="single"/>
              <w:bottom w:color="000000" w:sz="4" w:val="single"/>
              <w:right w:color="000000" w:sz="4" w:val="single"/>
            </w:tcBorders>
            <w:vAlign w:val="center"/>
          </w:tcPr>
          <w:p w14:paraId="05070000">
            <w:pPr>
              <w:spacing w:after="0" w:line="240" w:lineRule="auto"/>
              <w:ind/>
              <w:jc w:val="center"/>
              <w:rPr>
                <w:sz w:val="20"/>
              </w:rPr>
            </w:pPr>
            <w:r>
              <w:rPr>
                <w:sz w:val="20"/>
              </w:rPr>
              <w:t>с. Куйбышево, ул. Миусская, 3</w:t>
            </w:r>
          </w:p>
        </w:tc>
        <w:tc>
          <w:tcPr>
            <w:tcW w:type="dxa" w:w="4204"/>
            <w:tcBorders>
              <w:top w:sz="4" w:val="nil"/>
              <w:left w:sz="4" w:val="nil"/>
              <w:bottom w:color="000000" w:sz="4" w:val="single"/>
              <w:right w:color="000000" w:sz="4" w:val="single"/>
            </w:tcBorders>
            <w:vAlign w:val="center"/>
          </w:tcPr>
          <w:p w14:paraId="06070000">
            <w:pPr>
              <w:spacing w:after="0" w:line="240" w:lineRule="auto"/>
              <w:ind/>
              <w:jc w:val="center"/>
              <w:rPr>
                <w:sz w:val="20"/>
              </w:rPr>
            </w:pPr>
            <w:r>
              <w:rPr>
                <w:sz w:val="20"/>
              </w:rPr>
              <w:t>0,020</w:t>
            </w:r>
          </w:p>
        </w:tc>
      </w:tr>
      <w:tr>
        <w:trPr>
          <w:trHeight w:hRule="atLeast" w:val="134"/>
        </w:trPr>
        <w:tc>
          <w:tcPr>
            <w:tcW w:type="dxa" w:w="5321"/>
            <w:tcBorders>
              <w:top w:sz="4" w:val="nil"/>
              <w:left w:color="000000" w:sz="4" w:val="single"/>
              <w:bottom w:color="000000" w:sz="4" w:val="single"/>
              <w:right w:color="000000" w:sz="4" w:val="single"/>
            </w:tcBorders>
            <w:vAlign w:val="center"/>
          </w:tcPr>
          <w:p w14:paraId="07070000">
            <w:pPr>
              <w:spacing w:after="0" w:line="240" w:lineRule="auto"/>
              <w:ind/>
              <w:jc w:val="center"/>
              <w:rPr>
                <w:sz w:val="20"/>
              </w:rPr>
            </w:pPr>
            <w:r>
              <w:rPr>
                <w:sz w:val="20"/>
              </w:rPr>
              <w:t>с. Куйбышево, ул. Миусская, 3</w:t>
            </w:r>
          </w:p>
        </w:tc>
        <w:tc>
          <w:tcPr>
            <w:tcW w:type="dxa" w:w="4204"/>
            <w:tcBorders>
              <w:top w:sz="4" w:val="nil"/>
              <w:left w:sz="4" w:val="nil"/>
              <w:bottom w:color="000000" w:sz="4" w:val="single"/>
              <w:right w:color="000000" w:sz="4" w:val="single"/>
            </w:tcBorders>
            <w:vAlign w:val="center"/>
          </w:tcPr>
          <w:p w14:paraId="08070000">
            <w:pPr>
              <w:spacing w:after="0" w:line="240" w:lineRule="auto"/>
              <w:ind/>
              <w:jc w:val="center"/>
              <w:rPr>
                <w:sz w:val="20"/>
              </w:rPr>
            </w:pPr>
            <w:r>
              <w:rPr>
                <w:sz w:val="20"/>
              </w:rPr>
              <w:t>0,011</w:t>
            </w:r>
          </w:p>
        </w:tc>
      </w:tr>
      <w:tr>
        <w:trPr>
          <w:trHeight w:hRule="atLeast" w:val="279"/>
        </w:trPr>
        <w:tc>
          <w:tcPr>
            <w:tcW w:type="dxa" w:w="5321"/>
            <w:tcBorders>
              <w:top w:sz="4" w:val="nil"/>
              <w:left w:color="000000" w:sz="4" w:val="single"/>
              <w:bottom w:color="000000" w:sz="4" w:val="single"/>
              <w:right w:color="000000" w:sz="4" w:val="single"/>
            </w:tcBorders>
            <w:vAlign w:val="center"/>
          </w:tcPr>
          <w:p w14:paraId="09070000">
            <w:pPr>
              <w:spacing w:after="0" w:line="240" w:lineRule="auto"/>
              <w:ind/>
              <w:jc w:val="center"/>
              <w:rPr>
                <w:sz w:val="20"/>
              </w:rPr>
            </w:pPr>
            <w:r>
              <w:rPr>
                <w:sz w:val="20"/>
              </w:rPr>
              <w:t>с. Куйбышево, ул. Миусская, 3</w:t>
            </w:r>
          </w:p>
        </w:tc>
        <w:tc>
          <w:tcPr>
            <w:tcW w:type="dxa" w:w="4204"/>
            <w:tcBorders>
              <w:top w:sz="4" w:val="nil"/>
              <w:left w:sz="4" w:val="nil"/>
              <w:bottom w:color="000000" w:sz="4" w:val="single"/>
              <w:right w:color="000000" w:sz="4" w:val="single"/>
            </w:tcBorders>
            <w:vAlign w:val="center"/>
          </w:tcPr>
          <w:p w14:paraId="0A070000">
            <w:pPr>
              <w:spacing w:after="0" w:line="240" w:lineRule="auto"/>
              <w:ind/>
              <w:jc w:val="center"/>
              <w:rPr>
                <w:sz w:val="20"/>
              </w:rPr>
            </w:pPr>
            <w:r>
              <w:rPr>
                <w:sz w:val="20"/>
              </w:rPr>
              <w:t>0,027</w:t>
            </w:r>
          </w:p>
        </w:tc>
      </w:tr>
      <w:tr>
        <w:trPr>
          <w:trHeight w:hRule="atLeast" w:val="70"/>
        </w:trPr>
        <w:tc>
          <w:tcPr>
            <w:tcW w:type="dxa" w:w="5321"/>
            <w:tcBorders>
              <w:top w:sz="4" w:val="nil"/>
              <w:left w:color="000000" w:sz="4" w:val="single"/>
              <w:bottom w:color="000000" w:sz="4" w:val="single"/>
              <w:right w:color="000000" w:sz="4" w:val="single"/>
            </w:tcBorders>
            <w:vAlign w:val="center"/>
          </w:tcPr>
          <w:p w14:paraId="0B070000">
            <w:pPr>
              <w:spacing w:after="0" w:line="240" w:lineRule="auto"/>
              <w:ind/>
              <w:jc w:val="center"/>
              <w:rPr>
                <w:sz w:val="20"/>
              </w:rPr>
            </w:pPr>
            <w:r>
              <w:rPr>
                <w:sz w:val="20"/>
              </w:rPr>
              <w:t>с. Куйбышево, ул. Миусская, 3</w:t>
            </w:r>
          </w:p>
        </w:tc>
        <w:tc>
          <w:tcPr>
            <w:tcW w:type="dxa" w:w="4204"/>
            <w:tcBorders>
              <w:top w:sz="4" w:val="nil"/>
              <w:left w:sz="4" w:val="nil"/>
              <w:bottom w:color="000000" w:sz="4" w:val="single"/>
              <w:right w:color="000000" w:sz="4" w:val="single"/>
            </w:tcBorders>
            <w:vAlign w:val="center"/>
          </w:tcPr>
          <w:p w14:paraId="0C070000">
            <w:pPr>
              <w:spacing w:after="0" w:line="240" w:lineRule="auto"/>
              <w:ind/>
              <w:jc w:val="center"/>
              <w:rPr>
                <w:sz w:val="20"/>
              </w:rPr>
            </w:pPr>
            <w:r>
              <w:rPr>
                <w:sz w:val="20"/>
              </w:rPr>
              <w:t>0,010</w:t>
            </w:r>
          </w:p>
        </w:tc>
      </w:tr>
      <w:tr>
        <w:trPr>
          <w:trHeight w:hRule="atLeast" w:val="70"/>
        </w:trPr>
        <w:tc>
          <w:tcPr>
            <w:tcW w:type="dxa" w:w="5321"/>
            <w:tcBorders>
              <w:top w:sz="4" w:val="nil"/>
              <w:left w:color="000000" w:sz="4" w:val="single"/>
              <w:bottom w:color="000000" w:sz="4" w:val="single"/>
              <w:right w:color="000000" w:sz="4" w:val="single"/>
            </w:tcBorders>
            <w:vAlign w:val="center"/>
          </w:tcPr>
          <w:p w14:paraId="0D070000">
            <w:pPr>
              <w:spacing w:after="0" w:line="240" w:lineRule="auto"/>
              <w:ind/>
              <w:jc w:val="center"/>
              <w:rPr>
                <w:sz w:val="20"/>
              </w:rPr>
            </w:pPr>
            <w:r>
              <w:rPr>
                <w:sz w:val="20"/>
              </w:rPr>
              <w:t>с. Куйбышево, ул. Миусская, 3</w:t>
            </w:r>
          </w:p>
        </w:tc>
        <w:tc>
          <w:tcPr>
            <w:tcW w:type="dxa" w:w="4204"/>
            <w:tcBorders>
              <w:top w:sz="4" w:val="nil"/>
              <w:left w:sz="4" w:val="nil"/>
              <w:bottom w:color="000000" w:sz="4" w:val="single"/>
              <w:right w:color="000000" w:sz="4" w:val="single"/>
            </w:tcBorders>
            <w:vAlign w:val="center"/>
          </w:tcPr>
          <w:p w14:paraId="0E070000">
            <w:pPr>
              <w:spacing w:after="0" w:line="240" w:lineRule="auto"/>
              <w:ind/>
              <w:jc w:val="center"/>
              <w:rPr>
                <w:sz w:val="20"/>
              </w:rPr>
            </w:pPr>
            <w:r>
              <w:rPr>
                <w:sz w:val="20"/>
              </w:rPr>
              <w:t>0,017</w:t>
            </w:r>
          </w:p>
        </w:tc>
      </w:tr>
      <w:tr>
        <w:trPr>
          <w:trHeight w:hRule="atLeast" w:val="70"/>
        </w:trPr>
        <w:tc>
          <w:tcPr>
            <w:tcW w:type="dxa" w:w="5321"/>
            <w:tcBorders>
              <w:top w:sz="4" w:val="nil"/>
              <w:left w:color="000000" w:sz="4" w:val="single"/>
              <w:bottom w:color="000000" w:sz="4" w:val="single"/>
              <w:right w:color="000000" w:sz="4" w:val="single"/>
            </w:tcBorders>
            <w:vAlign w:val="center"/>
          </w:tcPr>
          <w:p w14:paraId="0F070000">
            <w:pPr>
              <w:spacing w:after="0" w:line="240" w:lineRule="auto"/>
              <w:ind/>
              <w:jc w:val="center"/>
              <w:rPr>
                <w:sz w:val="20"/>
              </w:rPr>
            </w:pPr>
            <w:r>
              <w:rPr>
                <w:sz w:val="20"/>
              </w:rPr>
              <w:t>с. Куйбышево, ул. Миусская,</w:t>
            </w:r>
            <w:r>
              <w:rPr>
                <w:sz w:val="20"/>
              </w:rPr>
              <w:t xml:space="preserve"> 3</w:t>
            </w:r>
          </w:p>
        </w:tc>
        <w:tc>
          <w:tcPr>
            <w:tcW w:type="dxa" w:w="4204"/>
            <w:tcBorders>
              <w:top w:sz="4" w:val="nil"/>
              <w:left w:sz="4" w:val="nil"/>
              <w:bottom w:color="000000" w:sz="4" w:val="single"/>
              <w:right w:color="000000" w:sz="4" w:val="single"/>
            </w:tcBorders>
            <w:vAlign w:val="center"/>
          </w:tcPr>
          <w:p w14:paraId="10070000">
            <w:pPr>
              <w:spacing w:after="0" w:line="240" w:lineRule="auto"/>
              <w:ind/>
              <w:jc w:val="center"/>
              <w:rPr>
                <w:sz w:val="20"/>
              </w:rPr>
            </w:pPr>
            <w:r>
              <w:rPr>
                <w:sz w:val="20"/>
              </w:rPr>
              <w:t>0,054</w:t>
            </w:r>
          </w:p>
        </w:tc>
      </w:tr>
      <w:tr>
        <w:trPr>
          <w:trHeight w:hRule="atLeast" w:val="79"/>
        </w:trPr>
        <w:tc>
          <w:tcPr>
            <w:tcW w:type="dxa" w:w="5321"/>
            <w:tcBorders>
              <w:top w:sz="4" w:val="nil"/>
              <w:left w:color="000000" w:sz="4" w:val="single"/>
              <w:bottom w:color="000000" w:sz="4" w:val="single"/>
              <w:right w:color="000000" w:sz="4" w:val="single"/>
            </w:tcBorders>
            <w:vAlign w:val="center"/>
          </w:tcPr>
          <w:p w14:paraId="11070000">
            <w:pPr>
              <w:spacing w:after="0" w:line="240" w:lineRule="auto"/>
              <w:ind/>
              <w:jc w:val="center"/>
              <w:rPr>
                <w:sz w:val="20"/>
              </w:rPr>
            </w:pPr>
            <w:r>
              <w:rPr>
                <w:sz w:val="20"/>
              </w:rPr>
              <w:t>с. Куйбышево, ул. Миусская, 3</w:t>
            </w:r>
          </w:p>
        </w:tc>
        <w:tc>
          <w:tcPr>
            <w:tcW w:type="dxa" w:w="4204"/>
            <w:tcBorders>
              <w:top w:sz="4" w:val="nil"/>
              <w:left w:sz="4" w:val="nil"/>
              <w:bottom w:color="000000" w:sz="4" w:val="single"/>
              <w:right w:color="000000" w:sz="4" w:val="single"/>
            </w:tcBorders>
            <w:vAlign w:val="center"/>
          </w:tcPr>
          <w:p w14:paraId="12070000">
            <w:pPr>
              <w:spacing w:after="0" w:line="240" w:lineRule="auto"/>
              <w:ind/>
              <w:jc w:val="center"/>
              <w:rPr>
                <w:sz w:val="20"/>
              </w:rPr>
            </w:pPr>
            <w:r>
              <w:rPr>
                <w:sz w:val="20"/>
              </w:rPr>
              <w:t>0,036</w:t>
            </w:r>
          </w:p>
        </w:tc>
      </w:tr>
    </w:tbl>
    <w:p w14:paraId="13070000">
      <w:pPr>
        <w:spacing w:before="200" w:line="240" w:lineRule="auto"/>
        <w:ind w:firstLine="709" w:left="0"/>
        <w:jc w:val="both"/>
        <w:rPr>
          <w:sz w:val="28"/>
        </w:rPr>
      </w:pPr>
      <w:r>
        <w:rPr>
          <w:sz w:val="28"/>
        </w:rPr>
        <w:t xml:space="preserve">б) Параметры установленной тепловой мощности источника тепловой энергии, в том числе теплофикационного оборудования и теплофикационной установки. </w:t>
      </w:r>
    </w:p>
    <w:p w14:paraId="14070000">
      <w:pPr>
        <w:spacing w:line="240" w:lineRule="auto"/>
        <w:ind w:firstLine="709" w:left="0"/>
        <w:jc w:val="both"/>
        <w:rPr>
          <w:sz w:val="28"/>
        </w:rPr>
      </w:pPr>
      <w:r>
        <w:rPr>
          <w:sz w:val="28"/>
        </w:rPr>
        <w:t>Параметры установленной тепловой мощности источников тепловой энергии указаны в таблице 17 схемы теплоснабжения. Теплофикация – это централизованное теплоснабжение на базе комбинированного производства электроэнергии и тепла на теплоэлектроцентралях. Ввиду</w:t>
      </w:r>
      <w:r>
        <w:rPr>
          <w:sz w:val="28"/>
        </w:rPr>
        <w:t xml:space="preserve"> отсутствия в настоящее время и до 2033 года в рассматриваемой территории Куйбышевского сельского поселения тепловой электроцентрали, данный пункт схемы теплоснабжения не рассматривается.</w:t>
      </w:r>
    </w:p>
    <w:p w14:paraId="15070000">
      <w:pPr>
        <w:spacing w:line="240" w:lineRule="auto"/>
        <w:ind w:firstLine="709" w:left="0"/>
        <w:jc w:val="both"/>
        <w:rPr>
          <w:sz w:val="28"/>
        </w:rPr>
      </w:pPr>
      <w:r>
        <w:rPr>
          <w:sz w:val="28"/>
        </w:rPr>
        <w:t xml:space="preserve">в) Ограничения тепловой мощности и параметры располагаемой тепловой </w:t>
      </w:r>
      <w:r>
        <w:rPr>
          <w:sz w:val="28"/>
        </w:rPr>
        <w:t xml:space="preserve">мощности. </w:t>
      </w:r>
    </w:p>
    <w:p w14:paraId="16070000">
      <w:pPr>
        <w:spacing w:line="240" w:lineRule="auto"/>
        <w:ind w:firstLine="709" w:left="0"/>
        <w:jc w:val="both"/>
        <w:rPr>
          <w:sz w:val="28"/>
        </w:rPr>
      </w:pPr>
      <w:r>
        <w:rPr>
          <w:sz w:val="28"/>
        </w:rPr>
        <w:t xml:space="preserve">Ограничений тепловой мощности котельных Куйбышевского сельского поселения по имеющимся данным на 2024 год актуализации Схемы нет. </w:t>
      </w:r>
    </w:p>
    <w:p w14:paraId="17070000">
      <w:pPr>
        <w:spacing w:line="240" w:lineRule="auto"/>
        <w:ind w:firstLine="709" w:left="0"/>
        <w:jc w:val="both"/>
        <w:rPr>
          <w:sz w:val="28"/>
        </w:rPr>
      </w:pPr>
      <w:r>
        <w:rPr>
          <w:sz w:val="28"/>
        </w:rPr>
        <w:t xml:space="preserve">г) Объем потребления тепловой энергии (мощности) на собственные и хозяйственные нужды теплоснабжающей организации </w:t>
      </w:r>
      <w:r>
        <w:rPr>
          <w:sz w:val="28"/>
        </w:rPr>
        <w:t>в отношении источников тепловой энергии и параметры тепловой мощности нетто.</w:t>
      </w:r>
    </w:p>
    <w:p w14:paraId="18070000">
      <w:pPr>
        <w:spacing w:after="0" w:line="240" w:lineRule="auto"/>
        <w:ind w:firstLine="709" w:left="0"/>
        <w:jc w:val="both"/>
        <w:rPr>
          <w:sz w:val="28"/>
        </w:rPr>
      </w:pPr>
      <w:r>
        <w:rPr>
          <w:sz w:val="28"/>
        </w:rPr>
        <w:t>Тепловая энергия, выработанная на котельных, используется на отопление потребителей, расходуется на отопление котельных залов, а также на собственные нужды по производству теплово</w:t>
      </w:r>
      <w:r>
        <w:rPr>
          <w:sz w:val="28"/>
        </w:rPr>
        <w:t>й энергии (нагрев исходной и химически очищенной воды).</w:t>
      </w:r>
    </w:p>
    <w:p w14:paraId="19070000">
      <w:pPr>
        <w:spacing w:line="240" w:lineRule="auto"/>
        <w:ind w:firstLine="709" w:left="0"/>
        <w:jc w:val="both"/>
        <w:rPr>
          <w:sz w:val="28"/>
        </w:rPr>
      </w:pPr>
      <w:r>
        <w:rPr>
          <w:sz w:val="28"/>
        </w:rPr>
        <w:t xml:space="preserve">Расход теплоносителя на собственные нужды определяется расчётным путём. Расход на собственные нужды котельных составляет 141,618 Гкал. </w:t>
      </w:r>
      <w:r>
        <w:rPr>
          <w:sz w:val="28"/>
        </w:rPr>
        <w:t>Фактическая мощность котельных указана на основании данных, предо</w:t>
      </w:r>
      <w:r>
        <w:rPr>
          <w:sz w:val="28"/>
        </w:rPr>
        <w:t>ставленных теплоснабжающей организацией. В таблице 7 схемы теплоснабжения указаны существующие затраты тепловой мощности на собственные и хозяйственные нужды источников тепловой энергии.</w:t>
      </w:r>
    </w:p>
    <w:p w14:paraId="1A070000">
      <w:pPr>
        <w:spacing w:line="240" w:lineRule="auto"/>
        <w:ind/>
        <w:jc w:val="both"/>
        <w:rPr>
          <w:sz w:val="28"/>
        </w:rPr>
      </w:pPr>
      <w:r>
        <w:rPr>
          <w:sz w:val="28"/>
        </w:rPr>
        <w:t>Таблица 18 Параметры тепловой мощности нетто источников теплоснабжени</w:t>
      </w:r>
      <w:r>
        <w:rPr>
          <w:sz w:val="28"/>
        </w:rPr>
        <w:t xml:space="preserve">я </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777"/>
        <w:gridCol w:w="3430"/>
        <w:gridCol w:w="2322"/>
      </w:tblGrid>
      <w:tr>
        <w:trPr>
          <w:trHeight w:hRule="atLeast" w:val="731"/>
        </w:trPr>
        <w:tc>
          <w:tcPr>
            <w:tcW w:type="dxa" w:w="3777"/>
            <w:tcBorders>
              <w:top w:color="000000" w:sz="4" w:val="single"/>
              <w:left w:color="000000" w:sz="4" w:val="single"/>
              <w:bottom w:color="000000" w:sz="4" w:val="single"/>
              <w:right w:color="000000" w:sz="4" w:val="single"/>
            </w:tcBorders>
            <w:vAlign w:val="center"/>
          </w:tcPr>
          <w:p w14:paraId="1B070000">
            <w:pPr>
              <w:ind/>
              <w:jc w:val="center"/>
              <w:rPr>
                <w:sz w:val="20"/>
              </w:rPr>
            </w:pPr>
            <w:r>
              <w:rPr>
                <w:sz w:val="20"/>
              </w:rPr>
              <w:t>Существующая мощность источников теплоснабжения, Гкал/час</w:t>
            </w:r>
          </w:p>
        </w:tc>
        <w:tc>
          <w:tcPr>
            <w:tcW w:type="dxa" w:w="3430"/>
            <w:tcBorders>
              <w:top w:color="000000" w:sz="4" w:val="single"/>
              <w:left w:color="000000" w:sz="4" w:val="single"/>
              <w:bottom w:color="000000" w:sz="4" w:val="single"/>
              <w:right w:color="000000" w:sz="4" w:val="single"/>
            </w:tcBorders>
            <w:vAlign w:val="center"/>
          </w:tcPr>
          <w:p w14:paraId="1C070000">
            <w:pPr>
              <w:ind/>
              <w:jc w:val="center"/>
              <w:rPr>
                <w:sz w:val="20"/>
              </w:rPr>
            </w:pPr>
            <w:r>
              <w:rPr>
                <w:sz w:val="20"/>
              </w:rPr>
              <w:t>Тепловая нагрузка на собственные и хозяйственные нужды, Гкал/ч</w:t>
            </w:r>
          </w:p>
        </w:tc>
        <w:tc>
          <w:tcPr>
            <w:tcW w:type="dxa" w:w="2322"/>
            <w:tcBorders>
              <w:top w:color="000000" w:sz="4" w:val="single"/>
              <w:left w:color="000000" w:sz="4" w:val="single"/>
              <w:bottom w:color="000000" w:sz="4" w:val="single"/>
              <w:right w:color="000000" w:sz="4" w:val="single"/>
            </w:tcBorders>
            <w:vAlign w:val="center"/>
          </w:tcPr>
          <w:p w14:paraId="1D070000">
            <w:pPr>
              <w:ind/>
              <w:jc w:val="center"/>
              <w:rPr>
                <w:sz w:val="20"/>
              </w:rPr>
            </w:pPr>
            <w:r>
              <w:rPr>
                <w:sz w:val="20"/>
              </w:rPr>
              <w:t>Тепловая мощность нетто</w:t>
            </w:r>
          </w:p>
        </w:tc>
      </w:tr>
      <w:tr>
        <w:trPr>
          <w:trHeight w:hRule="atLeast" w:val="422"/>
        </w:trPr>
        <w:tc>
          <w:tcPr>
            <w:tcW w:type="dxa" w:w="3777"/>
            <w:tcBorders>
              <w:top w:color="000000" w:sz="4" w:val="single"/>
              <w:left w:color="000000" w:sz="4" w:val="single"/>
              <w:bottom w:color="000000" w:sz="4" w:val="single"/>
              <w:right w:color="000000" w:sz="4" w:val="single"/>
            </w:tcBorders>
            <w:vAlign w:val="center"/>
          </w:tcPr>
          <w:p w14:paraId="1E070000">
            <w:pPr>
              <w:ind/>
              <w:jc w:val="center"/>
              <w:rPr>
                <w:sz w:val="20"/>
              </w:rPr>
            </w:pPr>
            <w:r>
              <w:rPr>
                <w:sz w:val="20"/>
              </w:rPr>
              <w:t>5,124</w:t>
            </w:r>
          </w:p>
        </w:tc>
        <w:tc>
          <w:tcPr>
            <w:tcW w:type="dxa" w:w="3430"/>
            <w:tcBorders>
              <w:top w:color="000000" w:sz="4" w:val="single"/>
              <w:left w:color="000000" w:sz="4" w:val="single"/>
              <w:bottom w:color="000000" w:sz="4" w:val="single"/>
              <w:right w:color="000000" w:sz="4" w:val="single"/>
            </w:tcBorders>
            <w:vAlign w:val="center"/>
          </w:tcPr>
          <w:p w14:paraId="1F070000">
            <w:pPr>
              <w:ind/>
              <w:jc w:val="center"/>
              <w:rPr>
                <w:sz w:val="20"/>
              </w:rPr>
            </w:pPr>
            <w:r>
              <w:rPr>
                <w:sz w:val="20"/>
              </w:rPr>
              <w:t>0,016</w:t>
            </w:r>
          </w:p>
        </w:tc>
        <w:tc>
          <w:tcPr>
            <w:tcW w:type="dxa" w:w="2322"/>
            <w:tcBorders>
              <w:top w:color="000000" w:sz="4" w:val="single"/>
              <w:left w:color="000000" w:sz="4" w:val="single"/>
              <w:bottom w:color="000000" w:sz="4" w:val="single"/>
              <w:right w:color="000000" w:sz="4" w:val="single"/>
            </w:tcBorders>
            <w:vAlign w:val="center"/>
          </w:tcPr>
          <w:p w14:paraId="20070000">
            <w:pPr>
              <w:ind/>
              <w:jc w:val="center"/>
              <w:rPr>
                <w:sz w:val="20"/>
              </w:rPr>
            </w:pPr>
            <w:r>
              <w:rPr>
                <w:sz w:val="20"/>
              </w:rPr>
              <w:t>5,108</w:t>
            </w:r>
          </w:p>
        </w:tc>
      </w:tr>
    </w:tbl>
    <w:p w14:paraId="21070000">
      <w:pPr>
        <w:spacing w:line="240" w:lineRule="auto"/>
        <w:ind/>
        <w:jc w:val="both"/>
        <w:rPr>
          <w:sz w:val="28"/>
        </w:rPr>
      </w:pPr>
      <w:r>
        <w:rPr>
          <w:sz w:val="28"/>
        </w:rPr>
        <w:t xml:space="preserve">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w:t>
      </w:r>
    </w:p>
    <w:p w14:paraId="22070000">
      <w:pPr>
        <w:spacing w:after="0" w:line="240" w:lineRule="auto"/>
        <w:ind w:firstLine="709" w:left="0"/>
        <w:jc w:val="both"/>
        <w:rPr>
          <w:sz w:val="28"/>
        </w:rPr>
      </w:pPr>
      <w:r>
        <w:rPr>
          <w:sz w:val="28"/>
        </w:rPr>
        <w:t>В системе теплоснабжения на территории Куйбышевского сельского пос</w:t>
      </w:r>
      <w:r>
        <w:rPr>
          <w:sz w:val="28"/>
        </w:rPr>
        <w:t>еления теплофикация отсутствует.</w:t>
      </w:r>
    </w:p>
    <w:p w14:paraId="23070000">
      <w:pPr>
        <w:spacing w:line="240" w:lineRule="auto"/>
        <w:ind w:firstLine="709" w:left="0"/>
        <w:jc w:val="both"/>
        <w:rPr>
          <w:sz w:val="28"/>
        </w:rPr>
      </w:pPr>
      <w:r>
        <w:rPr>
          <w:sz w:val="28"/>
        </w:rPr>
        <w:t>Котельное оборудование, установленное в котельных, работает по температурному графику 95/70 ºС. Режимно-наладочные карты на оборудование, паспорта котельных с указанием характеристик оборудования имеются. Экспертиза промышл</w:t>
      </w:r>
      <w:r>
        <w:rPr>
          <w:sz w:val="28"/>
        </w:rPr>
        <w:t xml:space="preserve">енной безопасности проводится в соответствии с 116-ФЗ «О промышленной безопасности» от 21.07.1997 года. Срок ввода в эксплуатацию котельных 2020 год. Последнее освидетельствование котельных 2023 год. </w:t>
      </w:r>
    </w:p>
    <w:p w14:paraId="24070000">
      <w:pPr>
        <w:spacing w:before="200" w:line="240" w:lineRule="auto"/>
        <w:ind w:firstLine="709" w:left="0"/>
        <w:jc w:val="both"/>
        <w:rPr>
          <w:sz w:val="28"/>
        </w:rPr>
      </w:pPr>
      <w:r>
        <w:rPr>
          <w:sz w:val="28"/>
        </w:rPr>
        <w:t>е) Схемы выдачи тепловой мощности, структура теплофикац</w:t>
      </w:r>
      <w:r>
        <w:rPr>
          <w:sz w:val="28"/>
        </w:rPr>
        <w:t xml:space="preserve">ионных установок (для источников тепловой энергии, функционирующих в режиме комбинированной выработки электрической и тепловой энергии). </w:t>
      </w:r>
    </w:p>
    <w:p w14:paraId="25070000">
      <w:pPr>
        <w:spacing w:after="0" w:line="240" w:lineRule="auto"/>
        <w:ind w:firstLine="709" w:left="0"/>
        <w:jc w:val="both"/>
        <w:rPr>
          <w:sz w:val="28"/>
        </w:rPr>
      </w:pPr>
      <w:r>
        <w:rPr>
          <w:sz w:val="28"/>
        </w:rPr>
        <w:t>В системе теплоснабжения на территории Куйбышевского сельского поселения теплофикационное оборудование и теплофикацион</w:t>
      </w:r>
      <w:r>
        <w:rPr>
          <w:sz w:val="28"/>
        </w:rPr>
        <w:t>ная установка отсутствуют.</w:t>
      </w:r>
    </w:p>
    <w:p w14:paraId="26070000">
      <w:pPr>
        <w:spacing w:line="240" w:lineRule="auto"/>
        <w:ind w:firstLine="709" w:left="0"/>
        <w:jc w:val="both"/>
        <w:rPr>
          <w:sz w:val="28"/>
        </w:rPr>
      </w:pPr>
      <w:r>
        <w:rPr>
          <w:sz w:val="28"/>
        </w:rPr>
        <w:t xml:space="preserve">Схема выдачи мощностей котельных: после водогрейных котлов сетевая вода поступает в трубопровод прямой сетевой воды и далее для отопления потребителей. </w:t>
      </w:r>
    </w:p>
    <w:p w14:paraId="27070000">
      <w:pPr>
        <w:spacing w:line="240" w:lineRule="auto"/>
        <w:ind w:firstLine="709" w:left="0"/>
        <w:jc w:val="both"/>
        <w:rPr>
          <w:sz w:val="28"/>
        </w:rPr>
      </w:pPr>
      <w:r>
        <w:rPr>
          <w:sz w:val="28"/>
        </w:rPr>
        <w:t>ж) Способы регулирования отпуска тепловой энергии от источников тепловой эне</w:t>
      </w:r>
      <w:r>
        <w:rPr>
          <w:sz w:val="28"/>
        </w:rPr>
        <w:t xml:space="preserve">ргии с обоснованием выбора графика изменения температур и расхода теплоносителя в зависимости от температуры наружного воздуха. </w:t>
      </w:r>
    </w:p>
    <w:p w14:paraId="28070000">
      <w:pPr>
        <w:spacing w:line="240" w:lineRule="auto"/>
        <w:ind w:firstLine="709" w:left="0"/>
        <w:jc w:val="both"/>
        <w:rPr>
          <w:sz w:val="28"/>
        </w:rPr>
      </w:pPr>
      <w:r>
        <w:rPr>
          <w:sz w:val="28"/>
        </w:rPr>
        <w:t>Регулирование отпуска теплоты происходит в котельных по температурному графику 95/70 ºС. Присоединение потребителей непосредств</w:t>
      </w:r>
      <w:r>
        <w:rPr>
          <w:sz w:val="28"/>
        </w:rPr>
        <w:t>енное, без элеваторных узлов. Все источники тепловой энергии периодически подвергаются техническому освидетельствованию, имеют предписание надзорных органов на дальнейшую эксплуатацию и находятся в удовлетворительном состоянии.</w:t>
      </w:r>
    </w:p>
    <w:p w14:paraId="29070000">
      <w:pPr>
        <w:spacing w:line="240" w:lineRule="auto"/>
        <w:ind w:firstLine="709" w:left="0"/>
        <w:jc w:val="both"/>
        <w:rPr>
          <w:sz w:val="28"/>
        </w:rPr>
      </w:pPr>
      <w:r>
        <w:rPr>
          <w:sz w:val="28"/>
        </w:rPr>
        <w:t>з) Среднегодовая загрузка об</w:t>
      </w:r>
      <w:r>
        <w:rPr>
          <w:sz w:val="28"/>
        </w:rPr>
        <w:t xml:space="preserve">орудования. </w:t>
      </w:r>
    </w:p>
    <w:p w14:paraId="2A070000">
      <w:pPr>
        <w:spacing w:line="240" w:lineRule="auto"/>
        <w:ind w:firstLine="709" w:left="0"/>
        <w:jc w:val="both"/>
        <w:rPr>
          <w:sz w:val="28"/>
        </w:rPr>
      </w:pPr>
      <w:r>
        <w:rPr>
          <w:sz w:val="28"/>
        </w:rPr>
        <w:t xml:space="preserve">Среднегодовая загрузка оборудования источников теплоснабжения Куйбышевского сельского поселения определена коэффициентом использования установленной тепловой мощности (далее по тексту – КИУМ), который приведён среднеарифметической величиной в </w:t>
      </w:r>
      <w:r>
        <w:rPr>
          <w:sz w:val="28"/>
        </w:rPr>
        <w:t>таблице ниже.</w:t>
      </w:r>
    </w:p>
    <w:p w14:paraId="2B070000">
      <w:pPr>
        <w:spacing w:line="240" w:lineRule="auto"/>
        <w:ind/>
        <w:jc w:val="both"/>
        <w:rPr>
          <w:sz w:val="28"/>
        </w:rPr>
      </w:pPr>
      <w:r>
        <w:rPr>
          <w:sz w:val="28"/>
        </w:rPr>
        <w:t xml:space="preserve">Таблица 19 Среднегодовая загрузка оборудования источников теплоснабжения </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40"/>
          <w:right w:type="dxa" w:w="40"/>
        </w:tblCellMar>
      </w:tblPr>
      <w:tblGrid>
        <w:gridCol w:w="4409"/>
        <w:gridCol w:w="2677"/>
        <w:gridCol w:w="1510"/>
        <w:gridCol w:w="936"/>
      </w:tblGrid>
      <w:tr>
        <w:trPr>
          <w:trHeight w:hRule="exact" w:val="890"/>
        </w:trPr>
        <w:tc>
          <w:tcPr>
            <w:tcW w:type="dxa" w:w="440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C070000">
            <w:pPr>
              <w:ind/>
              <w:jc w:val="center"/>
              <w:rPr>
                <w:sz w:val="20"/>
              </w:rPr>
            </w:pPr>
            <w:r>
              <w:rPr>
                <w:sz w:val="20"/>
              </w:rPr>
              <w:t>Котельная</w:t>
            </w:r>
          </w:p>
        </w:tc>
        <w:tc>
          <w:tcPr>
            <w:tcW w:type="dxa" w:w="2677"/>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D070000">
            <w:pPr>
              <w:ind/>
              <w:jc w:val="center"/>
              <w:rPr>
                <w:sz w:val="20"/>
              </w:rPr>
            </w:pPr>
            <w:r>
              <w:rPr>
                <w:sz w:val="20"/>
              </w:rPr>
              <w:t>Фактическая располагаемая тепловая мощность источника, Гкал/час</w:t>
            </w:r>
          </w:p>
        </w:tc>
        <w:tc>
          <w:tcPr>
            <w:tcW w:type="dxa" w:w="151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E070000">
            <w:pPr>
              <w:ind/>
              <w:jc w:val="center"/>
              <w:rPr>
                <w:sz w:val="20"/>
              </w:rPr>
            </w:pPr>
            <w:r>
              <w:rPr>
                <w:sz w:val="20"/>
              </w:rPr>
              <w:t>Нагрузка потребителей, Гкал/час</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F070000">
            <w:pPr>
              <w:ind/>
              <w:jc w:val="center"/>
              <w:rPr>
                <w:sz w:val="20"/>
              </w:rPr>
            </w:pPr>
            <w:r>
              <w:rPr>
                <w:sz w:val="20"/>
              </w:rPr>
              <w:t>КИУМ, %</w:t>
            </w:r>
          </w:p>
        </w:tc>
      </w:tr>
      <w:tr>
        <w:trPr>
          <w:trHeight w:hRule="exact" w:val="600"/>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30070000">
            <w:pPr>
              <w:ind/>
              <w:jc w:val="center"/>
              <w:rPr>
                <w:sz w:val="20"/>
              </w:rPr>
            </w:pPr>
            <w:r>
              <w:rPr>
                <w:sz w:val="20"/>
              </w:rPr>
              <w:t>с. Куйбышево, ул. Пролетарская, 7</w:t>
            </w:r>
          </w:p>
        </w:tc>
        <w:tc>
          <w:tcPr>
            <w:tcW w:type="dxa" w:w="2677"/>
            <w:tcBorders>
              <w:top w:sz="4" w:val="nil"/>
              <w:left w:color="000000" w:sz="4" w:val="single"/>
              <w:bottom w:color="000000" w:sz="4" w:val="single"/>
              <w:right w:color="000000" w:sz="4" w:val="single"/>
            </w:tcBorders>
            <w:shd w:fill="auto" w:val="clear"/>
            <w:tcMar>
              <w:left w:type="dxa" w:w="40"/>
              <w:right w:type="dxa" w:w="40"/>
            </w:tcMar>
            <w:vAlign w:val="center"/>
          </w:tcPr>
          <w:p w14:paraId="31070000">
            <w:pPr>
              <w:ind/>
              <w:jc w:val="center"/>
              <w:rPr>
                <w:sz w:val="20"/>
              </w:rPr>
            </w:pPr>
            <w:r>
              <w:rPr>
                <w:sz w:val="20"/>
              </w:rPr>
              <w:t>3,44</w:t>
            </w:r>
          </w:p>
        </w:tc>
        <w:tc>
          <w:tcPr>
            <w:tcW w:type="dxa" w:w="151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2070000">
            <w:pPr>
              <w:ind/>
              <w:jc w:val="center"/>
              <w:rPr>
                <w:sz w:val="20"/>
              </w:rPr>
            </w:pPr>
            <w:r>
              <w:rPr>
                <w:sz w:val="20"/>
              </w:rPr>
              <w:t>0,818</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3070000">
            <w:pPr>
              <w:ind/>
              <w:jc w:val="center"/>
              <w:rPr>
                <w:sz w:val="20"/>
              </w:rPr>
            </w:pPr>
            <w:r>
              <w:rPr>
                <w:sz w:val="20"/>
              </w:rPr>
              <w:t>24</w:t>
            </w:r>
          </w:p>
        </w:tc>
      </w:tr>
      <w:tr>
        <w:trPr>
          <w:trHeight w:hRule="exact" w:val="390"/>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34070000">
            <w:pPr>
              <w:ind/>
              <w:jc w:val="center"/>
              <w:rPr>
                <w:sz w:val="20"/>
              </w:rPr>
            </w:pPr>
            <w:r>
              <w:rPr>
                <w:sz w:val="20"/>
              </w:rPr>
              <w:t xml:space="preserve">с. </w:t>
            </w:r>
            <w:r>
              <w:rPr>
                <w:sz w:val="20"/>
              </w:rPr>
              <w:t>Русское, ул. Красноармейская,8-а</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35070000">
            <w:pPr>
              <w:ind/>
              <w:jc w:val="center"/>
              <w:rPr>
                <w:sz w:val="20"/>
              </w:rPr>
            </w:pPr>
            <w:r>
              <w:rPr>
                <w:sz w:val="20"/>
              </w:rPr>
              <w:t>0,165</w:t>
            </w:r>
          </w:p>
        </w:tc>
        <w:tc>
          <w:tcPr>
            <w:tcW w:type="dxa" w:w="1510"/>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36070000">
            <w:pPr>
              <w:widowControl w:val="0"/>
              <w:spacing w:after="0" w:line="240" w:lineRule="auto"/>
              <w:ind/>
              <w:jc w:val="center"/>
              <w:rPr>
                <w:sz w:val="20"/>
              </w:rPr>
            </w:pPr>
            <w:r>
              <w:rPr>
                <w:sz w:val="20"/>
              </w:rPr>
              <w:t>0,165</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7070000">
            <w:pPr>
              <w:ind/>
              <w:jc w:val="center"/>
              <w:rPr>
                <w:sz w:val="20"/>
              </w:rPr>
            </w:pPr>
            <w:r>
              <w:rPr>
                <w:sz w:val="20"/>
              </w:rPr>
              <w:t>100</w:t>
            </w:r>
          </w:p>
        </w:tc>
      </w:tr>
      <w:tr>
        <w:trPr>
          <w:trHeight w:hRule="exact" w:val="645"/>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38070000">
            <w:pPr>
              <w:ind/>
              <w:jc w:val="center"/>
              <w:rPr>
                <w:sz w:val="20"/>
              </w:rPr>
            </w:pPr>
            <w:r>
              <w:rPr>
                <w:sz w:val="20"/>
              </w:rPr>
              <w:t>с. Русское, ул. Героя Советского Союза М.П. Алексеева, 8</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39070000">
            <w:pPr>
              <w:ind/>
              <w:jc w:val="center"/>
              <w:rPr>
                <w:sz w:val="20"/>
              </w:rPr>
            </w:pPr>
            <w:r>
              <w:rPr>
                <w:sz w:val="20"/>
              </w:rPr>
              <w:t>0,054</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3A070000">
            <w:pPr>
              <w:ind/>
              <w:jc w:val="center"/>
              <w:rPr>
                <w:sz w:val="20"/>
              </w:rPr>
            </w:pPr>
            <w:r>
              <w:rPr>
                <w:sz w:val="20"/>
              </w:rPr>
              <w:t>0,029</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B070000">
            <w:pPr>
              <w:ind/>
              <w:jc w:val="center"/>
              <w:rPr>
                <w:sz w:val="20"/>
              </w:rPr>
            </w:pPr>
            <w:r>
              <w:rPr>
                <w:sz w:val="20"/>
              </w:rPr>
              <w:t>54</w:t>
            </w:r>
          </w:p>
        </w:tc>
      </w:tr>
      <w:tr>
        <w:trPr>
          <w:trHeight w:hRule="exact" w:val="465"/>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3C070000">
            <w:pPr>
              <w:ind/>
              <w:jc w:val="center"/>
              <w:rPr>
                <w:sz w:val="20"/>
              </w:rPr>
            </w:pPr>
            <w:r>
              <w:rPr>
                <w:sz w:val="20"/>
              </w:rPr>
              <w:t>с. Куйбышево, ул. Театральная, 72</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3D070000">
            <w:pPr>
              <w:ind/>
              <w:jc w:val="center"/>
              <w:rPr>
                <w:sz w:val="20"/>
              </w:rPr>
            </w:pPr>
            <w:r>
              <w:rPr>
                <w:sz w:val="20"/>
              </w:rPr>
              <w:t>0,054</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3E070000">
            <w:pPr>
              <w:ind/>
              <w:jc w:val="center"/>
              <w:rPr>
                <w:sz w:val="20"/>
              </w:rPr>
            </w:pPr>
            <w:r>
              <w:rPr>
                <w:sz w:val="20"/>
              </w:rPr>
              <w:t>0,028</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F070000">
            <w:pPr>
              <w:ind/>
              <w:jc w:val="center"/>
              <w:rPr>
                <w:sz w:val="20"/>
              </w:rPr>
            </w:pPr>
            <w:r>
              <w:rPr>
                <w:sz w:val="20"/>
              </w:rPr>
              <w:t>53</w:t>
            </w:r>
          </w:p>
        </w:tc>
      </w:tr>
      <w:tr>
        <w:trPr>
          <w:trHeight w:hRule="exact" w:val="269"/>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40070000">
            <w:pPr>
              <w:ind/>
              <w:jc w:val="center"/>
              <w:rPr>
                <w:sz w:val="20"/>
              </w:rPr>
            </w:pPr>
            <w:r>
              <w:rPr>
                <w:sz w:val="20"/>
              </w:rPr>
              <w:t>с. Куйбышево, ул. Пролетарская, 2 а</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41070000">
            <w:pPr>
              <w:ind/>
              <w:jc w:val="center"/>
              <w:rPr>
                <w:sz w:val="20"/>
              </w:rPr>
            </w:pPr>
            <w:r>
              <w:rPr>
                <w:sz w:val="20"/>
              </w:rPr>
              <w:t>0,086</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42070000">
            <w:pPr>
              <w:widowControl w:val="0"/>
              <w:spacing w:after="0" w:line="240" w:lineRule="auto"/>
              <w:ind/>
              <w:jc w:val="center"/>
              <w:rPr>
                <w:sz w:val="20"/>
              </w:rPr>
            </w:pPr>
            <w:r>
              <w:rPr>
                <w:sz w:val="20"/>
              </w:rPr>
              <w:t>0,086</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3070000">
            <w:pPr>
              <w:ind/>
              <w:jc w:val="center"/>
              <w:rPr>
                <w:sz w:val="20"/>
              </w:rPr>
            </w:pPr>
            <w:r>
              <w:rPr>
                <w:sz w:val="20"/>
              </w:rPr>
              <w:t>100</w:t>
            </w:r>
          </w:p>
        </w:tc>
      </w:tr>
      <w:tr>
        <w:trPr>
          <w:trHeight w:hRule="exact" w:val="286"/>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44070000">
            <w:pPr>
              <w:ind/>
              <w:jc w:val="center"/>
              <w:rPr>
                <w:sz w:val="20"/>
              </w:rPr>
            </w:pPr>
            <w:r>
              <w:rPr>
                <w:sz w:val="20"/>
              </w:rPr>
              <w:t>с. Куйбышево, ул. Кузьменко, 3</w:t>
            </w:r>
            <w:r>
              <w:rPr>
                <w:sz w:val="20"/>
              </w:rPr>
              <w:t xml:space="preserve"> а</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45070000">
            <w:pPr>
              <w:ind/>
              <w:jc w:val="center"/>
              <w:rPr>
                <w:sz w:val="20"/>
              </w:rPr>
            </w:pPr>
            <w:r>
              <w:rPr>
                <w:sz w:val="20"/>
              </w:rPr>
              <w:t>0,172</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46070000">
            <w:pPr>
              <w:widowControl w:val="0"/>
              <w:spacing w:after="0" w:line="240" w:lineRule="auto"/>
              <w:ind/>
              <w:jc w:val="center"/>
              <w:rPr>
                <w:sz w:val="20"/>
              </w:rPr>
            </w:pPr>
            <w:r>
              <w:rPr>
                <w:sz w:val="20"/>
              </w:rPr>
              <w:t>0,105</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7070000">
            <w:pPr>
              <w:ind/>
              <w:jc w:val="center"/>
              <w:rPr>
                <w:sz w:val="20"/>
              </w:rPr>
            </w:pPr>
            <w:r>
              <w:rPr>
                <w:sz w:val="20"/>
              </w:rPr>
              <w:t>61</w:t>
            </w:r>
          </w:p>
        </w:tc>
      </w:tr>
      <w:tr>
        <w:trPr>
          <w:trHeight w:hRule="exact" w:val="279"/>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48070000">
            <w:pPr>
              <w:ind/>
              <w:jc w:val="center"/>
              <w:rPr>
                <w:sz w:val="20"/>
              </w:rPr>
            </w:pPr>
            <w:r>
              <w:rPr>
                <w:sz w:val="20"/>
              </w:rPr>
              <w:t>х. Свободный, ул. Молодёжная, 8</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49070000">
            <w:pPr>
              <w:ind/>
              <w:jc w:val="center"/>
              <w:rPr>
                <w:sz w:val="20"/>
              </w:rPr>
            </w:pPr>
            <w:r>
              <w:rPr>
                <w:sz w:val="20"/>
              </w:rPr>
              <w:t>0,126</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4A070000">
            <w:pPr>
              <w:widowControl w:val="0"/>
              <w:spacing w:after="0" w:line="240" w:lineRule="auto"/>
              <w:ind/>
              <w:jc w:val="center"/>
              <w:rPr>
                <w:sz w:val="20"/>
              </w:rPr>
            </w:pPr>
            <w:r>
              <w:rPr>
                <w:sz w:val="20"/>
              </w:rPr>
              <w:t>0,045</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B070000">
            <w:pPr>
              <w:ind/>
              <w:jc w:val="center"/>
              <w:rPr>
                <w:sz w:val="20"/>
              </w:rPr>
            </w:pPr>
            <w:r>
              <w:rPr>
                <w:sz w:val="20"/>
              </w:rPr>
              <w:t>36</w:t>
            </w:r>
          </w:p>
        </w:tc>
      </w:tr>
      <w:tr>
        <w:trPr>
          <w:trHeight w:hRule="exact" w:val="285"/>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4C070000">
            <w:pPr>
              <w:ind/>
              <w:jc w:val="center"/>
              <w:rPr>
                <w:sz w:val="20"/>
              </w:rPr>
            </w:pPr>
            <w:r>
              <w:rPr>
                <w:sz w:val="20"/>
              </w:rPr>
              <w:t>х. Ольховский, ул. Центральная, 3 а</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4D070000">
            <w:pPr>
              <w:ind/>
              <w:jc w:val="center"/>
              <w:rPr>
                <w:sz w:val="20"/>
              </w:rPr>
            </w:pPr>
            <w:r>
              <w:rPr>
                <w:sz w:val="20"/>
              </w:rPr>
              <w:t>0,052</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4E070000">
            <w:pPr>
              <w:widowControl w:val="0"/>
              <w:spacing w:after="0" w:line="240" w:lineRule="auto"/>
              <w:ind/>
              <w:jc w:val="center"/>
              <w:rPr>
                <w:sz w:val="20"/>
              </w:rPr>
            </w:pPr>
            <w:r>
              <w:rPr>
                <w:sz w:val="20"/>
              </w:rPr>
              <w:t>0,026</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F070000">
            <w:pPr>
              <w:ind/>
              <w:jc w:val="center"/>
              <w:rPr>
                <w:sz w:val="20"/>
              </w:rPr>
            </w:pPr>
            <w:r>
              <w:rPr>
                <w:sz w:val="20"/>
              </w:rPr>
              <w:t>51</w:t>
            </w:r>
          </w:p>
        </w:tc>
      </w:tr>
      <w:tr>
        <w:trPr>
          <w:trHeight w:hRule="exact" w:val="296"/>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50070000">
            <w:pPr>
              <w:ind/>
              <w:jc w:val="center"/>
              <w:rPr>
                <w:sz w:val="20"/>
              </w:rPr>
            </w:pPr>
            <w:r>
              <w:rPr>
                <w:sz w:val="20"/>
              </w:rPr>
              <w:t>с. Куйбышево, ул. Пролетарская, 5</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51070000">
            <w:pPr>
              <w:ind/>
              <w:jc w:val="center"/>
              <w:rPr>
                <w:sz w:val="20"/>
              </w:rPr>
            </w:pPr>
            <w:r>
              <w:rPr>
                <w:sz w:val="20"/>
              </w:rPr>
              <w:t>0,034</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52070000">
            <w:pPr>
              <w:widowControl w:val="0"/>
              <w:spacing w:after="0" w:line="240" w:lineRule="auto"/>
              <w:ind/>
              <w:jc w:val="center"/>
              <w:rPr>
                <w:sz w:val="20"/>
              </w:rPr>
            </w:pPr>
            <w:r>
              <w:rPr>
                <w:sz w:val="20"/>
              </w:rPr>
              <w:t>0,034</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3070000">
            <w:pPr>
              <w:ind/>
              <w:jc w:val="center"/>
              <w:rPr>
                <w:sz w:val="20"/>
              </w:rPr>
            </w:pPr>
            <w:r>
              <w:rPr>
                <w:sz w:val="20"/>
              </w:rPr>
              <w:t>100</w:t>
            </w:r>
          </w:p>
        </w:tc>
      </w:tr>
      <w:tr>
        <w:trPr>
          <w:trHeight w:hRule="exact" w:val="284"/>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54070000">
            <w:pPr>
              <w:ind/>
              <w:jc w:val="center"/>
              <w:rPr>
                <w:sz w:val="20"/>
              </w:rPr>
            </w:pPr>
            <w:r>
              <w:rPr>
                <w:sz w:val="20"/>
              </w:rPr>
              <w:t>с. Куйбышево, ул. Театральная, 22</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55070000">
            <w:pPr>
              <w:ind/>
              <w:jc w:val="center"/>
              <w:rPr>
                <w:sz w:val="20"/>
              </w:rPr>
            </w:pPr>
            <w:r>
              <w:rPr>
                <w:sz w:val="20"/>
              </w:rPr>
              <w:t>0,165</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56070000">
            <w:pPr>
              <w:widowControl w:val="0"/>
              <w:spacing w:after="0" w:line="240" w:lineRule="auto"/>
              <w:ind/>
              <w:jc w:val="center"/>
              <w:rPr>
                <w:sz w:val="20"/>
              </w:rPr>
            </w:pPr>
            <w:r>
              <w:rPr>
                <w:sz w:val="20"/>
              </w:rPr>
              <w:t>0,141</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7070000">
            <w:pPr>
              <w:ind/>
              <w:jc w:val="center"/>
              <w:rPr>
                <w:sz w:val="20"/>
              </w:rPr>
            </w:pPr>
            <w:r>
              <w:rPr>
                <w:sz w:val="20"/>
              </w:rPr>
              <w:t>85</w:t>
            </w:r>
          </w:p>
        </w:tc>
      </w:tr>
      <w:tr>
        <w:trPr>
          <w:trHeight w:hRule="exact" w:val="248"/>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58070000">
            <w:pPr>
              <w:ind/>
              <w:jc w:val="center"/>
              <w:rPr>
                <w:sz w:val="20"/>
              </w:rPr>
            </w:pPr>
            <w:r>
              <w:rPr>
                <w:sz w:val="20"/>
              </w:rPr>
              <w:t>х. Свободный, ул. Победы, 29</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59070000">
            <w:pPr>
              <w:ind/>
              <w:jc w:val="center"/>
              <w:rPr>
                <w:sz w:val="20"/>
              </w:rPr>
            </w:pPr>
            <w:r>
              <w:rPr>
                <w:sz w:val="20"/>
              </w:rPr>
              <w:t>0,014</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5A070000">
            <w:pPr>
              <w:widowControl w:val="0"/>
              <w:spacing w:after="0" w:line="240" w:lineRule="auto"/>
              <w:ind/>
              <w:jc w:val="center"/>
              <w:rPr>
                <w:sz w:val="20"/>
              </w:rPr>
            </w:pPr>
            <w:r>
              <w:rPr>
                <w:sz w:val="20"/>
              </w:rPr>
              <w:t>0,013</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B070000">
            <w:pPr>
              <w:ind/>
              <w:jc w:val="center"/>
              <w:rPr>
                <w:sz w:val="20"/>
              </w:rPr>
            </w:pPr>
            <w:r>
              <w:rPr>
                <w:sz w:val="20"/>
              </w:rPr>
              <w:t>98</w:t>
            </w:r>
          </w:p>
        </w:tc>
      </w:tr>
      <w:tr>
        <w:trPr>
          <w:trHeight w:hRule="exact" w:val="263"/>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5C070000">
            <w:pPr>
              <w:ind/>
              <w:jc w:val="center"/>
              <w:rPr>
                <w:sz w:val="20"/>
              </w:rPr>
            </w:pPr>
            <w:r>
              <w:rPr>
                <w:sz w:val="20"/>
              </w:rPr>
              <w:t>х. Новобахмутский, ул. Широкая, 89 а</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5D070000">
            <w:pPr>
              <w:ind/>
              <w:jc w:val="center"/>
              <w:rPr>
                <w:sz w:val="20"/>
              </w:rPr>
            </w:pPr>
            <w:r>
              <w:rPr>
                <w:sz w:val="20"/>
              </w:rPr>
              <w:t>0,014</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5E070000">
            <w:pPr>
              <w:widowControl w:val="0"/>
              <w:spacing w:after="0" w:line="240" w:lineRule="auto"/>
              <w:ind/>
              <w:jc w:val="center"/>
              <w:rPr>
                <w:sz w:val="20"/>
              </w:rPr>
            </w:pPr>
            <w:r>
              <w:rPr>
                <w:sz w:val="20"/>
              </w:rPr>
              <w:t>0,014</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F070000">
            <w:pPr>
              <w:ind/>
              <w:jc w:val="center"/>
              <w:rPr>
                <w:sz w:val="20"/>
              </w:rPr>
            </w:pPr>
            <w:r>
              <w:rPr>
                <w:sz w:val="20"/>
              </w:rPr>
              <w:t>100</w:t>
            </w:r>
          </w:p>
        </w:tc>
      </w:tr>
      <w:tr>
        <w:trPr>
          <w:trHeight w:hRule="exact" w:val="223"/>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60070000">
            <w:pPr>
              <w:ind/>
              <w:jc w:val="center"/>
              <w:rPr>
                <w:sz w:val="20"/>
              </w:rPr>
            </w:pPr>
            <w:r>
              <w:rPr>
                <w:sz w:val="20"/>
              </w:rPr>
              <w:t>с. Русское, ул. Красноармейская, 1</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61070000">
            <w:pPr>
              <w:ind/>
              <w:jc w:val="center"/>
              <w:rPr>
                <w:sz w:val="20"/>
              </w:rPr>
            </w:pPr>
            <w:r>
              <w:rPr>
                <w:sz w:val="20"/>
              </w:rPr>
              <w:t>0,094</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62070000">
            <w:pPr>
              <w:widowControl w:val="0"/>
              <w:spacing w:after="0" w:line="240" w:lineRule="auto"/>
              <w:ind/>
              <w:jc w:val="center"/>
              <w:rPr>
                <w:sz w:val="20"/>
              </w:rPr>
            </w:pPr>
            <w:r>
              <w:rPr>
                <w:sz w:val="20"/>
              </w:rPr>
              <w:t>0,051</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3070000">
            <w:pPr>
              <w:ind/>
              <w:jc w:val="center"/>
              <w:rPr>
                <w:sz w:val="20"/>
              </w:rPr>
            </w:pPr>
            <w:r>
              <w:rPr>
                <w:sz w:val="20"/>
              </w:rPr>
              <w:t>54</w:t>
            </w:r>
          </w:p>
        </w:tc>
      </w:tr>
      <w:tr>
        <w:trPr>
          <w:trHeight w:hRule="exact" w:val="283"/>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64070000">
            <w:pPr>
              <w:ind/>
              <w:jc w:val="center"/>
              <w:rPr>
                <w:sz w:val="20"/>
              </w:rPr>
            </w:pPr>
            <w:r>
              <w:rPr>
                <w:sz w:val="20"/>
              </w:rPr>
              <w:t>с. Куйбышево, ул. Цветаева, 31</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65070000">
            <w:pPr>
              <w:ind/>
              <w:jc w:val="center"/>
              <w:rPr>
                <w:sz w:val="20"/>
              </w:rPr>
            </w:pPr>
            <w:r>
              <w:rPr>
                <w:sz w:val="20"/>
              </w:rPr>
              <w:t>0,020</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66070000">
            <w:pPr>
              <w:widowControl w:val="0"/>
              <w:spacing w:after="0" w:line="240" w:lineRule="auto"/>
              <w:ind/>
              <w:jc w:val="center"/>
              <w:rPr>
                <w:sz w:val="20"/>
              </w:rPr>
            </w:pPr>
            <w:r>
              <w:rPr>
                <w:sz w:val="20"/>
              </w:rPr>
              <w:t>0,012</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7070000">
            <w:pPr>
              <w:ind/>
              <w:jc w:val="center"/>
              <w:rPr>
                <w:sz w:val="20"/>
              </w:rPr>
            </w:pPr>
            <w:r>
              <w:rPr>
                <w:sz w:val="20"/>
              </w:rPr>
              <w:t>60</w:t>
            </w:r>
          </w:p>
        </w:tc>
      </w:tr>
      <w:tr>
        <w:trPr>
          <w:trHeight w:hRule="exact" w:val="368"/>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68070000">
            <w:pPr>
              <w:ind/>
              <w:jc w:val="center"/>
              <w:rPr>
                <w:sz w:val="20"/>
              </w:rPr>
            </w:pPr>
            <w:r>
              <w:rPr>
                <w:sz w:val="20"/>
              </w:rPr>
              <w:t>с. Куйбышево, ул. Куйбышевская, 24</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69070000">
            <w:pPr>
              <w:ind/>
              <w:jc w:val="center"/>
              <w:rPr>
                <w:sz w:val="20"/>
              </w:rPr>
            </w:pPr>
            <w:r>
              <w:rPr>
                <w:sz w:val="20"/>
              </w:rPr>
              <w:t>0,165</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6A070000">
            <w:pPr>
              <w:widowControl w:val="0"/>
              <w:spacing w:after="0" w:line="240" w:lineRule="auto"/>
              <w:ind/>
              <w:jc w:val="center"/>
              <w:rPr>
                <w:sz w:val="20"/>
              </w:rPr>
            </w:pPr>
            <w:r>
              <w:rPr>
                <w:sz w:val="20"/>
              </w:rPr>
              <w:t>0,153</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B070000">
            <w:pPr>
              <w:ind/>
              <w:jc w:val="center"/>
              <w:rPr>
                <w:sz w:val="20"/>
              </w:rPr>
            </w:pPr>
            <w:r>
              <w:rPr>
                <w:sz w:val="20"/>
              </w:rPr>
              <w:t>93</w:t>
            </w:r>
          </w:p>
        </w:tc>
      </w:tr>
      <w:tr>
        <w:trPr>
          <w:trHeight w:hRule="exact" w:val="287"/>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6C070000">
            <w:pPr>
              <w:ind/>
              <w:jc w:val="center"/>
              <w:rPr>
                <w:sz w:val="20"/>
              </w:rPr>
            </w:pPr>
            <w:r>
              <w:rPr>
                <w:sz w:val="20"/>
              </w:rPr>
              <w:t>с. Куйбышево, ул. Куйбышевская, 20</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6D070000">
            <w:pPr>
              <w:ind/>
              <w:jc w:val="center"/>
              <w:rPr>
                <w:sz w:val="20"/>
              </w:rPr>
            </w:pPr>
            <w:r>
              <w:rPr>
                <w:sz w:val="20"/>
              </w:rPr>
              <w:t>0,027</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6E070000">
            <w:pPr>
              <w:widowControl w:val="0"/>
              <w:spacing w:after="0" w:line="240" w:lineRule="auto"/>
              <w:ind/>
              <w:jc w:val="center"/>
              <w:rPr>
                <w:sz w:val="20"/>
              </w:rPr>
            </w:pPr>
            <w:r>
              <w:rPr>
                <w:sz w:val="20"/>
              </w:rPr>
              <w:t>0,021</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F070000">
            <w:pPr>
              <w:ind/>
              <w:jc w:val="center"/>
              <w:rPr>
                <w:sz w:val="20"/>
              </w:rPr>
            </w:pPr>
            <w:r>
              <w:rPr>
                <w:sz w:val="20"/>
              </w:rPr>
              <w:t>78</w:t>
            </w:r>
          </w:p>
        </w:tc>
      </w:tr>
      <w:tr>
        <w:trPr>
          <w:trHeight w:hRule="exact" w:val="290"/>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70070000">
            <w:pPr>
              <w:ind/>
              <w:jc w:val="center"/>
              <w:rPr>
                <w:sz w:val="20"/>
              </w:rPr>
            </w:pPr>
            <w:r>
              <w:rPr>
                <w:sz w:val="20"/>
              </w:rPr>
              <w:t>с. Куйбышево, ул. Миусская, 3</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71070000">
            <w:pPr>
              <w:ind/>
              <w:jc w:val="center"/>
              <w:rPr>
                <w:sz w:val="20"/>
              </w:rPr>
            </w:pPr>
            <w:r>
              <w:rPr>
                <w:sz w:val="20"/>
              </w:rPr>
              <w:t>0,165</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72070000">
            <w:pPr>
              <w:widowControl w:val="0"/>
              <w:spacing w:after="0" w:line="240" w:lineRule="auto"/>
              <w:ind/>
              <w:jc w:val="center"/>
              <w:rPr>
                <w:sz w:val="20"/>
              </w:rPr>
            </w:pPr>
            <w:r>
              <w:rPr>
                <w:sz w:val="20"/>
              </w:rPr>
              <w:t>0,105</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3070000">
            <w:pPr>
              <w:ind/>
              <w:jc w:val="center"/>
              <w:rPr>
                <w:sz w:val="20"/>
              </w:rPr>
            </w:pPr>
            <w:r>
              <w:rPr>
                <w:sz w:val="20"/>
              </w:rPr>
              <w:t>64</w:t>
            </w:r>
          </w:p>
        </w:tc>
      </w:tr>
      <w:tr>
        <w:trPr>
          <w:trHeight w:hRule="exact" w:val="280"/>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74070000">
            <w:pPr>
              <w:ind/>
              <w:jc w:val="center"/>
              <w:rPr>
                <w:sz w:val="20"/>
              </w:rPr>
            </w:pPr>
            <w:r>
              <w:rPr>
                <w:sz w:val="20"/>
              </w:rPr>
              <w:t>с. Куйбышево, ул. Миусская, 3</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75070000">
            <w:pPr>
              <w:ind/>
              <w:jc w:val="center"/>
              <w:rPr>
                <w:sz w:val="20"/>
              </w:rPr>
            </w:pPr>
            <w:r>
              <w:rPr>
                <w:sz w:val="20"/>
              </w:rPr>
              <w:t>0,086</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76070000">
            <w:pPr>
              <w:widowControl w:val="0"/>
              <w:spacing w:after="0" w:line="240" w:lineRule="auto"/>
              <w:ind/>
              <w:jc w:val="center"/>
              <w:rPr>
                <w:sz w:val="20"/>
              </w:rPr>
            </w:pPr>
            <w:r>
              <w:rPr>
                <w:sz w:val="20"/>
              </w:rPr>
              <w:t>0,060</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7070000">
            <w:pPr>
              <w:ind/>
              <w:jc w:val="center"/>
              <w:rPr>
                <w:sz w:val="20"/>
              </w:rPr>
            </w:pPr>
            <w:r>
              <w:rPr>
                <w:sz w:val="20"/>
              </w:rPr>
              <w:t>70</w:t>
            </w:r>
          </w:p>
        </w:tc>
      </w:tr>
      <w:tr>
        <w:trPr>
          <w:trHeight w:hRule="exact" w:val="284"/>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78070000">
            <w:pPr>
              <w:ind/>
              <w:jc w:val="center"/>
              <w:rPr>
                <w:sz w:val="20"/>
              </w:rPr>
            </w:pPr>
            <w:r>
              <w:rPr>
                <w:sz w:val="20"/>
              </w:rPr>
              <w:t>с. Куйбышево, ул. Миусская, 3</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79070000">
            <w:pPr>
              <w:ind/>
              <w:jc w:val="center"/>
              <w:rPr>
                <w:sz w:val="20"/>
              </w:rPr>
            </w:pPr>
            <w:r>
              <w:rPr>
                <w:sz w:val="20"/>
              </w:rPr>
              <w:t>0,017</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7A070000">
            <w:pPr>
              <w:widowControl w:val="0"/>
              <w:spacing w:after="0" w:line="240" w:lineRule="auto"/>
              <w:ind/>
              <w:jc w:val="center"/>
              <w:rPr>
                <w:sz w:val="20"/>
              </w:rPr>
            </w:pPr>
            <w:r>
              <w:rPr>
                <w:sz w:val="20"/>
              </w:rPr>
              <w:t>0,017</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B070000">
            <w:pPr>
              <w:ind/>
              <w:jc w:val="center"/>
              <w:rPr>
                <w:sz w:val="20"/>
              </w:rPr>
            </w:pPr>
            <w:r>
              <w:rPr>
                <w:sz w:val="20"/>
              </w:rPr>
              <w:t>100</w:t>
            </w:r>
          </w:p>
        </w:tc>
      </w:tr>
      <w:tr>
        <w:trPr>
          <w:trHeight w:hRule="exact" w:val="274"/>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7C070000">
            <w:pPr>
              <w:ind/>
              <w:jc w:val="center"/>
              <w:rPr>
                <w:sz w:val="20"/>
              </w:rPr>
            </w:pPr>
            <w:r>
              <w:rPr>
                <w:sz w:val="20"/>
              </w:rPr>
              <w:t>с. Куйбышево, ул. Миусская, 3</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7D070000">
            <w:pPr>
              <w:ind/>
              <w:jc w:val="center"/>
              <w:rPr>
                <w:sz w:val="20"/>
              </w:rPr>
            </w:pPr>
            <w:r>
              <w:rPr>
                <w:sz w:val="20"/>
              </w:rPr>
              <w:t>0,020</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7E070000">
            <w:pPr>
              <w:widowControl w:val="0"/>
              <w:spacing w:after="0" w:line="240" w:lineRule="auto"/>
              <w:ind/>
              <w:jc w:val="center"/>
              <w:rPr>
                <w:sz w:val="20"/>
              </w:rPr>
            </w:pPr>
            <w:r>
              <w:rPr>
                <w:sz w:val="20"/>
              </w:rPr>
              <w:t>0,019</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F070000">
            <w:pPr>
              <w:ind/>
              <w:jc w:val="center"/>
              <w:rPr>
                <w:sz w:val="20"/>
              </w:rPr>
            </w:pPr>
            <w:r>
              <w:rPr>
                <w:sz w:val="20"/>
              </w:rPr>
              <w:t>99</w:t>
            </w:r>
          </w:p>
        </w:tc>
      </w:tr>
      <w:tr>
        <w:trPr>
          <w:trHeight w:hRule="exact" w:val="292"/>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80070000">
            <w:pPr>
              <w:ind/>
              <w:jc w:val="center"/>
              <w:rPr>
                <w:sz w:val="20"/>
              </w:rPr>
            </w:pPr>
            <w:r>
              <w:rPr>
                <w:sz w:val="20"/>
              </w:rPr>
              <w:t>с. Куйбышево, ул. Миусская, 3</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81070000">
            <w:pPr>
              <w:ind/>
              <w:jc w:val="center"/>
              <w:rPr>
                <w:sz w:val="20"/>
              </w:rPr>
            </w:pPr>
            <w:r>
              <w:rPr>
                <w:sz w:val="20"/>
              </w:rPr>
              <w:t>0,011</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82070000">
            <w:pPr>
              <w:widowControl w:val="0"/>
              <w:spacing w:after="0" w:line="240" w:lineRule="auto"/>
              <w:ind/>
              <w:jc w:val="center"/>
              <w:rPr>
                <w:sz w:val="20"/>
              </w:rPr>
            </w:pPr>
            <w:r>
              <w:rPr>
                <w:sz w:val="20"/>
              </w:rPr>
              <w:t>0,011</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3070000">
            <w:pPr>
              <w:ind/>
              <w:jc w:val="center"/>
              <w:rPr>
                <w:sz w:val="20"/>
              </w:rPr>
            </w:pPr>
            <w:r>
              <w:rPr>
                <w:sz w:val="20"/>
              </w:rPr>
              <w:t>100</w:t>
            </w:r>
          </w:p>
        </w:tc>
      </w:tr>
      <w:tr>
        <w:trPr>
          <w:trHeight w:hRule="exact" w:val="282"/>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84070000">
            <w:pPr>
              <w:ind/>
              <w:jc w:val="center"/>
              <w:rPr>
                <w:sz w:val="20"/>
              </w:rPr>
            </w:pPr>
            <w:r>
              <w:rPr>
                <w:sz w:val="20"/>
              </w:rPr>
              <w:t xml:space="preserve">с. Куйбышево, </w:t>
            </w:r>
            <w:r>
              <w:rPr>
                <w:sz w:val="20"/>
              </w:rPr>
              <w:t>ул. Миусская, 3</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85070000">
            <w:pPr>
              <w:ind/>
              <w:jc w:val="center"/>
              <w:rPr>
                <w:sz w:val="20"/>
              </w:rPr>
            </w:pPr>
            <w:r>
              <w:rPr>
                <w:sz w:val="20"/>
              </w:rPr>
              <w:t>0,027</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86070000">
            <w:pPr>
              <w:widowControl w:val="0"/>
              <w:spacing w:after="0" w:line="240" w:lineRule="auto"/>
              <w:ind/>
              <w:jc w:val="center"/>
              <w:rPr>
                <w:sz w:val="20"/>
              </w:rPr>
            </w:pPr>
            <w:r>
              <w:rPr>
                <w:sz w:val="20"/>
              </w:rPr>
              <w:t>0,010</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7070000">
            <w:pPr>
              <w:ind/>
              <w:jc w:val="center"/>
              <w:rPr>
                <w:sz w:val="20"/>
              </w:rPr>
            </w:pPr>
            <w:r>
              <w:rPr>
                <w:sz w:val="20"/>
              </w:rPr>
              <w:t>37</w:t>
            </w:r>
          </w:p>
        </w:tc>
      </w:tr>
      <w:tr>
        <w:trPr>
          <w:trHeight w:hRule="exact" w:val="271"/>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88070000">
            <w:pPr>
              <w:ind/>
              <w:jc w:val="center"/>
              <w:rPr>
                <w:sz w:val="20"/>
              </w:rPr>
            </w:pPr>
            <w:r>
              <w:rPr>
                <w:sz w:val="20"/>
              </w:rPr>
              <w:t>с. Куйбышево, ул. Миусская, 3</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89070000">
            <w:pPr>
              <w:ind/>
              <w:jc w:val="center"/>
              <w:rPr>
                <w:sz w:val="20"/>
              </w:rPr>
            </w:pPr>
            <w:r>
              <w:rPr>
                <w:sz w:val="20"/>
              </w:rPr>
              <w:t>0,010</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8A070000">
            <w:pPr>
              <w:widowControl w:val="0"/>
              <w:spacing w:after="0" w:line="240" w:lineRule="auto"/>
              <w:ind/>
              <w:jc w:val="center"/>
              <w:rPr>
                <w:sz w:val="20"/>
              </w:rPr>
            </w:pPr>
            <w:r>
              <w:rPr>
                <w:sz w:val="20"/>
              </w:rPr>
              <w:t>0,006</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B070000">
            <w:pPr>
              <w:ind/>
              <w:jc w:val="center"/>
              <w:rPr>
                <w:sz w:val="20"/>
              </w:rPr>
            </w:pPr>
            <w:r>
              <w:rPr>
                <w:sz w:val="20"/>
              </w:rPr>
              <w:t>60</w:t>
            </w:r>
          </w:p>
        </w:tc>
      </w:tr>
      <w:tr>
        <w:trPr>
          <w:trHeight w:hRule="exact" w:val="290"/>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8C070000">
            <w:pPr>
              <w:ind/>
              <w:jc w:val="center"/>
              <w:rPr>
                <w:sz w:val="20"/>
              </w:rPr>
            </w:pPr>
            <w:r>
              <w:rPr>
                <w:sz w:val="20"/>
              </w:rPr>
              <w:t>с. Куйбышево, ул. Миусская, 3</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8D070000">
            <w:pPr>
              <w:ind/>
              <w:jc w:val="center"/>
              <w:rPr>
                <w:sz w:val="20"/>
              </w:rPr>
            </w:pPr>
            <w:r>
              <w:rPr>
                <w:sz w:val="20"/>
              </w:rPr>
              <w:t>0,017</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8E070000">
            <w:pPr>
              <w:widowControl w:val="0"/>
              <w:spacing w:after="0" w:line="240" w:lineRule="auto"/>
              <w:ind/>
              <w:jc w:val="center"/>
              <w:rPr>
                <w:sz w:val="20"/>
              </w:rPr>
            </w:pPr>
            <w:r>
              <w:rPr>
                <w:sz w:val="20"/>
              </w:rPr>
              <w:t>0,017</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F070000">
            <w:pPr>
              <w:ind/>
              <w:jc w:val="center"/>
              <w:rPr>
                <w:sz w:val="20"/>
              </w:rPr>
            </w:pPr>
            <w:r>
              <w:rPr>
                <w:sz w:val="20"/>
              </w:rPr>
              <w:t>100</w:t>
            </w:r>
          </w:p>
        </w:tc>
      </w:tr>
      <w:tr>
        <w:trPr>
          <w:trHeight w:hRule="exact" w:val="280"/>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90070000">
            <w:pPr>
              <w:ind/>
              <w:jc w:val="center"/>
              <w:rPr>
                <w:sz w:val="20"/>
              </w:rPr>
            </w:pPr>
            <w:r>
              <w:rPr>
                <w:sz w:val="20"/>
              </w:rPr>
              <w:t>с. Куйбышево, ул. Миусская, 3</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91070000">
            <w:pPr>
              <w:ind/>
              <w:jc w:val="center"/>
              <w:rPr>
                <w:sz w:val="20"/>
              </w:rPr>
            </w:pPr>
            <w:r>
              <w:rPr>
                <w:sz w:val="20"/>
              </w:rPr>
              <w:t>0,054</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92070000">
            <w:pPr>
              <w:widowControl w:val="0"/>
              <w:spacing w:after="0" w:line="240" w:lineRule="auto"/>
              <w:ind/>
              <w:jc w:val="center"/>
              <w:rPr>
                <w:sz w:val="20"/>
              </w:rPr>
            </w:pPr>
            <w:r>
              <w:rPr>
                <w:sz w:val="20"/>
              </w:rPr>
              <w:t>0,036</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93070000">
            <w:pPr>
              <w:ind/>
              <w:jc w:val="center"/>
              <w:rPr>
                <w:sz w:val="20"/>
              </w:rPr>
            </w:pPr>
            <w:r>
              <w:rPr>
                <w:sz w:val="20"/>
              </w:rPr>
              <w:t>67</w:t>
            </w:r>
          </w:p>
        </w:tc>
      </w:tr>
      <w:tr>
        <w:trPr>
          <w:trHeight w:hRule="exact" w:val="371"/>
        </w:trPr>
        <w:tc>
          <w:tcPr>
            <w:tcW w:type="dxa" w:w="4409"/>
            <w:tcBorders>
              <w:top w:sz="4" w:val="nil"/>
              <w:left w:color="000000" w:sz="4" w:val="single"/>
              <w:bottom w:color="000000" w:sz="4" w:val="single"/>
              <w:right w:color="000000" w:sz="4" w:val="single"/>
            </w:tcBorders>
            <w:shd w:fill="auto" w:val="clear"/>
            <w:tcMar>
              <w:left w:type="dxa" w:w="40"/>
              <w:right w:type="dxa" w:w="40"/>
            </w:tcMar>
            <w:vAlign w:val="center"/>
          </w:tcPr>
          <w:p w14:paraId="94070000">
            <w:pPr>
              <w:ind/>
              <w:jc w:val="center"/>
              <w:rPr>
                <w:sz w:val="20"/>
              </w:rPr>
            </w:pPr>
            <w:r>
              <w:rPr>
                <w:sz w:val="20"/>
              </w:rPr>
              <w:t>с. Куйбышево, ул. Миусская, 3</w:t>
            </w:r>
          </w:p>
        </w:tc>
        <w:tc>
          <w:tcPr>
            <w:tcW w:type="dxa" w:w="2677"/>
            <w:tcBorders>
              <w:top w:sz="4" w:val="nil"/>
              <w:left w:sz="4" w:val="nil"/>
              <w:bottom w:color="000000" w:sz="4" w:val="single"/>
              <w:right w:color="000000" w:sz="4" w:val="single"/>
            </w:tcBorders>
            <w:shd w:fill="auto" w:val="clear"/>
            <w:tcMar>
              <w:left w:type="dxa" w:w="40"/>
              <w:right w:type="dxa" w:w="40"/>
            </w:tcMar>
            <w:vAlign w:val="center"/>
          </w:tcPr>
          <w:p w14:paraId="95070000">
            <w:pPr>
              <w:ind/>
              <w:jc w:val="center"/>
              <w:rPr>
                <w:sz w:val="20"/>
              </w:rPr>
            </w:pPr>
            <w:r>
              <w:rPr>
                <w:sz w:val="20"/>
              </w:rPr>
              <w:t>0,036</w:t>
            </w:r>
          </w:p>
        </w:tc>
        <w:tc>
          <w:tcPr>
            <w:tcW w:type="dxa" w:w="1510"/>
            <w:tcBorders>
              <w:top w:sz="4" w:val="nil"/>
              <w:left w:color="000000" w:sz="4" w:val="single"/>
              <w:bottom w:color="000000" w:sz="4" w:val="single"/>
              <w:right w:color="000000" w:sz="4" w:val="single"/>
            </w:tcBorders>
            <w:shd w:fill="auto" w:val="clear"/>
            <w:tcMar>
              <w:left w:type="dxa" w:w="40"/>
              <w:right w:type="dxa" w:w="40"/>
            </w:tcMar>
            <w:vAlign w:val="center"/>
          </w:tcPr>
          <w:p w14:paraId="96070000">
            <w:pPr>
              <w:widowControl w:val="0"/>
              <w:spacing w:after="0" w:line="240" w:lineRule="auto"/>
              <w:ind/>
              <w:jc w:val="center"/>
              <w:rPr>
                <w:sz w:val="20"/>
              </w:rPr>
            </w:pPr>
            <w:r>
              <w:rPr>
                <w:sz w:val="20"/>
              </w:rPr>
              <w:t>0,030</w:t>
            </w:r>
          </w:p>
        </w:tc>
        <w:tc>
          <w:tcPr>
            <w:tcW w:type="dxa" w:w="936"/>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97070000">
            <w:pPr>
              <w:ind/>
              <w:jc w:val="center"/>
              <w:rPr>
                <w:sz w:val="20"/>
              </w:rPr>
            </w:pPr>
            <w:r>
              <w:rPr>
                <w:sz w:val="20"/>
              </w:rPr>
              <w:t>83</w:t>
            </w:r>
          </w:p>
        </w:tc>
      </w:tr>
    </w:tbl>
    <w:p w14:paraId="98070000">
      <w:pPr>
        <w:pStyle w:val="Style_8"/>
        <w:spacing w:after="0"/>
        <w:ind/>
        <w:jc w:val="both"/>
        <w:rPr>
          <w:sz w:val="28"/>
        </w:rPr>
      </w:pPr>
    </w:p>
    <w:p w14:paraId="99070000">
      <w:pPr>
        <w:pStyle w:val="Style_8"/>
        <w:ind w:firstLine="709" w:left="0"/>
        <w:jc w:val="both"/>
        <w:rPr>
          <w:sz w:val="28"/>
        </w:rPr>
      </w:pPr>
      <w:r>
        <w:rPr>
          <w:sz w:val="28"/>
        </w:rPr>
        <w:t xml:space="preserve">и) Способы учёта тепла, отпущенного в </w:t>
      </w:r>
      <w:r>
        <w:rPr>
          <w:sz w:val="28"/>
        </w:rPr>
        <w:t>тепловые сети.</w:t>
      </w:r>
    </w:p>
    <w:p w14:paraId="9A070000">
      <w:pPr>
        <w:pStyle w:val="Style_8"/>
        <w:ind w:firstLine="709" w:left="0"/>
        <w:jc w:val="both"/>
        <w:rPr>
          <w:sz w:val="28"/>
        </w:rPr>
      </w:pPr>
      <w:r>
        <w:rPr>
          <w:sz w:val="28"/>
        </w:rPr>
        <w:t xml:space="preserve">Учёт тепла в тепловые сети ведётся с помощью промышленных приборов учёта тепла в котельных теплосчетчиками.Способ коммерческого учёта </w:t>
      </w:r>
      <w:r>
        <w:rPr>
          <w:sz w:val="28"/>
        </w:rPr>
        <w:t>потребления тепловой энергии осуществляется по приборам учёта, в местах, где приборный учёт не ведётся - ра</w:t>
      </w:r>
      <w:r>
        <w:rPr>
          <w:sz w:val="28"/>
        </w:rPr>
        <w:t>счётным методом. По сведениям теплоснабжающей организации наличие/отсутствие приборов учёта в разрезе абонентов указаны в таблице 20.</w:t>
      </w:r>
    </w:p>
    <w:p w14:paraId="9B070000">
      <w:pPr>
        <w:pStyle w:val="Style_8"/>
        <w:ind w:firstLine="709" w:left="0"/>
        <w:jc w:val="both"/>
        <w:rPr>
          <w:sz w:val="28"/>
        </w:rPr>
      </w:pPr>
      <w:r>
        <w:rPr>
          <w:sz w:val="28"/>
        </w:rPr>
        <w:t>Таблица 20 Данные о приборах учёта</w:t>
      </w:r>
    </w:p>
    <w:tbl>
      <w:tblPr>
        <w:tblStyle w:val="Style_4"/>
        <w:tblInd w:type="dxa" w:w="113"/>
        <w:tblLayout w:type="fixed"/>
      </w:tblPr>
      <w:tblGrid>
        <w:gridCol w:w="3665"/>
        <w:gridCol w:w="2966"/>
        <w:gridCol w:w="1602"/>
        <w:gridCol w:w="1292"/>
      </w:tblGrid>
      <w:tr>
        <w:trPr>
          <w:trHeight w:hRule="atLeast" w:val="536"/>
        </w:trPr>
        <w:tc>
          <w:tcPr>
            <w:tcW w:type="dxa" w:w="3665"/>
            <w:tcBorders>
              <w:top w:color="000000" w:sz="4" w:val="single"/>
              <w:left w:color="000000" w:sz="4" w:val="single"/>
              <w:bottom w:color="000000" w:sz="4" w:val="single"/>
              <w:right w:color="000000" w:sz="4" w:val="single"/>
            </w:tcBorders>
            <w:vAlign w:val="center"/>
          </w:tcPr>
          <w:p w14:paraId="9C070000">
            <w:pPr>
              <w:spacing w:after="0" w:line="240" w:lineRule="auto"/>
              <w:ind/>
              <w:jc w:val="center"/>
              <w:rPr>
                <w:sz w:val="20"/>
              </w:rPr>
            </w:pPr>
            <w:r>
              <w:rPr>
                <w:sz w:val="20"/>
              </w:rPr>
              <w:t>Наименование потребителя ТЭ</w:t>
            </w:r>
          </w:p>
        </w:tc>
        <w:tc>
          <w:tcPr>
            <w:tcW w:type="dxa" w:w="2966"/>
            <w:tcBorders>
              <w:top w:color="000000" w:sz="4" w:val="single"/>
              <w:left w:sz="4" w:val="nil"/>
              <w:bottom w:color="000000" w:sz="4" w:val="single"/>
              <w:right w:color="000000" w:sz="4" w:val="single"/>
            </w:tcBorders>
            <w:vAlign w:val="center"/>
          </w:tcPr>
          <w:p w14:paraId="9D070000">
            <w:pPr>
              <w:spacing w:after="0" w:line="240" w:lineRule="auto"/>
              <w:ind/>
              <w:jc w:val="center"/>
              <w:rPr>
                <w:sz w:val="20"/>
              </w:rPr>
            </w:pPr>
            <w:r>
              <w:rPr>
                <w:sz w:val="20"/>
              </w:rPr>
              <w:t>Адрес потребителя ТЭ</w:t>
            </w:r>
          </w:p>
        </w:tc>
        <w:tc>
          <w:tcPr>
            <w:tcW w:type="dxa" w:w="1602"/>
            <w:tcBorders>
              <w:top w:color="000000" w:sz="4" w:val="single"/>
              <w:left w:sz="4" w:val="nil"/>
              <w:bottom w:color="000000" w:sz="4" w:val="single"/>
              <w:right w:color="000000" w:sz="4" w:val="single"/>
            </w:tcBorders>
            <w:vAlign w:val="center"/>
          </w:tcPr>
          <w:p w14:paraId="9E070000">
            <w:pPr>
              <w:spacing w:after="0" w:line="240" w:lineRule="auto"/>
              <w:ind/>
              <w:jc w:val="center"/>
              <w:rPr>
                <w:sz w:val="20"/>
              </w:rPr>
            </w:pPr>
            <w:r>
              <w:rPr>
                <w:sz w:val="20"/>
              </w:rPr>
              <w:t>Зона действия котельных</w:t>
            </w:r>
          </w:p>
        </w:tc>
        <w:tc>
          <w:tcPr>
            <w:tcW w:type="dxa" w:w="1292"/>
            <w:tcBorders>
              <w:top w:color="000000" w:sz="4" w:val="single"/>
              <w:left w:sz="4" w:val="nil"/>
              <w:bottom w:color="000000" w:sz="4" w:val="single"/>
              <w:right w:color="000000" w:sz="4" w:val="single"/>
            </w:tcBorders>
            <w:vAlign w:val="center"/>
          </w:tcPr>
          <w:p w14:paraId="9F070000">
            <w:pPr>
              <w:spacing w:after="0" w:line="240" w:lineRule="auto"/>
              <w:ind/>
              <w:jc w:val="center"/>
              <w:rPr>
                <w:sz w:val="20"/>
              </w:rPr>
            </w:pPr>
            <w:r>
              <w:rPr>
                <w:sz w:val="20"/>
              </w:rPr>
              <w:t>Наличие прибор</w:t>
            </w:r>
            <w:r>
              <w:rPr>
                <w:sz w:val="20"/>
              </w:rPr>
              <w:t>а учёта ТЭ</w:t>
            </w:r>
          </w:p>
        </w:tc>
      </w:tr>
      <w:tr>
        <w:trPr>
          <w:trHeight w:hRule="atLeast" w:val="403"/>
        </w:trPr>
        <w:tc>
          <w:tcPr>
            <w:tcW w:type="dxa" w:w="3665"/>
            <w:tcBorders>
              <w:top w:sz="4" w:val="nil"/>
              <w:left w:color="000000" w:sz="4" w:val="single"/>
              <w:bottom w:color="000000" w:sz="4" w:val="single"/>
              <w:right w:sz="4" w:val="nil"/>
            </w:tcBorders>
            <w:vAlign w:val="center"/>
          </w:tcPr>
          <w:p w14:paraId="A0070000">
            <w:pPr>
              <w:spacing w:after="0" w:line="240" w:lineRule="auto"/>
              <w:ind/>
              <w:rPr>
                <w:sz w:val="20"/>
              </w:rPr>
            </w:pPr>
            <w:r>
              <w:rPr>
                <w:sz w:val="20"/>
              </w:rPr>
              <w:t>МБОУ Куйбышевская СОШ имени Маршала Советского Союза А. А. Гречко</w:t>
            </w:r>
          </w:p>
        </w:tc>
        <w:tc>
          <w:tcPr>
            <w:tcW w:type="dxa" w:w="2966"/>
            <w:tcBorders>
              <w:top w:sz="4" w:val="nil"/>
              <w:left w:color="000000" w:sz="4" w:val="single"/>
              <w:bottom w:color="000000" w:sz="4" w:val="single"/>
              <w:right w:color="000000" w:sz="4" w:val="single"/>
            </w:tcBorders>
            <w:vAlign w:val="center"/>
          </w:tcPr>
          <w:p w14:paraId="A1070000">
            <w:pPr>
              <w:spacing w:after="0" w:line="240" w:lineRule="auto"/>
              <w:ind/>
              <w:jc w:val="center"/>
              <w:rPr>
                <w:sz w:val="20"/>
              </w:rPr>
            </w:pPr>
            <w:r>
              <w:rPr>
                <w:sz w:val="20"/>
              </w:rPr>
              <w:t>с. Куйбышево, ул. Пролетарская, 7</w:t>
            </w:r>
          </w:p>
        </w:tc>
        <w:tc>
          <w:tcPr>
            <w:tcW w:type="dxa" w:w="1602"/>
            <w:vMerge w:val="restart"/>
            <w:tcBorders>
              <w:top w:sz="4" w:val="nil"/>
              <w:left w:color="000000" w:sz="4" w:val="single"/>
              <w:bottom w:color="000000" w:sz="4" w:val="single"/>
              <w:right w:color="000000" w:sz="4" w:val="single"/>
            </w:tcBorders>
            <w:vAlign w:val="center"/>
          </w:tcPr>
          <w:p w14:paraId="A2070000">
            <w:pPr>
              <w:spacing w:after="0" w:line="240" w:lineRule="auto"/>
              <w:ind/>
              <w:jc w:val="center"/>
              <w:rPr>
                <w:sz w:val="20"/>
              </w:rPr>
            </w:pPr>
            <w:r>
              <w:rPr>
                <w:sz w:val="20"/>
              </w:rPr>
              <w:t>с. Куйбышево, ул. Пролетарская, 7</w:t>
            </w:r>
          </w:p>
        </w:tc>
        <w:tc>
          <w:tcPr>
            <w:tcW w:type="dxa" w:w="1292"/>
            <w:tcBorders>
              <w:top w:sz="4" w:val="nil"/>
              <w:left w:sz="4" w:val="nil"/>
              <w:bottom w:color="000000" w:sz="4" w:val="single"/>
              <w:right w:color="000000" w:sz="4" w:val="single"/>
            </w:tcBorders>
            <w:vAlign w:val="center"/>
          </w:tcPr>
          <w:p w14:paraId="A3070000">
            <w:pPr>
              <w:spacing w:after="0" w:line="240" w:lineRule="auto"/>
              <w:ind/>
              <w:jc w:val="center"/>
              <w:rPr>
                <w:sz w:val="20"/>
              </w:rPr>
            </w:pPr>
            <w:r>
              <w:rPr>
                <w:sz w:val="20"/>
              </w:rPr>
              <w:t>да</w:t>
            </w:r>
          </w:p>
        </w:tc>
      </w:tr>
      <w:tr>
        <w:trPr>
          <w:trHeight w:hRule="atLeast" w:val="697"/>
        </w:trPr>
        <w:tc>
          <w:tcPr>
            <w:tcW w:type="dxa" w:w="3665"/>
            <w:tcBorders>
              <w:top w:sz="4" w:val="nil"/>
              <w:left w:color="000000" w:sz="4" w:val="single"/>
              <w:bottom w:color="000000" w:sz="4" w:val="single"/>
              <w:right w:sz="4" w:val="nil"/>
            </w:tcBorders>
            <w:vAlign w:val="center"/>
          </w:tcPr>
          <w:p w14:paraId="A4070000">
            <w:pPr>
              <w:spacing w:after="0" w:line="240" w:lineRule="auto"/>
              <w:ind/>
              <w:rPr>
                <w:sz w:val="20"/>
              </w:rPr>
            </w:pPr>
            <w:r>
              <w:rPr>
                <w:sz w:val="20"/>
              </w:rPr>
              <w:t>МБДОУ ДС комбинированного вида №1 «Колокольчик» с. Куйбышево</w:t>
            </w:r>
          </w:p>
        </w:tc>
        <w:tc>
          <w:tcPr>
            <w:tcW w:type="dxa" w:w="2966"/>
            <w:tcBorders>
              <w:top w:sz="4" w:val="nil"/>
              <w:left w:color="000000" w:sz="4" w:val="single"/>
              <w:bottom w:color="000000" w:sz="4" w:val="single"/>
              <w:right w:color="000000" w:sz="4" w:val="single"/>
            </w:tcBorders>
            <w:vAlign w:val="center"/>
          </w:tcPr>
          <w:p w14:paraId="A5070000">
            <w:pPr>
              <w:spacing w:after="0" w:line="240" w:lineRule="auto"/>
              <w:ind/>
              <w:jc w:val="center"/>
              <w:rPr>
                <w:sz w:val="20"/>
              </w:rPr>
            </w:pPr>
            <w:r>
              <w:rPr>
                <w:sz w:val="20"/>
              </w:rPr>
              <w:t>с. Куйбышево, пер. Овчаренко, 3</w:t>
            </w:r>
          </w:p>
        </w:tc>
        <w:tc>
          <w:tcPr>
            <w:tcW w:type="dxa" w:w="1602"/>
            <w:gridSpan w:val="1"/>
            <w:vMerge w:val="continue"/>
            <w:tcBorders>
              <w:top w:sz="4" w:val="nil"/>
              <w:left w:color="000000" w:sz="4" w:val="single"/>
              <w:bottom w:color="000000" w:sz="4" w:val="single"/>
              <w:right w:color="000000" w:sz="4" w:val="single"/>
            </w:tcBorders>
            <w:vAlign w:val="center"/>
          </w:tcPr>
          <w:p/>
        </w:tc>
        <w:tc>
          <w:tcPr>
            <w:tcW w:type="dxa" w:w="1292"/>
            <w:tcBorders>
              <w:top w:sz="4" w:val="nil"/>
              <w:left w:sz="4" w:val="nil"/>
              <w:bottom w:color="000000" w:sz="4" w:val="single"/>
              <w:right w:color="000000" w:sz="4" w:val="single"/>
            </w:tcBorders>
            <w:vAlign w:val="center"/>
          </w:tcPr>
          <w:p w14:paraId="A6070000">
            <w:pPr>
              <w:spacing w:after="0" w:line="240" w:lineRule="auto"/>
              <w:ind/>
              <w:jc w:val="center"/>
              <w:rPr>
                <w:sz w:val="20"/>
              </w:rPr>
            </w:pPr>
            <w:r>
              <w:rPr>
                <w:sz w:val="20"/>
              </w:rPr>
              <w:t>нет</w:t>
            </w:r>
          </w:p>
        </w:tc>
      </w:tr>
      <w:tr>
        <w:trPr>
          <w:trHeight w:hRule="atLeast" w:val="450"/>
        </w:trPr>
        <w:tc>
          <w:tcPr>
            <w:tcW w:type="dxa" w:w="3665"/>
            <w:tcBorders>
              <w:top w:sz="4" w:val="nil"/>
              <w:left w:color="000000" w:sz="4" w:val="single"/>
              <w:bottom w:color="000000" w:sz="4" w:val="single"/>
              <w:right w:sz="4" w:val="nil"/>
            </w:tcBorders>
            <w:vAlign w:val="center"/>
          </w:tcPr>
          <w:p w14:paraId="A7070000">
            <w:pPr>
              <w:spacing w:after="0" w:line="240" w:lineRule="auto"/>
              <w:ind/>
              <w:rPr>
                <w:sz w:val="20"/>
              </w:rPr>
            </w:pPr>
            <w:r>
              <w:rPr>
                <w:sz w:val="20"/>
              </w:rPr>
              <w:t xml:space="preserve">Отдел </w:t>
            </w:r>
            <w:r>
              <w:rPr>
                <w:sz w:val="20"/>
              </w:rPr>
              <w:t>ЗАГС Администрации Куйбышевского района</w:t>
            </w:r>
          </w:p>
        </w:tc>
        <w:tc>
          <w:tcPr>
            <w:tcW w:type="dxa" w:w="2966"/>
            <w:tcBorders>
              <w:top w:sz="4" w:val="nil"/>
              <w:left w:color="000000" w:sz="4" w:val="single"/>
              <w:bottom w:color="000000" w:sz="4" w:val="single"/>
              <w:right w:color="000000" w:sz="4" w:val="single"/>
            </w:tcBorders>
            <w:vAlign w:val="center"/>
          </w:tcPr>
          <w:p w14:paraId="A8070000">
            <w:pPr>
              <w:spacing w:after="0" w:line="240" w:lineRule="auto"/>
              <w:ind/>
              <w:jc w:val="center"/>
              <w:rPr>
                <w:sz w:val="20"/>
              </w:rPr>
            </w:pPr>
            <w:r>
              <w:rPr>
                <w:sz w:val="20"/>
              </w:rPr>
              <w:t>с. Куйбышево, ул. Пролетарская, 2 б</w:t>
            </w:r>
          </w:p>
        </w:tc>
        <w:tc>
          <w:tcPr>
            <w:tcW w:type="dxa" w:w="1602"/>
            <w:gridSpan w:val="1"/>
            <w:vMerge w:val="continue"/>
            <w:tcBorders>
              <w:top w:sz="4" w:val="nil"/>
              <w:left w:color="000000" w:sz="4" w:val="single"/>
              <w:bottom w:color="000000" w:sz="4" w:val="single"/>
              <w:right w:color="000000" w:sz="4" w:val="single"/>
            </w:tcBorders>
            <w:vAlign w:val="center"/>
          </w:tcPr>
          <w:p/>
        </w:tc>
        <w:tc>
          <w:tcPr>
            <w:tcW w:type="dxa" w:w="1292"/>
            <w:tcBorders>
              <w:top w:sz="4" w:val="nil"/>
              <w:left w:sz="4" w:val="nil"/>
              <w:bottom w:color="000000" w:sz="4" w:val="single"/>
              <w:right w:color="000000" w:sz="4" w:val="single"/>
            </w:tcBorders>
            <w:vAlign w:val="center"/>
          </w:tcPr>
          <w:p w14:paraId="A9070000">
            <w:pPr>
              <w:spacing w:after="0" w:line="240" w:lineRule="auto"/>
              <w:ind/>
              <w:jc w:val="center"/>
              <w:rPr>
                <w:sz w:val="20"/>
              </w:rPr>
            </w:pPr>
            <w:r>
              <w:rPr>
                <w:sz w:val="20"/>
              </w:rPr>
              <w:t>нет</w:t>
            </w:r>
          </w:p>
        </w:tc>
      </w:tr>
      <w:tr>
        <w:trPr>
          <w:trHeight w:hRule="atLeast" w:val="450"/>
        </w:trPr>
        <w:tc>
          <w:tcPr>
            <w:tcW w:type="dxa" w:w="3665"/>
            <w:tcBorders>
              <w:top w:sz="4" w:val="nil"/>
              <w:left w:color="000000" w:sz="4" w:val="single"/>
              <w:bottom w:color="000000" w:sz="4" w:val="single"/>
              <w:right w:sz="4" w:val="nil"/>
            </w:tcBorders>
            <w:vAlign w:val="center"/>
          </w:tcPr>
          <w:p w14:paraId="AA070000">
            <w:pPr>
              <w:spacing w:after="0" w:line="240" w:lineRule="auto"/>
              <w:ind/>
              <w:rPr>
                <w:sz w:val="20"/>
              </w:rPr>
            </w:pPr>
            <w:r>
              <w:rPr>
                <w:sz w:val="20"/>
              </w:rPr>
              <w:t>Отдел образования Администрации Куйбышевского района</w:t>
            </w:r>
          </w:p>
        </w:tc>
        <w:tc>
          <w:tcPr>
            <w:tcW w:type="dxa" w:w="2966"/>
            <w:tcBorders>
              <w:top w:sz="4" w:val="nil"/>
              <w:left w:color="000000" w:sz="4" w:val="single"/>
              <w:bottom w:color="000000" w:sz="4" w:val="single"/>
              <w:right w:color="000000" w:sz="4" w:val="single"/>
            </w:tcBorders>
            <w:vAlign w:val="center"/>
          </w:tcPr>
          <w:p w14:paraId="AB070000">
            <w:pPr>
              <w:spacing w:after="0" w:line="240" w:lineRule="auto"/>
              <w:ind/>
              <w:jc w:val="center"/>
              <w:rPr>
                <w:sz w:val="20"/>
              </w:rPr>
            </w:pPr>
            <w:r>
              <w:rPr>
                <w:sz w:val="20"/>
              </w:rPr>
              <w:t>с. Куйбышево, ул. Пролетарская, 2 б</w:t>
            </w:r>
          </w:p>
        </w:tc>
        <w:tc>
          <w:tcPr>
            <w:tcW w:type="dxa" w:w="1602"/>
            <w:gridSpan w:val="1"/>
            <w:vMerge w:val="continue"/>
            <w:tcBorders>
              <w:top w:sz="4" w:val="nil"/>
              <w:left w:color="000000" w:sz="4" w:val="single"/>
              <w:bottom w:color="000000" w:sz="4" w:val="single"/>
              <w:right w:color="000000" w:sz="4" w:val="single"/>
            </w:tcBorders>
            <w:vAlign w:val="center"/>
          </w:tcPr>
          <w:p/>
        </w:tc>
        <w:tc>
          <w:tcPr>
            <w:tcW w:type="dxa" w:w="1292"/>
            <w:tcBorders>
              <w:top w:sz="4" w:val="nil"/>
              <w:left w:sz="4" w:val="nil"/>
              <w:bottom w:color="000000" w:sz="4" w:val="single"/>
              <w:right w:color="000000" w:sz="4" w:val="single"/>
            </w:tcBorders>
            <w:vAlign w:val="center"/>
          </w:tcPr>
          <w:p w14:paraId="AC070000">
            <w:pPr>
              <w:spacing w:after="0" w:line="240" w:lineRule="auto"/>
              <w:ind/>
              <w:jc w:val="center"/>
              <w:rPr>
                <w:sz w:val="20"/>
              </w:rPr>
            </w:pPr>
            <w:r>
              <w:rPr>
                <w:sz w:val="20"/>
              </w:rPr>
              <w:t>нет</w:t>
            </w:r>
          </w:p>
        </w:tc>
      </w:tr>
      <w:tr>
        <w:trPr>
          <w:trHeight w:hRule="atLeast" w:val="450"/>
        </w:trPr>
        <w:tc>
          <w:tcPr>
            <w:tcW w:type="dxa" w:w="3665"/>
            <w:tcBorders>
              <w:top w:sz="4" w:val="nil"/>
              <w:left w:color="000000" w:sz="4" w:val="single"/>
              <w:bottom w:color="000000" w:sz="4" w:val="single"/>
              <w:right w:sz="4" w:val="nil"/>
            </w:tcBorders>
            <w:vAlign w:val="center"/>
          </w:tcPr>
          <w:p w14:paraId="AD070000">
            <w:pPr>
              <w:spacing w:after="0" w:line="240" w:lineRule="auto"/>
              <w:ind/>
              <w:rPr>
                <w:sz w:val="20"/>
              </w:rPr>
            </w:pPr>
            <w:r>
              <w:rPr>
                <w:sz w:val="20"/>
              </w:rPr>
              <w:t>Администрация Куйбышевского сельского поселения</w:t>
            </w:r>
          </w:p>
        </w:tc>
        <w:tc>
          <w:tcPr>
            <w:tcW w:type="dxa" w:w="2966"/>
            <w:tcBorders>
              <w:top w:sz="4" w:val="nil"/>
              <w:left w:color="000000" w:sz="4" w:val="single"/>
              <w:bottom w:color="000000" w:sz="4" w:val="single"/>
              <w:right w:color="000000" w:sz="4" w:val="single"/>
            </w:tcBorders>
            <w:vAlign w:val="center"/>
          </w:tcPr>
          <w:p w14:paraId="AE070000">
            <w:pPr>
              <w:spacing w:after="0" w:line="240" w:lineRule="auto"/>
              <w:ind/>
              <w:jc w:val="center"/>
              <w:rPr>
                <w:sz w:val="20"/>
              </w:rPr>
            </w:pPr>
            <w:r>
              <w:rPr>
                <w:sz w:val="20"/>
              </w:rPr>
              <w:t>с. Куйбышево, ул. Пролетарская,</w:t>
            </w:r>
            <w:r>
              <w:rPr>
                <w:sz w:val="20"/>
              </w:rPr>
              <w:t xml:space="preserve"> 2 б</w:t>
            </w:r>
          </w:p>
        </w:tc>
        <w:tc>
          <w:tcPr>
            <w:tcW w:type="dxa" w:w="1602"/>
            <w:gridSpan w:val="1"/>
            <w:vMerge w:val="continue"/>
            <w:tcBorders>
              <w:top w:sz="4" w:val="nil"/>
              <w:left w:color="000000" w:sz="4" w:val="single"/>
              <w:bottom w:color="000000" w:sz="4" w:val="single"/>
              <w:right w:color="000000" w:sz="4" w:val="single"/>
            </w:tcBorders>
            <w:vAlign w:val="center"/>
          </w:tcPr>
          <w:p/>
        </w:tc>
        <w:tc>
          <w:tcPr>
            <w:tcW w:type="dxa" w:w="1292"/>
            <w:tcBorders>
              <w:top w:sz="4" w:val="nil"/>
              <w:left w:sz="4" w:val="nil"/>
              <w:bottom w:color="000000" w:sz="4" w:val="single"/>
              <w:right w:color="000000" w:sz="4" w:val="single"/>
            </w:tcBorders>
            <w:vAlign w:val="center"/>
          </w:tcPr>
          <w:p w14:paraId="AF070000">
            <w:pPr>
              <w:spacing w:after="0" w:line="240" w:lineRule="auto"/>
              <w:ind/>
              <w:jc w:val="center"/>
              <w:rPr>
                <w:sz w:val="20"/>
              </w:rPr>
            </w:pPr>
            <w:r>
              <w:rPr>
                <w:sz w:val="20"/>
              </w:rPr>
              <w:t>нет</w:t>
            </w:r>
          </w:p>
        </w:tc>
      </w:tr>
      <w:tr>
        <w:trPr>
          <w:trHeight w:hRule="atLeast" w:val="208"/>
        </w:trPr>
        <w:tc>
          <w:tcPr>
            <w:tcW w:type="dxa" w:w="3665"/>
            <w:tcBorders>
              <w:top w:sz="4" w:val="nil"/>
              <w:left w:color="000000" w:sz="4" w:val="single"/>
              <w:bottom w:color="000000" w:sz="4" w:val="single"/>
              <w:right w:sz="4" w:val="nil"/>
            </w:tcBorders>
            <w:vAlign w:val="center"/>
          </w:tcPr>
          <w:p w14:paraId="B0070000">
            <w:pPr>
              <w:spacing w:after="0" w:line="240" w:lineRule="auto"/>
              <w:ind/>
              <w:rPr>
                <w:sz w:val="20"/>
              </w:rPr>
            </w:pPr>
            <w:r>
              <w:rPr>
                <w:sz w:val="20"/>
              </w:rPr>
              <w:t>МБОУ ДОД ДЮСШ</w:t>
            </w:r>
          </w:p>
        </w:tc>
        <w:tc>
          <w:tcPr>
            <w:tcW w:type="dxa" w:w="2966"/>
            <w:tcBorders>
              <w:top w:sz="4" w:val="nil"/>
              <w:left w:color="000000" w:sz="4" w:val="single"/>
              <w:bottom w:color="000000" w:sz="4" w:val="single"/>
              <w:right w:color="000000" w:sz="4" w:val="single"/>
            </w:tcBorders>
            <w:vAlign w:val="center"/>
          </w:tcPr>
          <w:p w14:paraId="B1070000">
            <w:pPr>
              <w:spacing w:after="0" w:line="240" w:lineRule="auto"/>
              <w:ind/>
              <w:jc w:val="center"/>
              <w:rPr>
                <w:sz w:val="20"/>
              </w:rPr>
            </w:pPr>
            <w:r>
              <w:rPr>
                <w:sz w:val="20"/>
              </w:rPr>
              <w:t>с. Куйбышево, ул. Пролетарская, 7 а</w:t>
            </w:r>
          </w:p>
        </w:tc>
        <w:tc>
          <w:tcPr>
            <w:tcW w:type="dxa" w:w="1602"/>
            <w:gridSpan w:val="1"/>
            <w:vMerge w:val="continue"/>
            <w:tcBorders>
              <w:top w:sz="4" w:val="nil"/>
              <w:left w:color="000000" w:sz="4" w:val="single"/>
              <w:bottom w:color="000000" w:sz="4" w:val="single"/>
              <w:right w:color="000000" w:sz="4" w:val="single"/>
            </w:tcBorders>
            <w:vAlign w:val="center"/>
          </w:tcPr>
          <w:p/>
        </w:tc>
        <w:tc>
          <w:tcPr>
            <w:tcW w:type="dxa" w:w="1292"/>
            <w:tcBorders>
              <w:top w:sz="4" w:val="nil"/>
              <w:left w:sz="4" w:val="nil"/>
              <w:bottom w:color="000000" w:sz="4" w:val="single"/>
              <w:right w:color="000000" w:sz="4" w:val="single"/>
            </w:tcBorders>
            <w:vAlign w:val="center"/>
          </w:tcPr>
          <w:p w14:paraId="B2070000">
            <w:pPr>
              <w:spacing w:after="0" w:line="240" w:lineRule="auto"/>
              <w:ind/>
              <w:jc w:val="center"/>
              <w:rPr>
                <w:sz w:val="20"/>
              </w:rPr>
            </w:pPr>
            <w:r>
              <w:rPr>
                <w:sz w:val="20"/>
              </w:rPr>
              <w:t>да</w:t>
            </w:r>
          </w:p>
        </w:tc>
      </w:tr>
      <w:tr>
        <w:trPr>
          <w:trHeight w:hRule="atLeast" w:val="558"/>
        </w:trPr>
        <w:tc>
          <w:tcPr>
            <w:tcW w:type="dxa" w:w="3665"/>
            <w:tcBorders>
              <w:top w:sz="4" w:val="nil"/>
              <w:left w:color="000000" w:sz="4" w:val="single"/>
              <w:bottom w:color="000000" w:sz="4" w:val="single"/>
              <w:right w:sz="4" w:val="nil"/>
            </w:tcBorders>
            <w:vAlign w:val="center"/>
          </w:tcPr>
          <w:p w14:paraId="B3070000">
            <w:pPr>
              <w:spacing w:after="0" w:line="240" w:lineRule="auto"/>
              <w:ind/>
              <w:rPr>
                <w:sz w:val="20"/>
              </w:rPr>
            </w:pPr>
            <w:r>
              <w:rPr>
                <w:sz w:val="20"/>
              </w:rPr>
              <w:t>МБУ МФЦ Куйбышевского района</w:t>
            </w:r>
          </w:p>
        </w:tc>
        <w:tc>
          <w:tcPr>
            <w:tcW w:type="dxa" w:w="2966"/>
            <w:tcBorders>
              <w:top w:sz="4" w:val="nil"/>
              <w:left w:color="000000" w:sz="4" w:val="single"/>
              <w:bottom w:color="000000" w:sz="4" w:val="single"/>
              <w:right w:color="000000" w:sz="4" w:val="single"/>
            </w:tcBorders>
            <w:vAlign w:val="center"/>
          </w:tcPr>
          <w:p w14:paraId="B4070000">
            <w:pPr>
              <w:spacing w:after="0" w:line="240" w:lineRule="auto"/>
              <w:ind/>
              <w:jc w:val="center"/>
              <w:rPr>
                <w:sz w:val="20"/>
              </w:rPr>
            </w:pPr>
            <w:r>
              <w:rPr>
                <w:sz w:val="20"/>
              </w:rPr>
              <w:t>с. Куйбышево, ул. Куйбышевская, 1 л</w:t>
            </w:r>
          </w:p>
        </w:tc>
        <w:tc>
          <w:tcPr>
            <w:tcW w:type="dxa" w:w="1602"/>
            <w:gridSpan w:val="1"/>
            <w:vMerge w:val="continue"/>
            <w:tcBorders>
              <w:top w:sz="4" w:val="nil"/>
              <w:left w:color="000000" w:sz="4" w:val="single"/>
              <w:bottom w:color="000000" w:sz="4" w:val="single"/>
              <w:right w:color="000000" w:sz="4" w:val="single"/>
            </w:tcBorders>
            <w:vAlign w:val="center"/>
          </w:tcPr>
          <w:p/>
        </w:tc>
        <w:tc>
          <w:tcPr>
            <w:tcW w:type="dxa" w:w="1292"/>
            <w:tcBorders>
              <w:top w:sz="4" w:val="nil"/>
              <w:left w:sz="4" w:val="nil"/>
              <w:bottom w:color="000000" w:sz="4" w:val="single"/>
              <w:right w:color="000000" w:sz="4" w:val="single"/>
            </w:tcBorders>
            <w:vAlign w:val="center"/>
          </w:tcPr>
          <w:p w14:paraId="B5070000">
            <w:pPr>
              <w:spacing w:after="0" w:line="240" w:lineRule="auto"/>
              <w:ind/>
              <w:jc w:val="center"/>
              <w:rPr>
                <w:sz w:val="20"/>
              </w:rPr>
            </w:pPr>
            <w:r>
              <w:rPr>
                <w:sz w:val="20"/>
              </w:rPr>
              <w:t>нет</w:t>
            </w:r>
          </w:p>
        </w:tc>
      </w:tr>
      <w:tr>
        <w:trPr>
          <w:trHeight w:hRule="atLeast" w:val="203"/>
        </w:trPr>
        <w:tc>
          <w:tcPr>
            <w:tcW w:type="dxa" w:w="3665"/>
            <w:tcBorders>
              <w:top w:sz="4" w:val="nil"/>
              <w:left w:color="000000" w:sz="4" w:val="single"/>
              <w:bottom w:color="000000" w:sz="4" w:val="single"/>
              <w:right w:sz="4" w:val="nil"/>
            </w:tcBorders>
            <w:vAlign w:val="center"/>
          </w:tcPr>
          <w:p w14:paraId="B6070000">
            <w:pPr>
              <w:spacing w:after="0" w:line="240" w:lineRule="auto"/>
              <w:ind/>
              <w:rPr>
                <w:sz w:val="20"/>
              </w:rPr>
            </w:pPr>
            <w:r>
              <w:rPr>
                <w:sz w:val="20"/>
              </w:rPr>
              <w:t>МБУК «КС КСП»</w:t>
            </w:r>
          </w:p>
        </w:tc>
        <w:tc>
          <w:tcPr>
            <w:tcW w:type="dxa" w:w="2966"/>
            <w:tcBorders>
              <w:top w:sz="4" w:val="nil"/>
              <w:left w:color="000000" w:sz="4" w:val="single"/>
              <w:bottom w:color="000000" w:sz="4" w:val="single"/>
              <w:right w:color="000000" w:sz="4" w:val="single"/>
            </w:tcBorders>
            <w:vAlign w:val="center"/>
          </w:tcPr>
          <w:p w14:paraId="B7070000">
            <w:pPr>
              <w:spacing w:after="0" w:line="240" w:lineRule="auto"/>
              <w:ind/>
              <w:jc w:val="center"/>
              <w:rPr>
                <w:sz w:val="20"/>
              </w:rPr>
            </w:pPr>
            <w:r>
              <w:rPr>
                <w:sz w:val="20"/>
              </w:rPr>
              <w:t>с. Куйбышево, ул. Пролетарская, 2 б</w:t>
            </w:r>
          </w:p>
        </w:tc>
        <w:tc>
          <w:tcPr>
            <w:tcW w:type="dxa" w:w="1602"/>
            <w:gridSpan w:val="1"/>
            <w:vMerge w:val="continue"/>
            <w:tcBorders>
              <w:top w:sz="4" w:val="nil"/>
              <w:left w:color="000000" w:sz="4" w:val="single"/>
              <w:bottom w:color="000000" w:sz="4" w:val="single"/>
              <w:right w:color="000000" w:sz="4" w:val="single"/>
            </w:tcBorders>
            <w:vAlign w:val="center"/>
          </w:tcPr>
          <w:p/>
        </w:tc>
        <w:tc>
          <w:tcPr>
            <w:tcW w:type="dxa" w:w="1292"/>
            <w:tcBorders>
              <w:top w:sz="4" w:val="nil"/>
              <w:left w:sz="4" w:val="nil"/>
              <w:bottom w:color="000000" w:sz="4" w:val="single"/>
              <w:right w:color="000000" w:sz="4" w:val="single"/>
            </w:tcBorders>
            <w:vAlign w:val="center"/>
          </w:tcPr>
          <w:p w14:paraId="B8070000">
            <w:pPr>
              <w:spacing w:after="0" w:line="240" w:lineRule="auto"/>
              <w:ind/>
              <w:jc w:val="center"/>
              <w:rPr>
                <w:sz w:val="20"/>
              </w:rPr>
            </w:pPr>
            <w:r>
              <w:rPr>
                <w:sz w:val="20"/>
              </w:rPr>
              <w:t>нет</w:t>
            </w:r>
          </w:p>
        </w:tc>
      </w:tr>
      <w:tr>
        <w:trPr>
          <w:trHeight w:hRule="atLeast" w:val="750"/>
        </w:trPr>
        <w:tc>
          <w:tcPr>
            <w:tcW w:type="dxa" w:w="3665"/>
            <w:tcBorders>
              <w:top w:sz="4" w:val="nil"/>
              <w:left w:color="000000" w:sz="4" w:val="single"/>
              <w:bottom w:color="000000" w:sz="4" w:val="single"/>
              <w:right w:sz="4" w:val="nil"/>
            </w:tcBorders>
            <w:vAlign w:val="center"/>
          </w:tcPr>
          <w:p w14:paraId="B9070000">
            <w:pPr>
              <w:spacing w:after="0" w:line="240" w:lineRule="auto"/>
              <w:ind/>
              <w:rPr>
                <w:sz w:val="20"/>
              </w:rPr>
            </w:pPr>
            <w:r>
              <w:rPr>
                <w:sz w:val="20"/>
              </w:rPr>
              <w:t xml:space="preserve">ГКУ РО «Служба обеспечения деятельности судебных участков мировых судей» </w:t>
            </w:r>
          </w:p>
        </w:tc>
        <w:tc>
          <w:tcPr>
            <w:tcW w:type="dxa" w:w="2966"/>
            <w:tcBorders>
              <w:top w:sz="4" w:val="nil"/>
              <w:left w:color="000000" w:sz="4" w:val="single"/>
              <w:bottom w:color="000000" w:sz="4" w:val="single"/>
              <w:right w:color="000000" w:sz="4" w:val="single"/>
            </w:tcBorders>
            <w:vAlign w:val="center"/>
          </w:tcPr>
          <w:p w14:paraId="BA070000">
            <w:pPr>
              <w:spacing w:after="0" w:line="240" w:lineRule="auto"/>
              <w:ind/>
              <w:jc w:val="center"/>
              <w:rPr>
                <w:sz w:val="20"/>
              </w:rPr>
            </w:pPr>
            <w:r>
              <w:rPr>
                <w:sz w:val="20"/>
              </w:rPr>
              <w:t>с. Куйбышево, ул. Пролетарская, 2 б</w:t>
            </w:r>
          </w:p>
        </w:tc>
        <w:tc>
          <w:tcPr>
            <w:tcW w:type="dxa" w:w="1602"/>
            <w:gridSpan w:val="1"/>
            <w:vMerge w:val="continue"/>
            <w:tcBorders>
              <w:top w:sz="4" w:val="nil"/>
              <w:left w:color="000000" w:sz="4" w:val="single"/>
              <w:bottom w:color="000000" w:sz="4" w:val="single"/>
              <w:right w:color="000000" w:sz="4" w:val="single"/>
            </w:tcBorders>
            <w:vAlign w:val="center"/>
          </w:tcPr>
          <w:p/>
        </w:tc>
        <w:tc>
          <w:tcPr>
            <w:tcW w:type="dxa" w:w="1292"/>
            <w:tcBorders>
              <w:top w:sz="4" w:val="nil"/>
              <w:left w:sz="4" w:val="nil"/>
              <w:bottom w:color="000000" w:sz="4" w:val="single"/>
              <w:right w:color="000000" w:sz="4" w:val="single"/>
            </w:tcBorders>
            <w:vAlign w:val="center"/>
          </w:tcPr>
          <w:p w14:paraId="BB070000">
            <w:pPr>
              <w:spacing w:after="0" w:line="240" w:lineRule="auto"/>
              <w:ind/>
              <w:jc w:val="center"/>
              <w:rPr>
                <w:sz w:val="20"/>
              </w:rPr>
            </w:pPr>
            <w:r>
              <w:rPr>
                <w:sz w:val="20"/>
              </w:rPr>
              <w:t> </w:t>
            </w:r>
          </w:p>
        </w:tc>
      </w:tr>
      <w:tr>
        <w:trPr>
          <w:trHeight w:hRule="atLeast" w:val="770"/>
        </w:trPr>
        <w:tc>
          <w:tcPr>
            <w:tcW w:type="dxa" w:w="3665"/>
            <w:tcBorders>
              <w:top w:sz="4" w:val="nil"/>
              <w:left w:color="000000" w:sz="4" w:val="single"/>
              <w:bottom w:color="000000" w:sz="4" w:val="single"/>
              <w:right w:sz="4" w:val="nil"/>
            </w:tcBorders>
            <w:vAlign w:val="center"/>
          </w:tcPr>
          <w:p w14:paraId="BC070000">
            <w:pPr>
              <w:spacing w:after="0" w:line="240" w:lineRule="auto"/>
              <w:ind/>
              <w:rPr>
                <w:sz w:val="20"/>
              </w:rPr>
            </w:pPr>
            <w:r>
              <w:rPr>
                <w:sz w:val="20"/>
              </w:rPr>
              <w:t>МБОУ Русская СОШ имени Героя Советского союза М. Н. Алексеева</w:t>
            </w:r>
          </w:p>
        </w:tc>
        <w:tc>
          <w:tcPr>
            <w:tcW w:type="dxa" w:w="2966"/>
            <w:tcBorders>
              <w:top w:sz="4" w:val="nil"/>
              <w:left w:color="000000" w:sz="4" w:val="single"/>
              <w:bottom w:color="000000" w:sz="4" w:val="single"/>
              <w:right w:color="000000" w:sz="4" w:val="single"/>
            </w:tcBorders>
            <w:vAlign w:val="center"/>
          </w:tcPr>
          <w:p w14:paraId="BD070000">
            <w:pPr>
              <w:spacing w:after="0" w:line="240" w:lineRule="auto"/>
              <w:ind/>
              <w:jc w:val="center"/>
              <w:rPr>
                <w:sz w:val="20"/>
              </w:rPr>
            </w:pPr>
            <w:r>
              <w:rPr>
                <w:sz w:val="20"/>
              </w:rPr>
              <w:t>с. Русское, ул. Красноармейская,8-а</w:t>
            </w:r>
          </w:p>
        </w:tc>
        <w:tc>
          <w:tcPr>
            <w:tcW w:type="dxa" w:w="1602"/>
            <w:tcBorders>
              <w:top w:sz="4" w:val="nil"/>
              <w:left w:sz="4" w:val="nil"/>
              <w:bottom w:color="000000" w:sz="4" w:val="single"/>
              <w:right w:color="000000" w:sz="4" w:val="single"/>
            </w:tcBorders>
            <w:vAlign w:val="center"/>
          </w:tcPr>
          <w:p w14:paraId="BE070000">
            <w:pPr>
              <w:spacing w:after="0" w:line="240" w:lineRule="auto"/>
              <w:ind/>
              <w:jc w:val="center"/>
              <w:rPr>
                <w:sz w:val="20"/>
              </w:rPr>
            </w:pPr>
            <w:r>
              <w:rPr>
                <w:sz w:val="20"/>
              </w:rPr>
              <w:t>с. Русское, ул. Красноармейская,8-а</w:t>
            </w:r>
          </w:p>
        </w:tc>
        <w:tc>
          <w:tcPr>
            <w:tcW w:type="dxa" w:w="1292"/>
            <w:tcBorders>
              <w:top w:sz="4" w:val="nil"/>
              <w:left w:sz="4" w:val="nil"/>
              <w:bottom w:color="000000" w:sz="4" w:val="single"/>
              <w:right w:color="000000" w:sz="4" w:val="single"/>
            </w:tcBorders>
            <w:vAlign w:val="center"/>
          </w:tcPr>
          <w:p w14:paraId="BF070000">
            <w:pPr>
              <w:spacing w:after="0" w:line="240" w:lineRule="auto"/>
              <w:ind/>
              <w:jc w:val="center"/>
              <w:rPr>
                <w:sz w:val="20"/>
              </w:rPr>
            </w:pPr>
            <w:r>
              <w:rPr>
                <w:sz w:val="20"/>
              </w:rPr>
              <w:t>да</w:t>
            </w:r>
          </w:p>
        </w:tc>
      </w:tr>
      <w:tr>
        <w:trPr>
          <w:trHeight w:hRule="atLeast" w:val="1054"/>
        </w:trPr>
        <w:tc>
          <w:tcPr>
            <w:tcW w:type="dxa" w:w="3665"/>
            <w:tcBorders>
              <w:top w:sz="4" w:val="nil"/>
              <w:left w:color="000000" w:sz="4" w:val="single"/>
              <w:bottom w:color="000000" w:sz="4" w:val="single"/>
              <w:right w:sz="4" w:val="nil"/>
            </w:tcBorders>
            <w:vAlign w:val="center"/>
          </w:tcPr>
          <w:p w14:paraId="C0070000">
            <w:pPr>
              <w:spacing w:after="0" w:line="240" w:lineRule="auto"/>
              <w:ind/>
              <w:rPr>
                <w:sz w:val="20"/>
              </w:rPr>
            </w:pPr>
            <w:r>
              <w:rPr>
                <w:sz w:val="20"/>
              </w:rPr>
              <w:t>МБОУ</w:t>
            </w:r>
            <w:r>
              <w:rPr>
                <w:sz w:val="20"/>
              </w:rPr>
              <w:t xml:space="preserve"> Русская СОШ имени Героя Советского союза М. Н. Алексеева</w:t>
            </w:r>
          </w:p>
        </w:tc>
        <w:tc>
          <w:tcPr>
            <w:tcW w:type="dxa" w:w="2966"/>
            <w:tcBorders>
              <w:top w:sz="4" w:val="nil"/>
              <w:left w:color="000000" w:sz="4" w:val="single"/>
              <w:bottom w:color="000000" w:sz="4" w:val="single"/>
              <w:right w:color="000000" w:sz="4" w:val="single"/>
            </w:tcBorders>
            <w:vAlign w:val="center"/>
          </w:tcPr>
          <w:p w14:paraId="C1070000">
            <w:pPr>
              <w:spacing w:after="0" w:line="240" w:lineRule="auto"/>
              <w:ind/>
              <w:jc w:val="center"/>
              <w:rPr>
                <w:sz w:val="20"/>
              </w:rPr>
            </w:pPr>
            <w:r>
              <w:rPr>
                <w:sz w:val="20"/>
              </w:rPr>
              <w:t>с. Русское, ул. Героя Советского Союза М.П. Алексеева, 8</w:t>
            </w:r>
          </w:p>
        </w:tc>
        <w:tc>
          <w:tcPr>
            <w:tcW w:type="dxa" w:w="1602"/>
            <w:tcBorders>
              <w:top w:sz="4" w:val="nil"/>
              <w:left w:sz="4" w:val="nil"/>
              <w:bottom w:color="000000" w:sz="4" w:val="single"/>
              <w:right w:color="000000" w:sz="4" w:val="single"/>
            </w:tcBorders>
            <w:vAlign w:val="center"/>
          </w:tcPr>
          <w:p w14:paraId="C2070000">
            <w:pPr>
              <w:spacing w:after="0" w:line="240" w:lineRule="auto"/>
              <w:ind/>
              <w:jc w:val="center"/>
              <w:rPr>
                <w:sz w:val="20"/>
              </w:rPr>
            </w:pPr>
            <w:r>
              <w:rPr>
                <w:sz w:val="20"/>
              </w:rPr>
              <w:t>с. Русское, ул. Героя Советского Союза М.П. Алексеева, 8</w:t>
            </w:r>
          </w:p>
        </w:tc>
        <w:tc>
          <w:tcPr>
            <w:tcW w:type="dxa" w:w="1292"/>
            <w:tcBorders>
              <w:top w:sz="4" w:val="nil"/>
              <w:left w:sz="4" w:val="nil"/>
              <w:bottom w:color="000000" w:sz="4" w:val="single"/>
              <w:right w:color="000000" w:sz="4" w:val="single"/>
            </w:tcBorders>
            <w:vAlign w:val="center"/>
          </w:tcPr>
          <w:p w14:paraId="C3070000">
            <w:pPr>
              <w:spacing w:after="0" w:line="240" w:lineRule="auto"/>
              <w:ind/>
              <w:jc w:val="center"/>
              <w:rPr>
                <w:sz w:val="20"/>
              </w:rPr>
            </w:pPr>
            <w:r>
              <w:rPr>
                <w:sz w:val="20"/>
              </w:rPr>
              <w:t>нет</w:t>
            </w:r>
          </w:p>
        </w:tc>
      </w:tr>
      <w:tr>
        <w:trPr>
          <w:trHeight w:hRule="atLeast" w:val="945"/>
        </w:trPr>
        <w:tc>
          <w:tcPr>
            <w:tcW w:type="dxa" w:w="3665"/>
            <w:tcBorders>
              <w:top w:sz="4" w:val="nil"/>
              <w:left w:color="000000" w:sz="4" w:val="single"/>
              <w:bottom w:color="000000" w:sz="4" w:val="single"/>
              <w:right w:sz="4" w:val="nil"/>
            </w:tcBorders>
            <w:vAlign w:val="center"/>
          </w:tcPr>
          <w:p w14:paraId="C4070000">
            <w:pPr>
              <w:spacing w:after="0" w:line="240" w:lineRule="auto"/>
              <w:ind/>
              <w:rPr>
                <w:sz w:val="20"/>
              </w:rPr>
            </w:pPr>
            <w:r>
              <w:rPr>
                <w:sz w:val="20"/>
              </w:rPr>
              <w:t xml:space="preserve">Здание МБОУ ДОД ЦДОД первой категории, расположенное по адресу </w:t>
            </w:r>
            <w:r>
              <w:rPr>
                <w:sz w:val="20"/>
              </w:rPr>
              <w:t>ул.Театральная,72</w:t>
            </w:r>
          </w:p>
        </w:tc>
        <w:tc>
          <w:tcPr>
            <w:tcW w:type="dxa" w:w="2966"/>
            <w:tcBorders>
              <w:top w:sz="4" w:val="nil"/>
              <w:left w:color="000000" w:sz="4" w:val="single"/>
              <w:bottom w:color="000000" w:sz="4" w:val="single"/>
              <w:right w:color="000000" w:sz="4" w:val="single"/>
            </w:tcBorders>
            <w:vAlign w:val="center"/>
          </w:tcPr>
          <w:p w14:paraId="C5070000">
            <w:pPr>
              <w:spacing w:after="0" w:line="240" w:lineRule="auto"/>
              <w:ind/>
              <w:jc w:val="center"/>
              <w:rPr>
                <w:sz w:val="20"/>
              </w:rPr>
            </w:pPr>
            <w:r>
              <w:rPr>
                <w:sz w:val="20"/>
              </w:rPr>
              <w:t>с. Куйбышево, ул. Театральная, 72</w:t>
            </w:r>
          </w:p>
        </w:tc>
        <w:tc>
          <w:tcPr>
            <w:tcW w:type="dxa" w:w="1602"/>
            <w:tcBorders>
              <w:top w:sz="4" w:val="nil"/>
              <w:left w:sz="4" w:val="nil"/>
              <w:bottom w:color="000000" w:sz="4" w:val="single"/>
              <w:right w:color="000000" w:sz="4" w:val="single"/>
            </w:tcBorders>
            <w:vAlign w:val="center"/>
          </w:tcPr>
          <w:p w14:paraId="C6070000">
            <w:pPr>
              <w:spacing w:after="0" w:line="240" w:lineRule="auto"/>
              <w:ind/>
              <w:jc w:val="center"/>
              <w:rPr>
                <w:sz w:val="20"/>
              </w:rPr>
            </w:pPr>
            <w:r>
              <w:rPr>
                <w:sz w:val="20"/>
              </w:rPr>
              <w:t>с. Куйбышево, ул. Театральная, 72</w:t>
            </w:r>
          </w:p>
        </w:tc>
        <w:tc>
          <w:tcPr>
            <w:tcW w:type="dxa" w:w="1292"/>
            <w:tcBorders>
              <w:top w:sz="4" w:val="nil"/>
              <w:left w:sz="4" w:val="nil"/>
              <w:bottom w:color="000000" w:sz="4" w:val="single"/>
              <w:right w:color="000000" w:sz="4" w:val="single"/>
            </w:tcBorders>
            <w:vAlign w:val="center"/>
          </w:tcPr>
          <w:p w14:paraId="C7070000">
            <w:pPr>
              <w:spacing w:after="0" w:line="240" w:lineRule="auto"/>
              <w:ind/>
              <w:jc w:val="center"/>
              <w:rPr>
                <w:sz w:val="20"/>
              </w:rPr>
            </w:pPr>
            <w:r>
              <w:rPr>
                <w:sz w:val="20"/>
              </w:rPr>
              <w:t>нет</w:t>
            </w:r>
          </w:p>
        </w:tc>
      </w:tr>
      <w:tr>
        <w:trPr>
          <w:trHeight w:hRule="atLeast" w:val="765"/>
        </w:trPr>
        <w:tc>
          <w:tcPr>
            <w:tcW w:type="dxa" w:w="3665"/>
            <w:tcBorders>
              <w:top w:sz="4" w:val="nil"/>
              <w:left w:color="000000" w:sz="4" w:val="single"/>
              <w:bottom w:color="000000" w:sz="4" w:val="single"/>
              <w:right w:sz="4" w:val="nil"/>
            </w:tcBorders>
            <w:vAlign w:val="center"/>
          </w:tcPr>
          <w:p w14:paraId="C8070000">
            <w:pPr>
              <w:spacing w:after="0" w:line="240" w:lineRule="auto"/>
              <w:ind/>
              <w:rPr>
                <w:sz w:val="20"/>
              </w:rPr>
            </w:pPr>
            <w:r>
              <w:rPr>
                <w:sz w:val="20"/>
              </w:rPr>
              <w:t>МБОУ ДОД ЦДОД первой категории ул. Пролетарская 2а</w:t>
            </w:r>
          </w:p>
        </w:tc>
        <w:tc>
          <w:tcPr>
            <w:tcW w:type="dxa" w:w="2966"/>
            <w:tcBorders>
              <w:top w:sz="4" w:val="nil"/>
              <w:left w:color="000000" w:sz="4" w:val="single"/>
              <w:bottom w:color="000000" w:sz="4" w:val="single"/>
              <w:right w:color="000000" w:sz="4" w:val="single"/>
            </w:tcBorders>
            <w:vAlign w:val="center"/>
          </w:tcPr>
          <w:p w14:paraId="C9070000">
            <w:pPr>
              <w:spacing w:after="0" w:line="240" w:lineRule="auto"/>
              <w:ind/>
              <w:jc w:val="center"/>
              <w:rPr>
                <w:sz w:val="20"/>
              </w:rPr>
            </w:pPr>
            <w:r>
              <w:rPr>
                <w:sz w:val="20"/>
              </w:rPr>
              <w:t>с. Куйбышево, ул. Пролетарская, 2 а</w:t>
            </w:r>
          </w:p>
        </w:tc>
        <w:tc>
          <w:tcPr>
            <w:tcW w:type="dxa" w:w="1602"/>
            <w:tcBorders>
              <w:top w:sz="4" w:val="nil"/>
              <w:left w:sz="4" w:val="nil"/>
              <w:bottom w:color="000000" w:sz="4" w:val="single"/>
              <w:right w:color="000000" w:sz="4" w:val="single"/>
            </w:tcBorders>
            <w:vAlign w:val="center"/>
          </w:tcPr>
          <w:p w14:paraId="CA070000">
            <w:pPr>
              <w:spacing w:after="0" w:line="240" w:lineRule="auto"/>
              <w:ind/>
              <w:jc w:val="center"/>
              <w:rPr>
                <w:sz w:val="20"/>
              </w:rPr>
            </w:pPr>
            <w:r>
              <w:rPr>
                <w:sz w:val="20"/>
              </w:rPr>
              <w:t>с. Куйбышево, ул. Пролетарская, 2 а</w:t>
            </w:r>
          </w:p>
        </w:tc>
        <w:tc>
          <w:tcPr>
            <w:tcW w:type="dxa" w:w="1292"/>
            <w:tcBorders>
              <w:top w:sz="4" w:val="nil"/>
              <w:left w:sz="4" w:val="nil"/>
              <w:bottom w:color="000000" w:sz="4" w:val="single"/>
              <w:right w:color="000000" w:sz="4" w:val="single"/>
            </w:tcBorders>
            <w:vAlign w:val="center"/>
          </w:tcPr>
          <w:p w14:paraId="CB070000">
            <w:pPr>
              <w:spacing w:after="0" w:line="240" w:lineRule="auto"/>
              <w:ind/>
              <w:jc w:val="center"/>
              <w:rPr>
                <w:sz w:val="20"/>
              </w:rPr>
            </w:pPr>
            <w:r>
              <w:rPr>
                <w:sz w:val="20"/>
              </w:rPr>
              <w:t>да</w:t>
            </w:r>
          </w:p>
        </w:tc>
      </w:tr>
      <w:tr>
        <w:trPr>
          <w:trHeight w:hRule="atLeast" w:val="691"/>
        </w:trPr>
        <w:tc>
          <w:tcPr>
            <w:tcW w:type="dxa" w:w="3665"/>
            <w:tcBorders>
              <w:top w:sz="4" w:val="nil"/>
              <w:left w:color="000000" w:sz="4" w:val="single"/>
              <w:bottom w:color="000000" w:sz="4" w:val="single"/>
              <w:right w:sz="4" w:val="nil"/>
            </w:tcBorders>
            <w:vAlign w:val="center"/>
          </w:tcPr>
          <w:p w14:paraId="CC070000">
            <w:pPr>
              <w:spacing w:after="0" w:line="240" w:lineRule="auto"/>
              <w:ind/>
              <w:rPr>
                <w:sz w:val="20"/>
              </w:rPr>
            </w:pPr>
            <w:r>
              <w:rPr>
                <w:sz w:val="20"/>
              </w:rPr>
              <w:t xml:space="preserve">МБДОУ ДС комбинированного вида </w:t>
            </w:r>
            <w:r>
              <w:rPr>
                <w:sz w:val="20"/>
              </w:rPr>
              <w:t>«Алёнушка» с. Куйбышево</w:t>
            </w:r>
          </w:p>
        </w:tc>
        <w:tc>
          <w:tcPr>
            <w:tcW w:type="dxa" w:w="2966"/>
            <w:tcBorders>
              <w:top w:sz="4" w:val="nil"/>
              <w:left w:color="000000" w:sz="4" w:val="single"/>
              <w:bottom w:color="000000" w:sz="4" w:val="single"/>
              <w:right w:color="000000" w:sz="4" w:val="single"/>
            </w:tcBorders>
            <w:vAlign w:val="center"/>
          </w:tcPr>
          <w:p w14:paraId="CD070000">
            <w:pPr>
              <w:spacing w:after="0" w:line="240" w:lineRule="auto"/>
              <w:ind/>
              <w:jc w:val="center"/>
              <w:rPr>
                <w:sz w:val="20"/>
              </w:rPr>
            </w:pPr>
            <w:r>
              <w:rPr>
                <w:sz w:val="20"/>
              </w:rPr>
              <w:t>с. Куйбышево, ул. Кузьменко, 3 а</w:t>
            </w:r>
          </w:p>
        </w:tc>
        <w:tc>
          <w:tcPr>
            <w:tcW w:type="dxa" w:w="1602"/>
            <w:tcBorders>
              <w:top w:sz="4" w:val="nil"/>
              <w:left w:sz="4" w:val="nil"/>
              <w:bottom w:color="000000" w:sz="4" w:val="single"/>
              <w:right w:color="000000" w:sz="4" w:val="single"/>
            </w:tcBorders>
            <w:vAlign w:val="center"/>
          </w:tcPr>
          <w:p w14:paraId="CE070000">
            <w:pPr>
              <w:spacing w:after="0" w:line="240" w:lineRule="auto"/>
              <w:ind/>
              <w:jc w:val="center"/>
              <w:rPr>
                <w:sz w:val="20"/>
              </w:rPr>
            </w:pPr>
            <w:r>
              <w:rPr>
                <w:sz w:val="20"/>
              </w:rPr>
              <w:t>с. Куйбышево, ул. Кузьменко, 3 а</w:t>
            </w:r>
          </w:p>
        </w:tc>
        <w:tc>
          <w:tcPr>
            <w:tcW w:type="dxa" w:w="1292"/>
            <w:tcBorders>
              <w:top w:sz="4" w:val="nil"/>
              <w:left w:sz="4" w:val="nil"/>
              <w:bottom w:color="000000" w:sz="4" w:val="single"/>
              <w:right w:color="000000" w:sz="4" w:val="single"/>
            </w:tcBorders>
            <w:vAlign w:val="center"/>
          </w:tcPr>
          <w:p w14:paraId="CF070000">
            <w:pPr>
              <w:spacing w:after="0" w:line="240" w:lineRule="auto"/>
              <w:ind/>
              <w:jc w:val="center"/>
              <w:rPr>
                <w:sz w:val="20"/>
              </w:rPr>
            </w:pPr>
            <w:r>
              <w:rPr>
                <w:sz w:val="20"/>
              </w:rPr>
              <w:t>нет</w:t>
            </w:r>
          </w:p>
        </w:tc>
      </w:tr>
      <w:tr>
        <w:trPr>
          <w:trHeight w:hRule="atLeast" w:val="686"/>
        </w:trPr>
        <w:tc>
          <w:tcPr>
            <w:tcW w:type="dxa" w:w="3665"/>
            <w:tcBorders>
              <w:top w:sz="4" w:val="nil"/>
              <w:left w:color="000000" w:sz="4" w:val="single"/>
              <w:bottom w:color="000000" w:sz="4" w:val="single"/>
              <w:right w:sz="4" w:val="nil"/>
            </w:tcBorders>
            <w:vAlign w:val="center"/>
          </w:tcPr>
          <w:p w14:paraId="D0070000">
            <w:pPr>
              <w:spacing w:after="0" w:line="240" w:lineRule="auto"/>
              <w:ind/>
              <w:rPr>
                <w:sz w:val="20"/>
              </w:rPr>
            </w:pPr>
            <w:r>
              <w:rPr>
                <w:sz w:val="20"/>
              </w:rPr>
              <w:t>Филиал МБДОУ ДС комбинированного вида №1 «Колокольчик» х. Свободный</w:t>
            </w:r>
          </w:p>
        </w:tc>
        <w:tc>
          <w:tcPr>
            <w:tcW w:type="dxa" w:w="2966"/>
            <w:tcBorders>
              <w:top w:sz="4" w:val="nil"/>
              <w:left w:color="000000" w:sz="4" w:val="single"/>
              <w:bottom w:color="000000" w:sz="4" w:val="single"/>
              <w:right w:color="000000" w:sz="4" w:val="single"/>
            </w:tcBorders>
            <w:vAlign w:val="center"/>
          </w:tcPr>
          <w:p w14:paraId="D1070000">
            <w:pPr>
              <w:spacing w:after="0" w:line="240" w:lineRule="auto"/>
              <w:ind/>
              <w:jc w:val="center"/>
              <w:rPr>
                <w:sz w:val="20"/>
              </w:rPr>
            </w:pPr>
            <w:r>
              <w:rPr>
                <w:sz w:val="20"/>
              </w:rPr>
              <w:t>х. Свободный, ул. Молодёжная, 8</w:t>
            </w:r>
          </w:p>
        </w:tc>
        <w:tc>
          <w:tcPr>
            <w:tcW w:type="dxa" w:w="1602"/>
            <w:tcBorders>
              <w:top w:sz="4" w:val="nil"/>
              <w:left w:sz="4" w:val="nil"/>
              <w:bottom w:color="000000" w:sz="4" w:val="single"/>
              <w:right w:color="000000" w:sz="4" w:val="single"/>
            </w:tcBorders>
            <w:vAlign w:val="center"/>
          </w:tcPr>
          <w:p w14:paraId="D2070000">
            <w:pPr>
              <w:spacing w:after="0" w:line="240" w:lineRule="auto"/>
              <w:ind/>
              <w:jc w:val="center"/>
              <w:rPr>
                <w:sz w:val="20"/>
              </w:rPr>
            </w:pPr>
            <w:r>
              <w:rPr>
                <w:sz w:val="20"/>
              </w:rPr>
              <w:t>х. Свободный, ул. Молодёжная, 8</w:t>
            </w:r>
          </w:p>
        </w:tc>
        <w:tc>
          <w:tcPr>
            <w:tcW w:type="dxa" w:w="1292"/>
            <w:tcBorders>
              <w:top w:sz="4" w:val="nil"/>
              <w:left w:sz="4" w:val="nil"/>
              <w:bottom w:color="000000" w:sz="4" w:val="single"/>
              <w:right w:color="000000" w:sz="4" w:val="single"/>
            </w:tcBorders>
            <w:vAlign w:val="center"/>
          </w:tcPr>
          <w:p w14:paraId="D3070000">
            <w:pPr>
              <w:spacing w:after="0" w:line="240" w:lineRule="auto"/>
              <w:ind/>
              <w:jc w:val="center"/>
              <w:rPr>
                <w:sz w:val="20"/>
              </w:rPr>
            </w:pPr>
            <w:r>
              <w:rPr>
                <w:sz w:val="20"/>
              </w:rPr>
              <w:t>нет</w:t>
            </w:r>
          </w:p>
        </w:tc>
      </w:tr>
      <w:tr>
        <w:trPr>
          <w:trHeight w:hRule="atLeast" w:val="569"/>
        </w:trPr>
        <w:tc>
          <w:tcPr>
            <w:tcW w:type="dxa" w:w="3665"/>
            <w:tcBorders>
              <w:top w:sz="4" w:val="nil"/>
              <w:left w:color="000000" w:sz="4" w:val="single"/>
              <w:bottom w:color="000000" w:sz="4" w:val="single"/>
              <w:right w:sz="4" w:val="nil"/>
            </w:tcBorders>
            <w:vAlign w:val="center"/>
          </w:tcPr>
          <w:p w14:paraId="D4070000">
            <w:pPr>
              <w:spacing w:after="0" w:line="240" w:lineRule="auto"/>
              <w:ind/>
              <w:rPr>
                <w:sz w:val="20"/>
              </w:rPr>
            </w:pPr>
            <w:r>
              <w:rPr>
                <w:sz w:val="20"/>
              </w:rPr>
              <w:t xml:space="preserve">МБУДО ЦДОД в х. </w:t>
            </w:r>
            <w:r>
              <w:rPr>
                <w:sz w:val="20"/>
              </w:rPr>
              <w:t>Ольховский</w:t>
            </w:r>
          </w:p>
        </w:tc>
        <w:tc>
          <w:tcPr>
            <w:tcW w:type="dxa" w:w="2966"/>
            <w:tcBorders>
              <w:top w:sz="4" w:val="nil"/>
              <w:left w:color="000000" w:sz="4" w:val="single"/>
              <w:bottom w:color="000000" w:sz="4" w:val="single"/>
              <w:right w:color="000000" w:sz="4" w:val="single"/>
            </w:tcBorders>
            <w:vAlign w:val="center"/>
          </w:tcPr>
          <w:p w14:paraId="D5070000">
            <w:pPr>
              <w:spacing w:after="0" w:line="240" w:lineRule="auto"/>
              <w:ind/>
              <w:jc w:val="center"/>
              <w:rPr>
                <w:sz w:val="20"/>
              </w:rPr>
            </w:pPr>
            <w:r>
              <w:rPr>
                <w:sz w:val="20"/>
              </w:rPr>
              <w:t>х. Ольховский, ул. Центральная, 3 а</w:t>
            </w:r>
          </w:p>
        </w:tc>
        <w:tc>
          <w:tcPr>
            <w:tcW w:type="dxa" w:w="1602"/>
            <w:tcBorders>
              <w:top w:sz="4" w:val="nil"/>
              <w:left w:sz="4" w:val="nil"/>
              <w:bottom w:color="000000" w:sz="4" w:val="single"/>
              <w:right w:color="000000" w:sz="4" w:val="single"/>
            </w:tcBorders>
            <w:vAlign w:val="center"/>
          </w:tcPr>
          <w:p w14:paraId="D6070000">
            <w:pPr>
              <w:spacing w:after="0" w:line="240" w:lineRule="auto"/>
              <w:ind/>
              <w:jc w:val="center"/>
              <w:rPr>
                <w:sz w:val="20"/>
              </w:rPr>
            </w:pPr>
            <w:r>
              <w:rPr>
                <w:sz w:val="20"/>
              </w:rPr>
              <w:t xml:space="preserve">х. Ольховский, ул. Центральная, 3 </w:t>
            </w:r>
            <w:r>
              <w:rPr>
                <w:sz w:val="20"/>
              </w:rPr>
              <w:t>а</w:t>
            </w:r>
          </w:p>
        </w:tc>
        <w:tc>
          <w:tcPr>
            <w:tcW w:type="dxa" w:w="1292"/>
            <w:tcBorders>
              <w:top w:sz="4" w:val="nil"/>
              <w:left w:sz="4" w:val="nil"/>
              <w:bottom w:color="000000" w:sz="4" w:val="single"/>
              <w:right w:color="000000" w:sz="4" w:val="single"/>
            </w:tcBorders>
            <w:vAlign w:val="center"/>
          </w:tcPr>
          <w:p w14:paraId="D7070000">
            <w:pPr>
              <w:spacing w:after="0" w:line="240" w:lineRule="auto"/>
              <w:ind/>
              <w:jc w:val="center"/>
              <w:rPr>
                <w:sz w:val="20"/>
              </w:rPr>
            </w:pPr>
            <w:r>
              <w:rPr>
                <w:sz w:val="20"/>
              </w:rPr>
              <w:t>нет</w:t>
            </w:r>
          </w:p>
        </w:tc>
      </w:tr>
      <w:tr>
        <w:trPr>
          <w:trHeight w:hRule="atLeast" w:val="675"/>
        </w:trPr>
        <w:tc>
          <w:tcPr>
            <w:tcW w:type="dxa" w:w="3665"/>
            <w:tcBorders>
              <w:top w:sz="4" w:val="nil"/>
              <w:left w:color="000000" w:sz="4" w:val="single"/>
              <w:bottom w:color="000000" w:sz="4" w:val="single"/>
              <w:right w:sz="4" w:val="nil"/>
            </w:tcBorders>
            <w:vAlign w:val="center"/>
          </w:tcPr>
          <w:p w14:paraId="D8070000">
            <w:pPr>
              <w:spacing w:after="0" w:line="240" w:lineRule="auto"/>
              <w:ind/>
              <w:rPr>
                <w:sz w:val="20"/>
              </w:rPr>
            </w:pPr>
            <w:r>
              <w:rPr>
                <w:sz w:val="20"/>
              </w:rPr>
              <w:t>РМУК «Куйбышевская районная межпоселенческая центральная библиотека»</w:t>
            </w:r>
          </w:p>
        </w:tc>
        <w:tc>
          <w:tcPr>
            <w:tcW w:type="dxa" w:w="2966"/>
            <w:tcBorders>
              <w:top w:sz="4" w:val="nil"/>
              <w:left w:color="000000" w:sz="4" w:val="single"/>
              <w:bottom w:color="000000" w:sz="4" w:val="single"/>
              <w:right w:color="000000" w:sz="4" w:val="single"/>
            </w:tcBorders>
            <w:vAlign w:val="center"/>
          </w:tcPr>
          <w:p w14:paraId="D9070000">
            <w:pPr>
              <w:spacing w:after="0" w:line="240" w:lineRule="auto"/>
              <w:ind/>
              <w:jc w:val="center"/>
              <w:rPr>
                <w:sz w:val="20"/>
              </w:rPr>
            </w:pPr>
            <w:r>
              <w:rPr>
                <w:sz w:val="20"/>
              </w:rPr>
              <w:t>с. Куйбышево, ул. Пролетарская, 5</w:t>
            </w:r>
          </w:p>
        </w:tc>
        <w:tc>
          <w:tcPr>
            <w:tcW w:type="dxa" w:w="1602"/>
            <w:tcBorders>
              <w:top w:sz="4" w:val="nil"/>
              <w:left w:sz="4" w:val="nil"/>
              <w:bottom w:color="000000" w:sz="4" w:val="single"/>
              <w:right w:color="000000" w:sz="4" w:val="single"/>
            </w:tcBorders>
            <w:vAlign w:val="center"/>
          </w:tcPr>
          <w:p w14:paraId="DA070000">
            <w:pPr>
              <w:spacing w:after="0" w:line="240" w:lineRule="auto"/>
              <w:ind/>
              <w:jc w:val="center"/>
              <w:rPr>
                <w:sz w:val="20"/>
              </w:rPr>
            </w:pPr>
            <w:r>
              <w:rPr>
                <w:sz w:val="20"/>
              </w:rPr>
              <w:t>с. Куйбышево, ул. Пролетарская, 5</w:t>
            </w:r>
          </w:p>
        </w:tc>
        <w:tc>
          <w:tcPr>
            <w:tcW w:type="dxa" w:w="1292"/>
            <w:tcBorders>
              <w:top w:sz="4" w:val="nil"/>
              <w:left w:sz="4" w:val="nil"/>
              <w:bottom w:color="000000" w:sz="4" w:val="single"/>
              <w:right w:color="000000" w:sz="4" w:val="single"/>
            </w:tcBorders>
            <w:vAlign w:val="center"/>
          </w:tcPr>
          <w:p w14:paraId="DB070000">
            <w:pPr>
              <w:spacing w:after="0" w:line="240" w:lineRule="auto"/>
              <w:ind/>
              <w:jc w:val="center"/>
              <w:rPr>
                <w:sz w:val="20"/>
              </w:rPr>
            </w:pPr>
            <w:r>
              <w:rPr>
                <w:sz w:val="20"/>
              </w:rPr>
              <w:t>нет</w:t>
            </w:r>
          </w:p>
        </w:tc>
      </w:tr>
      <w:tr>
        <w:trPr>
          <w:trHeight w:hRule="atLeast" w:val="573"/>
        </w:trPr>
        <w:tc>
          <w:tcPr>
            <w:tcW w:type="dxa" w:w="3665"/>
            <w:tcBorders>
              <w:top w:sz="4" w:val="nil"/>
              <w:left w:color="000000" w:sz="4" w:val="single"/>
              <w:bottom w:color="000000" w:sz="4" w:val="single"/>
              <w:right w:sz="4" w:val="nil"/>
            </w:tcBorders>
            <w:vAlign w:val="center"/>
          </w:tcPr>
          <w:p w14:paraId="DC070000">
            <w:pPr>
              <w:spacing w:after="0" w:line="240" w:lineRule="auto"/>
              <w:ind/>
              <w:rPr>
                <w:sz w:val="20"/>
              </w:rPr>
            </w:pPr>
            <w:r>
              <w:rPr>
                <w:sz w:val="20"/>
              </w:rPr>
              <w:t>МБУК «РДК»</w:t>
            </w:r>
          </w:p>
        </w:tc>
        <w:tc>
          <w:tcPr>
            <w:tcW w:type="dxa" w:w="2966"/>
            <w:tcBorders>
              <w:top w:sz="4" w:val="nil"/>
              <w:left w:color="000000" w:sz="4" w:val="single"/>
              <w:bottom w:color="000000" w:sz="4" w:val="single"/>
              <w:right w:color="000000" w:sz="4" w:val="single"/>
            </w:tcBorders>
            <w:vAlign w:val="center"/>
          </w:tcPr>
          <w:p w14:paraId="DD070000">
            <w:pPr>
              <w:spacing w:after="0" w:line="240" w:lineRule="auto"/>
              <w:ind/>
              <w:jc w:val="center"/>
              <w:rPr>
                <w:sz w:val="20"/>
              </w:rPr>
            </w:pPr>
            <w:r>
              <w:rPr>
                <w:sz w:val="20"/>
              </w:rPr>
              <w:t xml:space="preserve">с. Куйбышево, </w:t>
            </w:r>
            <w:r>
              <w:rPr>
                <w:sz w:val="20"/>
              </w:rPr>
              <w:t>ул. Театральная, 22</w:t>
            </w:r>
          </w:p>
        </w:tc>
        <w:tc>
          <w:tcPr>
            <w:tcW w:type="dxa" w:w="1602"/>
            <w:tcBorders>
              <w:top w:sz="4" w:val="nil"/>
              <w:left w:sz="4" w:val="nil"/>
              <w:bottom w:color="000000" w:sz="4" w:val="single"/>
              <w:right w:color="000000" w:sz="4" w:val="single"/>
            </w:tcBorders>
            <w:vAlign w:val="center"/>
          </w:tcPr>
          <w:p w14:paraId="DE070000">
            <w:pPr>
              <w:spacing w:after="0" w:line="240" w:lineRule="auto"/>
              <w:ind/>
              <w:jc w:val="center"/>
              <w:rPr>
                <w:sz w:val="20"/>
              </w:rPr>
            </w:pPr>
            <w:r>
              <w:rPr>
                <w:sz w:val="20"/>
              </w:rPr>
              <w:t>с. Куйбышево, ул. Театральная, 22</w:t>
            </w:r>
          </w:p>
        </w:tc>
        <w:tc>
          <w:tcPr>
            <w:tcW w:type="dxa" w:w="1292"/>
            <w:tcBorders>
              <w:top w:sz="4" w:val="nil"/>
              <w:left w:sz="4" w:val="nil"/>
              <w:bottom w:color="000000" w:sz="4" w:val="single"/>
              <w:right w:color="000000" w:sz="4" w:val="single"/>
            </w:tcBorders>
            <w:vAlign w:val="center"/>
          </w:tcPr>
          <w:p w14:paraId="DF070000">
            <w:pPr>
              <w:spacing w:after="0" w:line="240" w:lineRule="auto"/>
              <w:ind/>
              <w:jc w:val="center"/>
              <w:rPr>
                <w:sz w:val="20"/>
              </w:rPr>
            </w:pPr>
            <w:r>
              <w:rPr>
                <w:sz w:val="20"/>
              </w:rPr>
              <w:t>да</w:t>
            </w:r>
          </w:p>
        </w:tc>
      </w:tr>
      <w:tr>
        <w:trPr>
          <w:trHeight w:hRule="atLeast" w:val="411"/>
        </w:trPr>
        <w:tc>
          <w:tcPr>
            <w:tcW w:type="dxa" w:w="3665"/>
            <w:tcBorders>
              <w:top w:sz="4" w:val="nil"/>
              <w:left w:color="000000" w:sz="4" w:val="single"/>
              <w:bottom w:color="000000" w:sz="4" w:val="single"/>
              <w:right w:sz="4" w:val="nil"/>
            </w:tcBorders>
            <w:vAlign w:val="center"/>
          </w:tcPr>
          <w:p w14:paraId="E0070000">
            <w:pPr>
              <w:spacing w:after="0" w:line="240" w:lineRule="auto"/>
              <w:ind/>
              <w:rPr>
                <w:sz w:val="20"/>
              </w:rPr>
            </w:pPr>
            <w:r>
              <w:rPr>
                <w:sz w:val="20"/>
              </w:rPr>
              <w:t>Свободнинский сельский клуб</w:t>
            </w:r>
          </w:p>
        </w:tc>
        <w:tc>
          <w:tcPr>
            <w:tcW w:type="dxa" w:w="2966"/>
            <w:tcBorders>
              <w:top w:sz="4" w:val="nil"/>
              <w:left w:color="000000" w:sz="4" w:val="single"/>
              <w:bottom w:color="000000" w:sz="4" w:val="single"/>
              <w:right w:color="000000" w:sz="4" w:val="single"/>
            </w:tcBorders>
            <w:vAlign w:val="center"/>
          </w:tcPr>
          <w:p w14:paraId="E1070000">
            <w:pPr>
              <w:spacing w:after="0" w:line="240" w:lineRule="auto"/>
              <w:ind/>
              <w:jc w:val="center"/>
              <w:rPr>
                <w:sz w:val="20"/>
              </w:rPr>
            </w:pPr>
            <w:r>
              <w:rPr>
                <w:sz w:val="20"/>
              </w:rPr>
              <w:t>х. Свободный, ул. Победы, 29</w:t>
            </w:r>
          </w:p>
        </w:tc>
        <w:tc>
          <w:tcPr>
            <w:tcW w:type="dxa" w:w="1602"/>
            <w:tcBorders>
              <w:top w:sz="4" w:val="nil"/>
              <w:left w:sz="4" w:val="nil"/>
              <w:bottom w:color="000000" w:sz="4" w:val="single"/>
              <w:right w:color="000000" w:sz="4" w:val="single"/>
            </w:tcBorders>
            <w:vAlign w:val="center"/>
          </w:tcPr>
          <w:p w14:paraId="E2070000">
            <w:pPr>
              <w:spacing w:after="0" w:line="240" w:lineRule="auto"/>
              <w:ind/>
              <w:jc w:val="center"/>
              <w:rPr>
                <w:sz w:val="20"/>
              </w:rPr>
            </w:pPr>
            <w:r>
              <w:rPr>
                <w:sz w:val="20"/>
              </w:rPr>
              <w:t>х. Свободный, ул. Победы, 29</w:t>
            </w:r>
          </w:p>
        </w:tc>
        <w:tc>
          <w:tcPr>
            <w:tcW w:type="dxa" w:w="1292"/>
            <w:tcBorders>
              <w:top w:sz="4" w:val="nil"/>
              <w:left w:sz="4" w:val="nil"/>
              <w:bottom w:color="000000" w:sz="4" w:val="single"/>
              <w:right w:color="000000" w:sz="4" w:val="single"/>
            </w:tcBorders>
            <w:vAlign w:val="center"/>
          </w:tcPr>
          <w:p w14:paraId="E3070000">
            <w:pPr>
              <w:spacing w:after="0" w:line="240" w:lineRule="auto"/>
              <w:ind/>
              <w:jc w:val="center"/>
              <w:rPr>
                <w:sz w:val="20"/>
              </w:rPr>
            </w:pPr>
            <w:r>
              <w:rPr>
                <w:sz w:val="20"/>
              </w:rPr>
              <w:t>нет</w:t>
            </w:r>
          </w:p>
        </w:tc>
      </w:tr>
      <w:tr>
        <w:trPr>
          <w:trHeight w:hRule="atLeast" w:val="504"/>
        </w:trPr>
        <w:tc>
          <w:tcPr>
            <w:tcW w:type="dxa" w:w="3665"/>
            <w:tcBorders>
              <w:top w:sz="4" w:val="nil"/>
              <w:left w:color="000000" w:sz="4" w:val="single"/>
              <w:bottom w:color="000000" w:sz="4" w:val="single"/>
              <w:right w:sz="4" w:val="nil"/>
            </w:tcBorders>
            <w:vAlign w:val="center"/>
          </w:tcPr>
          <w:p w14:paraId="E4070000">
            <w:pPr>
              <w:spacing w:after="0" w:line="240" w:lineRule="auto"/>
              <w:ind/>
              <w:rPr>
                <w:sz w:val="20"/>
              </w:rPr>
            </w:pPr>
            <w:r>
              <w:rPr>
                <w:sz w:val="20"/>
              </w:rPr>
              <w:t>Новобахмутский сельский клуб</w:t>
            </w:r>
          </w:p>
        </w:tc>
        <w:tc>
          <w:tcPr>
            <w:tcW w:type="dxa" w:w="2966"/>
            <w:tcBorders>
              <w:top w:sz="4" w:val="nil"/>
              <w:left w:color="000000" w:sz="4" w:val="single"/>
              <w:bottom w:color="000000" w:sz="4" w:val="single"/>
              <w:right w:color="000000" w:sz="4" w:val="single"/>
            </w:tcBorders>
            <w:vAlign w:val="center"/>
          </w:tcPr>
          <w:p w14:paraId="E5070000">
            <w:pPr>
              <w:spacing w:after="0" w:line="240" w:lineRule="auto"/>
              <w:ind/>
              <w:jc w:val="center"/>
              <w:rPr>
                <w:sz w:val="20"/>
              </w:rPr>
            </w:pPr>
            <w:r>
              <w:rPr>
                <w:sz w:val="20"/>
              </w:rPr>
              <w:t>х. Новобахмутский, ул. Широкая, 89 а</w:t>
            </w:r>
          </w:p>
        </w:tc>
        <w:tc>
          <w:tcPr>
            <w:tcW w:type="dxa" w:w="1602"/>
            <w:tcBorders>
              <w:top w:sz="4" w:val="nil"/>
              <w:left w:sz="4" w:val="nil"/>
              <w:bottom w:color="000000" w:sz="4" w:val="single"/>
              <w:right w:color="000000" w:sz="4" w:val="single"/>
            </w:tcBorders>
            <w:vAlign w:val="center"/>
          </w:tcPr>
          <w:p w14:paraId="E6070000">
            <w:pPr>
              <w:spacing w:after="0" w:line="240" w:lineRule="auto"/>
              <w:ind/>
              <w:jc w:val="center"/>
              <w:rPr>
                <w:sz w:val="20"/>
              </w:rPr>
            </w:pPr>
            <w:r>
              <w:rPr>
                <w:sz w:val="20"/>
              </w:rPr>
              <w:t>х. Новобахмутский, ул. Широкая, 89 а</w:t>
            </w:r>
          </w:p>
        </w:tc>
        <w:tc>
          <w:tcPr>
            <w:tcW w:type="dxa" w:w="1292"/>
            <w:tcBorders>
              <w:top w:sz="4" w:val="nil"/>
              <w:left w:sz="4" w:val="nil"/>
              <w:bottom w:color="000000" w:sz="4" w:val="single"/>
              <w:right w:color="000000" w:sz="4" w:val="single"/>
            </w:tcBorders>
            <w:vAlign w:val="center"/>
          </w:tcPr>
          <w:p w14:paraId="E7070000">
            <w:pPr>
              <w:spacing w:after="0" w:line="240" w:lineRule="auto"/>
              <w:ind/>
              <w:jc w:val="center"/>
              <w:rPr>
                <w:sz w:val="20"/>
              </w:rPr>
            </w:pPr>
            <w:r>
              <w:rPr>
                <w:sz w:val="20"/>
              </w:rPr>
              <w:t>нет</w:t>
            </w:r>
          </w:p>
        </w:tc>
      </w:tr>
      <w:tr>
        <w:trPr>
          <w:trHeight w:hRule="atLeast" w:val="412"/>
        </w:trPr>
        <w:tc>
          <w:tcPr>
            <w:tcW w:type="dxa" w:w="3665"/>
            <w:tcBorders>
              <w:top w:sz="4" w:val="nil"/>
              <w:left w:color="000000" w:sz="4" w:val="single"/>
              <w:bottom w:color="000000" w:sz="4" w:val="single"/>
              <w:right w:sz="4" w:val="nil"/>
            </w:tcBorders>
            <w:vAlign w:val="center"/>
          </w:tcPr>
          <w:p w14:paraId="E8070000">
            <w:pPr>
              <w:spacing w:after="0" w:line="240" w:lineRule="auto"/>
              <w:ind/>
              <w:rPr>
                <w:sz w:val="20"/>
              </w:rPr>
            </w:pPr>
            <w:r>
              <w:rPr>
                <w:sz w:val="20"/>
              </w:rPr>
              <w:t>Русский сельский клуб</w:t>
            </w:r>
          </w:p>
        </w:tc>
        <w:tc>
          <w:tcPr>
            <w:tcW w:type="dxa" w:w="2966"/>
            <w:tcBorders>
              <w:top w:sz="4" w:val="nil"/>
              <w:left w:color="000000" w:sz="4" w:val="single"/>
              <w:bottom w:color="000000" w:sz="4" w:val="single"/>
              <w:right w:color="000000" w:sz="4" w:val="single"/>
            </w:tcBorders>
            <w:vAlign w:val="center"/>
          </w:tcPr>
          <w:p w14:paraId="E9070000">
            <w:pPr>
              <w:spacing w:after="0" w:line="240" w:lineRule="auto"/>
              <w:ind/>
              <w:jc w:val="center"/>
              <w:rPr>
                <w:sz w:val="20"/>
              </w:rPr>
            </w:pPr>
            <w:r>
              <w:rPr>
                <w:sz w:val="20"/>
              </w:rPr>
              <w:t>с. Русское, ул. Красноармейская, 1</w:t>
            </w:r>
          </w:p>
        </w:tc>
        <w:tc>
          <w:tcPr>
            <w:tcW w:type="dxa" w:w="1602"/>
            <w:tcBorders>
              <w:top w:sz="4" w:val="nil"/>
              <w:left w:sz="4" w:val="nil"/>
              <w:bottom w:color="000000" w:sz="4" w:val="single"/>
              <w:right w:color="000000" w:sz="4" w:val="single"/>
            </w:tcBorders>
            <w:vAlign w:val="center"/>
          </w:tcPr>
          <w:p w14:paraId="EA070000">
            <w:pPr>
              <w:spacing w:after="0" w:line="240" w:lineRule="auto"/>
              <w:ind/>
              <w:jc w:val="center"/>
              <w:rPr>
                <w:sz w:val="20"/>
              </w:rPr>
            </w:pPr>
            <w:r>
              <w:rPr>
                <w:sz w:val="20"/>
              </w:rPr>
              <w:t>с. Русское, ул. Красноармейская, 1</w:t>
            </w:r>
          </w:p>
        </w:tc>
        <w:tc>
          <w:tcPr>
            <w:tcW w:type="dxa" w:w="1292"/>
            <w:tcBorders>
              <w:top w:sz="4" w:val="nil"/>
              <w:left w:sz="4" w:val="nil"/>
              <w:bottom w:color="000000" w:sz="4" w:val="single"/>
              <w:right w:color="000000" w:sz="4" w:val="single"/>
            </w:tcBorders>
            <w:vAlign w:val="center"/>
          </w:tcPr>
          <w:p w14:paraId="EB070000">
            <w:pPr>
              <w:spacing w:after="0" w:line="240" w:lineRule="auto"/>
              <w:ind/>
              <w:jc w:val="center"/>
              <w:rPr>
                <w:sz w:val="20"/>
              </w:rPr>
            </w:pPr>
            <w:r>
              <w:rPr>
                <w:sz w:val="20"/>
              </w:rPr>
              <w:t>нет</w:t>
            </w:r>
          </w:p>
        </w:tc>
      </w:tr>
      <w:tr>
        <w:trPr>
          <w:trHeight w:hRule="atLeast" w:val="517"/>
        </w:trPr>
        <w:tc>
          <w:tcPr>
            <w:tcW w:type="dxa" w:w="3665"/>
            <w:tcBorders>
              <w:top w:sz="4" w:val="nil"/>
              <w:left w:color="000000" w:sz="4" w:val="single"/>
              <w:bottom w:color="000000" w:sz="4" w:val="single"/>
              <w:right w:sz="4" w:val="nil"/>
            </w:tcBorders>
            <w:vAlign w:val="center"/>
          </w:tcPr>
          <w:p w14:paraId="EC070000">
            <w:pPr>
              <w:spacing w:after="0" w:line="240" w:lineRule="auto"/>
              <w:ind/>
              <w:rPr>
                <w:sz w:val="20"/>
              </w:rPr>
            </w:pPr>
            <w:r>
              <w:rPr>
                <w:sz w:val="20"/>
              </w:rPr>
              <w:t>МБУ ЦСО</w:t>
            </w:r>
          </w:p>
        </w:tc>
        <w:tc>
          <w:tcPr>
            <w:tcW w:type="dxa" w:w="2966"/>
            <w:tcBorders>
              <w:top w:sz="4" w:val="nil"/>
              <w:left w:color="000000" w:sz="4" w:val="single"/>
              <w:bottom w:color="000000" w:sz="4" w:val="single"/>
              <w:right w:color="000000" w:sz="4" w:val="single"/>
            </w:tcBorders>
            <w:vAlign w:val="center"/>
          </w:tcPr>
          <w:p w14:paraId="ED070000">
            <w:pPr>
              <w:spacing w:after="0" w:line="240" w:lineRule="auto"/>
              <w:ind/>
              <w:jc w:val="center"/>
              <w:rPr>
                <w:sz w:val="20"/>
              </w:rPr>
            </w:pPr>
            <w:r>
              <w:rPr>
                <w:sz w:val="20"/>
              </w:rPr>
              <w:t>с. Куйбышево, ул. Цветаева, 31</w:t>
            </w:r>
          </w:p>
        </w:tc>
        <w:tc>
          <w:tcPr>
            <w:tcW w:type="dxa" w:w="1602"/>
            <w:tcBorders>
              <w:top w:sz="4" w:val="nil"/>
              <w:left w:sz="4" w:val="nil"/>
              <w:bottom w:color="000000" w:sz="4" w:val="single"/>
              <w:right w:color="000000" w:sz="4" w:val="single"/>
            </w:tcBorders>
            <w:vAlign w:val="center"/>
          </w:tcPr>
          <w:p w14:paraId="EE070000">
            <w:pPr>
              <w:spacing w:after="0" w:line="240" w:lineRule="auto"/>
              <w:ind/>
              <w:jc w:val="center"/>
              <w:rPr>
                <w:sz w:val="20"/>
              </w:rPr>
            </w:pPr>
            <w:r>
              <w:rPr>
                <w:sz w:val="20"/>
              </w:rPr>
              <w:t>с. Куйбышево, ул. Цветаева, 31</w:t>
            </w:r>
          </w:p>
        </w:tc>
        <w:tc>
          <w:tcPr>
            <w:tcW w:type="dxa" w:w="1292"/>
            <w:tcBorders>
              <w:top w:sz="4" w:val="nil"/>
              <w:left w:sz="4" w:val="nil"/>
              <w:bottom w:color="000000" w:sz="4" w:val="single"/>
              <w:right w:color="000000" w:sz="4" w:val="single"/>
            </w:tcBorders>
            <w:vAlign w:val="center"/>
          </w:tcPr>
          <w:p w14:paraId="EF070000">
            <w:pPr>
              <w:spacing w:after="0" w:line="240" w:lineRule="auto"/>
              <w:ind/>
              <w:jc w:val="center"/>
              <w:rPr>
                <w:sz w:val="20"/>
              </w:rPr>
            </w:pPr>
            <w:r>
              <w:rPr>
                <w:sz w:val="20"/>
              </w:rPr>
              <w:t>нет</w:t>
            </w:r>
          </w:p>
        </w:tc>
      </w:tr>
      <w:tr>
        <w:trPr>
          <w:trHeight w:hRule="atLeast" w:val="203"/>
        </w:trPr>
        <w:tc>
          <w:tcPr>
            <w:tcW w:type="dxa" w:w="3665"/>
            <w:tcBorders>
              <w:top w:sz="4" w:val="nil"/>
              <w:left w:color="000000" w:sz="4" w:val="single"/>
              <w:bottom w:color="000000" w:sz="4" w:val="single"/>
              <w:right w:sz="4" w:val="nil"/>
            </w:tcBorders>
            <w:vAlign w:val="center"/>
          </w:tcPr>
          <w:p w14:paraId="F0070000">
            <w:pPr>
              <w:spacing w:after="0" w:line="240" w:lineRule="auto"/>
              <w:ind/>
              <w:rPr>
                <w:sz w:val="20"/>
              </w:rPr>
            </w:pPr>
            <w:r>
              <w:rPr>
                <w:sz w:val="20"/>
              </w:rPr>
              <w:t>Администрация Куйбышевского района</w:t>
            </w:r>
          </w:p>
        </w:tc>
        <w:tc>
          <w:tcPr>
            <w:tcW w:type="dxa" w:w="2966"/>
            <w:tcBorders>
              <w:top w:sz="4" w:val="nil"/>
              <w:left w:color="000000" w:sz="4" w:val="single"/>
              <w:bottom w:color="000000" w:sz="4" w:val="single"/>
              <w:right w:color="000000" w:sz="4" w:val="single"/>
            </w:tcBorders>
            <w:vAlign w:val="center"/>
          </w:tcPr>
          <w:p w14:paraId="F1070000">
            <w:pPr>
              <w:spacing w:after="0" w:line="240" w:lineRule="auto"/>
              <w:ind/>
              <w:jc w:val="center"/>
              <w:rPr>
                <w:sz w:val="20"/>
              </w:rPr>
            </w:pPr>
            <w:r>
              <w:rPr>
                <w:sz w:val="20"/>
              </w:rPr>
              <w:t>с. Куйбышево, ул. Куйбышевская, 24</w:t>
            </w:r>
          </w:p>
        </w:tc>
        <w:tc>
          <w:tcPr>
            <w:tcW w:type="dxa" w:w="1602"/>
            <w:tcBorders>
              <w:top w:sz="4" w:val="nil"/>
              <w:left w:sz="4" w:val="nil"/>
              <w:bottom w:color="000000" w:sz="4" w:val="single"/>
              <w:right w:color="000000" w:sz="4" w:val="single"/>
            </w:tcBorders>
            <w:vAlign w:val="center"/>
          </w:tcPr>
          <w:p w14:paraId="F2070000">
            <w:pPr>
              <w:spacing w:after="0" w:line="240" w:lineRule="auto"/>
              <w:ind/>
              <w:jc w:val="center"/>
              <w:rPr>
                <w:sz w:val="20"/>
              </w:rPr>
            </w:pPr>
            <w:r>
              <w:rPr>
                <w:sz w:val="20"/>
              </w:rPr>
              <w:t>с. Куйбышево,</w:t>
            </w:r>
            <w:r>
              <w:rPr>
                <w:sz w:val="20"/>
              </w:rPr>
              <w:t xml:space="preserve"> ул. Куйбышевская, 24</w:t>
            </w:r>
          </w:p>
        </w:tc>
        <w:tc>
          <w:tcPr>
            <w:tcW w:type="dxa" w:w="1292"/>
            <w:tcBorders>
              <w:top w:sz="4" w:val="nil"/>
              <w:left w:sz="4" w:val="nil"/>
              <w:bottom w:color="000000" w:sz="4" w:val="single"/>
              <w:right w:color="000000" w:sz="4" w:val="single"/>
            </w:tcBorders>
            <w:vAlign w:val="center"/>
          </w:tcPr>
          <w:p w14:paraId="F3070000">
            <w:pPr>
              <w:spacing w:after="0" w:line="240" w:lineRule="auto"/>
              <w:ind/>
              <w:jc w:val="center"/>
              <w:rPr>
                <w:sz w:val="20"/>
              </w:rPr>
            </w:pPr>
            <w:r>
              <w:rPr>
                <w:sz w:val="20"/>
              </w:rPr>
              <w:t>да</w:t>
            </w:r>
          </w:p>
        </w:tc>
      </w:tr>
      <w:tr>
        <w:trPr>
          <w:trHeight w:hRule="atLeast" w:val="503"/>
        </w:trPr>
        <w:tc>
          <w:tcPr>
            <w:tcW w:type="dxa" w:w="3665"/>
            <w:tcBorders>
              <w:top w:sz="4" w:val="nil"/>
              <w:left w:color="000000" w:sz="4" w:val="single"/>
              <w:bottom w:color="000000" w:sz="4" w:val="single"/>
              <w:right w:sz="4" w:val="nil"/>
            </w:tcBorders>
            <w:vAlign w:val="center"/>
          </w:tcPr>
          <w:p w14:paraId="F4070000">
            <w:pPr>
              <w:spacing w:after="0" w:line="240" w:lineRule="auto"/>
              <w:ind/>
              <w:rPr>
                <w:sz w:val="20"/>
              </w:rPr>
            </w:pPr>
            <w:r>
              <w:rPr>
                <w:sz w:val="20"/>
              </w:rPr>
              <w:t>Администрация Куйбышевского района</w:t>
            </w:r>
          </w:p>
        </w:tc>
        <w:tc>
          <w:tcPr>
            <w:tcW w:type="dxa" w:w="2966"/>
            <w:tcBorders>
              <w:top w:sz="4" w:val="nil"/>
              <w:left w:color="000000" w:sz="4" w:val="single"/>
              <w:bottom w:color="000000" w:sz="4" w:val="single"/>
              <w:right w:color="000000" w:sz="4" w:val="single"/>
            </w:tcBorders>
            <w:vAlign w:val="center"/>
          </w:tcPr>
          <w:p w14:paraId="F5070000">
            <w:pPr>
              <w:spacing w:after="0" w:line="240" w:lineRule="auto"/>
              <w:ind/>
              <w:jc w:val="center"/>
              <w:rPr>
                <w:sz w:val="20"/>
              </w:rPr>
            </w:pPr>
            <w:r>
              <w:rPr>
                <w:sz w:val="20"/>
              </w:rPr>
              <w:t>с. Куйбышево, ул. Куйбышевская, 20</w:t>
            </w:r>
          </w:p>
        </w:tc>
        <w:tc>
          <w:tcPr>
            <w:tcW w:type="dxa" w:w="1602"/>
            <w:tcBorders>
              <w:top w:sz="4" w:val="nil"/>
              <w:left w:sz="4" w:val="nil"/>
              <w:bottom w:color="000000" w:sz="4" w:val="single"/>
              <w:right w:color="000000" w:sz="4" w:val="single"/>
            </w:tcBorders>
            <w:vAlign w:val="center"/>
          </w:tcPr>
          <w:p w14:paraId="F6070000">
            <w:pPr>
              <w:spacing w:after="0" w:line="240" w:lineRule="auto"/>
              <w:ind/>
              <w:jc w:val="center"/>
              <w:rPr>
                <w:sz w:val="20"/>
              </w:rPr>
            </w:pPr>
            <w:r>
              <w:rPr>
                <w:sz w:val="20"/>
              </w:rPr>
              <w:t>с. Куйбышево, ул. Куйбышевская, 20</w:t>
            </w:r>
          </w:p>
        </w:tc>
        <w:tc>
          <w:tcPr>
            <w:tcW w:type="dxa" w:w="1292"/>
            <w:tcBorders>
              <w:top w:sz="4" w:val="nil"/>
              <w:left w:sz="4" w:val="nil"/>
              <w:bottom w:color="000000" w:sz="4" w:val="single"/>
              <w:right w:color="000000" w:sz="4" w:val="single"/>
            </w:tcBorders>
            <w:vAlign w:val="center"/>
          </w:tcPr>
          <w:p w14:paraId="F7070000">
            <w:pPr>
              <w:spacing w:after="0" w:line="240" w:lineRule="auto"/>
              <w:ind/>
              <w:jc w:val="center"/>
              <w:rPr>
                <w:sz w:val="20"/>
              </w:rPr>
            </w:pPr>
            <w:r>
              <w:rPr>
                <w:sz w:val="20"/>
              </w:rPr>
              <w:t>нет</w:t>
            </w:r>
          </w:p>
        </w:tc>
      </w:tr>
      <w:tr>
        <w:trPr>
          <w:trHeight w:hRule="atLeast" w:val="551"/>
        </w:trPr>
        <w:tc>
          <w:tcPr>
            <w:tcW w:type="dxa" w:w="3665"/>
            <w:tcBorders>
              <w:top w:sz="4" w:val="nil"/>
              <w:left w:color="000000" w:sz="4" w:val="single"/>
              <w:bottom w:color="000000" w:sz="4" w:val="single"/>
              <w:right w:color="000000" w:sz="4" w:val="single"/>
            </w:tcBorders>
            <w:vAlign w:val="center"/>
          </w:tcPr>
          <w:p w14:paraId="F8070000">
            <w:pPr>
              <w:spacing w:after="0" w:line="240" w:lineRule="auto"/>
              <w:ind/>
              <w:rPr>
                <w:sz w:val="20"/>
              </w:rPr>
            </w:pPr>
            <w:r>
              <w:rPr>
                <w:sz w:val="20"/>
              </w:rPr>
              <w:t>ГБУ РО "ЦРБ" (стационар)</w:t>
            </w:r>
          </w:p>
        </w:tc>
        <w:tc>
          <w:tcPr>
            <w:tcW w:type="dxa" w:w="2966"/>
            <w:tcBorders>
              <w:top w:sz="4" w:val="nil"/>
              <w:left w:sz="4" w:val="nil"/>
              <w:bottom w:color="000000" w:sz="4" w:val="single"/>
              <w:right w:color="000000" w:sz="4" w:val="single"/>
            </w:tcBorders>
            <w:vAlign w:val="center"/>
          </w:tcPr>
          <w:p w14:paraId="F9070000">
            <w:pPr>
              <w:spacing w:after="0" w:line="240" w:lineRule="auto"/>
              <w:ind/>
              <w:jc w:val="center"/>
              <w:rPr>
                <w:sz w:val="20"/>
              </w:rPr>
            </w:pPr>
            <w:r>
              <w:rPr>
                <w:sz w:val="20"/>
              </w:rPr>
              <w:t>с. Куйбышево, ул. Миусская, 3</w:t>
            </w:r>
          </w:p>
        </w:tc>
        <w:tc>
          <w:tcPr>
            <w:tcW w:type="dxa" w:w="1602"/>
            <w:tcBorders>
              <w:top w:sz="4" w:val="nil"/>
              <w:left w:sz="4" w:val="nil"/>
              <w:bottom w:color="000000" w:sz="4" w:val="single"/>
              <w:right w:color="000000" w:sz="4" w:val="single"/>
            </w:tcBorders>
            <w:vAlign w:val="center"/>
          </w:tcPr>
          <w:p w14:paraId="FA070000">
            <w:pPr>
              <w:spacing w:after="0" w:line="240" w:lineRule="auto"/>
              <w:ind/>
              <w:jc w:val="center"/>
              <w:rPr>
                <w:sz w:val="20"/>
              </w:rPr>
            </w:pPr>
            <w:r>
              <w:rPr>
                <w:sz w:val="20"/>
              </w:rPr>
              <w:t>с. Куйбышево, ул. Миусская, 3</w:t>
            </w:r>
          </w:p>
        </w:tc>
        <w:tc>
          <w:tcPr>
            <w:tcW w:type="dxa" w:w="1292"/>
            <w:tcBorders>
              <w:top w:sz="4" w:val="nil"/>
              <w:left w:sz="4" w:val="nil"/>
              <w:bottom w:color="000000" w:sz="4" w:val="single"/>
              <w:right w:color="000000" w:sz="4" w:val="single"/>
            </w:tcBorders>
            <w:vAlign w:val="center"/>
          </w:tcPr>
          <w:p w14:paraId="FB070000">
            <w:pPr>
              <w:spacing w:after="0" w:line="240" w:lineRule="auto"/>
              <w:ind/>
              <w:jc w:val="center"/>
              <w:rPr>
                <w:sz w:val="20"/>
              </w:rPr>
            </w:pPr>
            <w:r>
              <w:rPr>
                <w:sz w:val="20"/>
              </w:rPr>
              <w:t>нет</w:t>
            </w:r>
          </w:p>
        </w:tc>
      </w:tr>
      <w:tr>
        <w:trPr>
          <w:trHeight w:hRule="atLeast" w:val="433"/>
        </w:trPr>
        <w:tc>
          <w:tcPr>
            <w:tcW w:type="dxa" w:w="3665"/>
            <w:tcBorders>
              <w:top w:sz="4" w:val="nil"/>
              <w:left w:color="000000" w:sz="4" w:val="single"/>
              <w:bottom w:color="000000" w:sz="4" w:val="single"/>
              <w:right w:color="000000" w:sz="4" w:val="single"/>
            </w:tcBorders>
            <w:vAlign w:val="center"/>
          </w:tcPr>
          <w:p w14:paraId="FC070000">
            <w:pPr>
              <w:spacing w:after="0" w:line="240" w:lineRule="auto"/>
              <w:ind/>
              <w:rPr>
                <w:sz w:val="20"/>
              </w:rPr>
            </w:pPr>
            <w:r>
              <w:rPr>
                <w:sz w:val="20"/>
              </w:rPr>
              <w:t>ГБУ РО "ЦРБ" (поликлиника)</w:t>
            </w:r>
          </w:p>
        </w:tc>
        <w:tc>
          <w:tcPr>
            <w:tcW w:type="dxa" w:w="2966"/>
            <w:tcBorders>
              <w:top w:sz="4" w:val="nil"/>
              <w:left w:sz="4" w:val="nil"/>
              <w:bottom w:color="000000" w:sz="4" w:val="single"/>
              <w:right w:color="000000" w:sz="4" w:val="single"/>
            </w:tcBorders>
            <w:vAlign w:val="center"/>
          </w:tcPr>
          <w:p w14:paraId="FD070000">
            <w:pPr>
              <w:spacing w:after="0" w:line="240" w:lineRule="auto"/>
              <w:ind/>
              <w:jc w:val="center"/>
              <w:rPr>
                <w:sz w:val="20"/>
              </w:rPr>
            </w:pPr>
            <w:r>
              <w:rPr>
                <w:sz w:val="20"/>
              </w:rPr>
              <w:t xml:space="preserve">с. </w:t>
            </w:r>
            <w:r>
              <w:rPr>
                <w:sz w:val="20"/>
              </w:rPr>
              <w:t>Куйбышево, ул. Миусская, 3</w:t>
            </w:r>
          </w:p>
        </w:tc>
        <w:tc>
          <w:tcPr>
            <w:tcW w:type="dxa" w:w="1602"/>
            <w:tcBorders>
              <w:top w:sz="4" w:val="nil"/>
              <w:left w:sz="4" w:val="nil"/>
              <w:bottom w:color="000000" w:sz="4" w:val="single"/>
              <w:right w:color="000000" w:sz="4" w:val="single"/>
            </w:tcBorders>
            <w:vAlign w:val="center"/>
          </w:tcPr>
          <w:p w14:paraId="FE070000">
            <w:pPr>
              <w:spacing w:after="0" w:line="240" w:lineRule="auto"/>
              <w:ind/>
              <w:jc w:val="center"/>
              <w:rPr>
                <w:sz w:val="20"/>
              </w:rPr>
            </w:pPr>
            <w:r>
              <w:rPr>
                <w:sz w:val="20"/>
              </w:rPr>
              <w:t>с. Куйбышево, ул. Миусская, 3</w:t>
            </w:r>
          </w:p>
        </w:tc>
        <w:tc>
          <w:tcPr>
            <w:tcW w:type="dxa" w:w="1292"/>
            <w:tcBorders>
              <w:top w:sz="4" w:val="nil"/>
              <w:left w:sz="4" w:val="nil"/>
              <w:bottom w:color="000000" w:sz="4" w:val="single"/>
              <w:right w:color="000000" w:sz="4" w:val="single"/>
            </w:tcBorders>
            <w:vAlign w:val="center"/>
          </w:tcPr>
          <w:p w14:paraId="FF070000">
            <w:pPr>
              <w:spacing w:after="0" w:line="240" w:lineRule="auto"/>
              <w:ind/>
              <w:jc w:val="center"/>
              <w:rPr>
                <w:sz w:val="20"/>
              </w:rPr>
            </w:pPr>
            <w:r>
              <w:rPr>
                <w:sz w:val="20"/>
              </w:rPr>
              <w:t>нет</w:t>
            </w:r>
          </w:p>
        </w:tc>
      </w:tr>
      <w:tr>
        <w:trPr>
          <w:trHeight w:hRule="atLeast" w:val="486"/>
        </w:trPr>
        <w:tc>
          <w:tcPr>
            <w:tcW w:type="dxa" w:w="3665"/>
            <w:tcBorders>
              <w:top w:sz="4" w:val="nil"/>
              <w:left w:color="000000" w:sz="4" w:val="single"/>
              <w:bottom w:color="000000" w:sz="4" w:val="single"/>
              <w:right w:color="000000" w:sz="4" w:val="single"/>
            </w:tcBorders>
            <w:vAlign w:val="center"/>
          </w:tcPr>
          <w:p w14:paraId="00080000">
            <w:pPr>
              <w:spacing w:after="0" w:line="240" w:lineRule="auto"/>
              <w:ind/>
              <w:rPr>
                <w:sz w:val="20"/>
              </w:rPr>
            </w:pPr>
            <w:r>
              <w:rPr>
                <w:sz w:val="20"/>
              </w:rPr>
              <w:t>ГБУ РО "ЦРБ" (административный корпус)</w:t>
            </w:r>
          </w:p>
        </w:tc>
        <w:tc>
          <w:tcPr>
            <w:tcW w:type="dxa" w:w="2966"/>
            <w:tcBorders>
              <w:top w:sz="4" w:val="nil"/>
              <w:left w:sz="4" w:val="nil"/>
              <w:bottom w:color="000000" w:sz="4" w:val="single"/>
              <w:right w:color="000000" w:sz="4" w:val="single"/>
            </w:tcBorders>
            <w:vAlign w:val="center"/>
          </w:tcPr>
          <w:p w14:paraId="01080000">
            <w:pPr>
              <w:spacing w:after="0" w:line="240" w:lineRule="auto"/>
              <w:ind/>
              <w:jc w:val="center"/>
              <w:rPr>
                <w:sz w:val="20"/>
              </w:rPr>
            </w:pPr>
            <w:r>
              <w:rPr>
                <w:sz w:val="20"/>
              </w:rPr>
              <w:t>с. Куйбышево, ул. Миусская, 3</w:t>
            </w:r>
          </w:p>
        </w:tc>
        <w:tc>
          <w:tcPr>
            <w:tcW w:type="dxa" w:w="1602"/>
            <w:tcBorders>
              <w:top w:sz="4" w:val="nil"/>
              <w:left w:sz="4" w:val="nil"/>
              <w:bottom w:color="000000" w:sz="4" w:val="single"/>
              <w:right w:color="000000" w:sz="4" w:val="single"/>
            </w:tcBorders>
            <w:vAlign w:val="center"/>
          </w:tcPr>
          <w:p w14:paraId="02080000">
            <w:pPr>
              <w:spacing w:after="0" w:line="240" w:lineRule="auto"/>
              <w:ind/>
              <w:jc w:val="center"/>
              <w:rPr>
                <w:sz w:val="20"/>
              </w:rPr>
            </w:pPr>
            <w:r>
              <w:rPr>
                <w:sz w:val="20"/>
              </w:rPr>
              <w:t>с. Куйбышево, ул. Миусская, 3</w:t>
            </w:r>
          </w:p>
        </w:tc>
        <w:tc>
          <w:tcPr>
            <w:tcW w:type="dxa" w:w="1292"/>
            <w:tcBorders>
              <w:top w:sz="4" w:val="nil"/>
              <w:left w:sz="4" w:val="nil"/>
              <w:bottom w:color="000000" w:sz="4" w:val="single"/>
              <w:right w:color="000000" w:sz="4" w:val="single"/>
            </w:tcBorders>
            <w:vAlign w:val="center"/>
          </w:tcPr>
          <w:p w14:paraId="03080000">
            <w:pPr>
              <w:spacing w:after="0" w:line="240" w:lineRule="auto"/>
              <w:ind/>
              <w:jc w:val="center"/>
              <w:rPr>
                <w:sz w:val="20"/>
              </w:rPr>
            </w:pPr>
            <w:r>
              <w:rPr>
                <w:sz w:val="20"/>
              </w:rPr>
              <w:t>нет</w:t>
            </w:r>
          </w:p>
        </w:tc>
      </w:tr>
      <w:tr>
        <w:trPr>
          <w:trHeight w:hRule="atLeast" w:val="675"/>
        </w:trPr>
        <w:tc>
          <w:tcPr>
            <w:tcW w:type="dxa" w:w="3665"/>
            <w:tcBorders>
              <w:top w:sz="4" w:val="nil"/>
              <w:left w:color="000000" w:sz="4" w:val="single"/>
              <w:bottom w:color="000000" w:sz="4" w:val="single"/>
              <w:right w:color="000000" w:sz="4" w:val="single"/>
            </w:tcBorders>
            <w:vAlign w:val="center"/>
          </w:tcPr>
          <w:p w14:paraId="04080000">
            <w:pPr>
              <w:spacing w:after="0" w:line="240" w:lineRule="auto"/>
              <w:ind/>
              <w:rPr>
                <w:sz w:val="20"/>
              </w:rPr>
            </w:pPr>
            <w:r>
              <w:rPr>
                <w:sz w:val="20"/>
              </w:rPr>
              <w:t>ГБУ РО "ЦРБ"  (административно-хозяйственный корпус)</w:t>
            </w:r>
          </w:p>
        </w:tc>
        <w:tc>
          <w:tcPr>
            <w:tcW w:type="dxa" w:w="2966"/>
            <w:tcBorders>
              <w:top w:sz="4" w:val="nil"/>
              <w:left w:sz="4" w:val="nil"/>
              <w:bottom w:color="000000" w:sz="4" w:val="single"/>
              <w:right w:color="000000" w:sz="4" w:val="single"/>
            </w:tcBorders>
            <w:vAlign w:val="center"/>
          </w:tcPr>
          <w:p w14:paraId="05080000">
            <w:pPr>
              <w:spacing w:after="0" w:line="240" w:lineRule="auto"/>
              <w:ind/>
              <w:jc w:val="center"/>
              <w:rPr>
                <w:sz w:val="20"/>
              </w:rPr>
            </w:pPr>
            <w:r>
              <w:rPr>
                <w:sz w:val="20"/>
              </w:rPr>
              <w:t>с. Куйбышево, ул. Миусская, 3</w:t>
            </w:r>
          </w:p>
        </w:tc>
        <w:tc>
          <w:tcPr>
            <w:tcW w:type="dxa" w:w="1602"/>
            <w:tcBorders>
              <w:top w:sz="4" w:val="nil"/>
              <w:left w:sz="4" w:val="nil"/>
              <w:bottom w:color="000000" w:sz="4" w:val="single"/>
              <w:right w:color="000000" w:sz="4" w:val="single"/>
            </w:tcBorders>
            <w:vAlign w:val="center"/>
          </w:tcPr>
          <w:p w14:paraId="06080000">
            <w:pPr>
              <w:spacing w:after="0" w:line="240" w:lineRule="auto"/>
              <w:ind/>
              <w:jc w:val="center"/>
              <w:rPr>
                <w:sz w:val="20"/>
              </w:rPr>
            </w:pPr>
            <w:r>
              <w:rPr>
                <w:sz w:val="20"/>
              </w:rPr>
              <w:t xml:space="preserve">с. </w:t>
            </w:r>
            <w:r>
              <w:rPr>
                <w:sz w:val="20"/>
              </w:rPr>
              <w:t>Куйбышево, ул. Миусская, 3</w:t>
            </w:r>
          </w:p>
        </w:tc>
        <w:tc>
          <w:tcPr>
            <w:tcW w:type="dxa" w:w="1292"/>
            <w:tcBorders>
              <w:top w:sz="4" w:val="nil"/>
              <w:left w:sz="4" w:val="nil"/>
              <w:bottom w:color="000000" w:sz="4" w:val="single"/>
              <w:right w:color="000000" w:sz="4" w:val="single"/>
            </w:tcBorders>
            <w:vAlign w:val="center"/>
          </w:tcPr>
          <w:p w14:paraId="07080000">
            <w:pPr>
              <w:spacing w:after="0" w:line="240" w:lineRule="auto"/>
              <w:ind/>
              <w:jc w:val="center"/>
              <w:rPr>
                <w:sz w:val="20"/>
              </w:rPr>
            </w:pPr>
            <w:r>
              <w:rPr>
                <w:sz w:val="20"/>
              </w:rPr>
              <w:t>нет</w:t>
            </w:r>
          </w:p>
        </w:tc>
      </w:tr>
      <w:tr>
        <w:trPr>
          <w:trHeight w:hRule="atLeast" w:val="345"/>
        </w:trPr>
        <w:tc>
          <w:tcPr>
            <w:tcW w:type="dxa" w:w="3665"/>
            <w:tcBorders>
              <w:top w:sz="4" w:val="nil"/>
              <w:left w:color="000000" w:sz="4" w:val="single"/>
              <w:bottom w:color="000000" w:sz="4" w:val="single"/>
              <w:right w:color="000000" w:sz="4" w:val="single"/>
            </w:tcBorders>
            <w:vAlign w:val="center"/>
          </w:tcPr>
          <w:p w14:paraId="08080000">
            <w:pPr>
              <w:spacing w:after="0" w:line="240" w:lineRule="auto"/>
              <w:ind/>
              <w:rPr>
                <w:sz w:val="20"/>
              </w:rPr>
            </w:pPr>
            <w:r>
              <w:rPr>
                <w:sz w:val="20"/>
              </w:rPr>
              <w:t>ГБУ РО "ЦРБ" (кухня)</w:t>
            </w:r>
          </w:p>
        </w:tc>
        <w:tc>
          <w:tcPr>
            <w:tcW w:type="dxa" w:w="2966"/>
            <w:tcBorders>
              <w:top w:sz="4" w:val="nil"/>
              <w:left w:sz="4" w:val="nil"/>
              <w:bottom w:color="000000" w:sz="4" w:val="single"/>
              <w:right w:color="000000" w:sz="4" w:val="single"/>
            </w:tcBorders>
            <w:vAlign w:val="center"/>
          </w:tcPr>
          <w:p w14:paraId="09080000">
            <w:pPr>
              <w:spacing w:after="0" w:line="240" w:lineRule="auto"/>
              <w:ind/>
              <w:jc w:val="center"/>
              <w:rPr>
                <w:sz w:val="20"/>
              </w:rPr>
            </w:pPr>
            <w:r>
              <w:rPr>
                <w:sz w:val="20"/>
              </w:rPr>
              <w:t>с. Куйбышево, ул. Миусская, 3</w:t>
            </w:r>
          </w:p>
        </w:tc>
        <w:tc>
          <w:tcPr>
            <w:tcW w:type="dxa" w:w="1602"/>
            <w:tcBorders>
              <w:top w:sz="4" w:val="nil"/>
              <w:left w:sz="4" w:val="nil"/>
              <w:bottom w:color="000000" w:sz="4" w:val="single"/>
              <w:right w:color="000000" w:sz="4" w:val="single"/>
            </w:tcBorders>
            <w:vAlign w:val="center"/>
          </w:tcPr>
          <w:p w14:paraId="0A080000">
            <w:pPr>
              <w:spacing w:after="0" w:line="240" w:lineRule="auto"/>
              <w:ind/>
              <w:jc w:val="center"/>
              <w:rPr>
                <w:sz w:val="20"/>
              </w:rPr>
            </w:pPr>
            <w:r>
              <w:rPr>
                <w:sz w:val="20"/>
              </w:rPr>
              <w:t>с. Куйбышево, ул. Миусская, 3</w:t>
            </w:r>
          </w:p>
        </w:tc>
        <w:tc>
          <w:tcPr>
            <w:tcW w:type="dxa" w:w="1292"/>
            <w:tcBorders>
              <w:top w:sz="4" w:val="nil"/>
              <w:left w:sz="4" w:val="nil"/>
              <w:bottom w:color="000000" w:sz="4" w:val="single"/>
              <w:right w:color="000000" w:sz="4" w:val="single"/>
            </w:tcBorders>
            <w:vAlign w:val="center"/>
          </w:tcPr>
          <w:p w14:paraId="0B080000">
            <w:pPr>
              <w:spacing w:after="0" w:line="240" w:lineRule="auto"/>
              <w:ind/>
              <w:jc w:val="center"/>
              <w:rPr>
                <w:sz w:val="20"/>
              </w:rPr>
            </w:pPr>
            <w:r>
              <w:rPr>
                <w:sz w:val="20"/>
              </w:rPr>
              <w:t>нет</w:t>
            </w:r>
          </w:p>
        </w:tc>
      </w:tr>
      <w:tr>
        <w:trPr>
          <w:trHeight w:hRule="atLeast" w:val="345"/>
        </w:trPr>
        <w:tc>
          <w:tcPr>
            <w:tcW w:type="dxa" w:w="3665"/>
            <w:tcBorders>
              <w:top w:sz="4" w:val="nil"/>
              <w:left w:color="000000" w:sz="4" w:val="single"/>
              <w:bottom w:color="000000" w:sz="4" w:val="single"/>
              <w:right w:color="000000" w:sz="4" w:val="single"/>
            </w:tcBorders>
            <w:vAlign w:val="center"/>
          </w:tcPr>
          <w:p w14:paraId="0C080000">
            <w:pPr>
              <w:spacing w:after="0" w:line="240" w:lineRule="auto"/>
              <w:ind/>
              <w:rPr>
                <w:sz w:val="20"/>
              </w:rPr>
            </w:pPr>
            <w:r>
              <w:rPr>
                <w:sz w:val="20"/>
              </w:rPr>
              <w:t>ГБУ РО "ЦРБ" (гараж)</w:t>
            </w:r>
          </w:p>
        </w:tc>
        <w:tc>
          <w:tcPr>
            <w:tcW w:type="dxa" w:w="2966"/>
            <w:tcBorders>
              <w:top w:sz="4" w:val="nil"/>
              <w:left w:sz="4" w:val="nil"/>
              <w:bottom w:color="000000" w:sz="4" w:val="single"/>
              <w:right w:color="000000" w:sz="4" w:val="single"/>
            </w:tcBorders>
            <w:vAlign w:val="center"/>
          </w:tcPr>
          <w:p w14:paraId="0D080000">
            <w:pPr>
              <w:spacing w:after="0" w:line="240" w:lineRule="auto"/>
              <w:ind/>
              <w:jc w:val="center"/>
              <w:rPr>
                <w:sz w:val="20"/>
              </w:rPr>
            </w:pPr>
            <w:r>
              <w:rPr>
                <w:sz w:val="20"/>
              </w:rPr>
              <w:t>с. Куйбышево, ул. Миусская, 3</w:t>
            </w:r>
          </w:p>
        </w:tc>
        <w:tc>
          <w:tcPr>
            <w:tcW w:type="dxa" w:w="1602"/>
            <w:tcBorders>
              <w:top w:sz="4" w:val="nil"/>
              <w:left w:sz="4" w:val="nil"/>
              <w:bottom w:color="000000" w:sz="4" w:val="single"/>
              <w:right w:color="000000" w:sz="4" w:val="single"/>
            </w:tcBorders>
            <w:vAlign w:val="center"/>
          </w:tcPr>
          <w:p w14:paraId="0E080000">
            <w:pPr>
              <w:spacing w:after="0" w:line="240" w:lineRule="auto"/>
              <w:ind/>
              <w:jc w:val="center"/>
              <w:rPr>
                <w:sz w:val="20"/>
              </w:rPr>
            </w:pPr>
            <w:r>
              <w:rPr>
                <w:sz w:val="20"/>
              </w:rPr>
              <w:t>с. Куйбышево, ул. Миусская, 3</w:t>
            </w:r>
          </w:p>
        </w:tc>
        <w:tc>
          <w:tcPr>
            <w:tcW w:type="dxa" w:w="1292"/>
            <w:tcBorders>
              <w:top w:sz="4" w:val="nil"/>
              <w:left w:sz="4" w:val="nil"/>
              <w:bottom w:color="000000" w:sz="4" w:val="single"/>
              <w:right w:color="000000" w:sz="4" w:val="single"/>
            </w:tcBorders>
            <w:vAlign w:val="center"/>
          </w:tcPr>
          <w:p w14:paraId="0F080000">
            <w:pPr>
              <w:spacing w:after="0" w:line="240" w:lineRule="auto"/>
              <w:ind/>
              <w:jc w:val="center"/>
              <w:rPr>
                <w:sz w:val="20"/>
              </w:rPr>
            </w:pPr>
            <w:r>
              <w:rPr>
                <w:sz w:val="20"/>
              </w:rPr>
              <w:t>нет</w:t>
            </w:r>
          </w:p>
        </w:tc>
      </w:tr>
      <w:tr>
        <w:trPr>
          <w:trHeight w:hRule="atLeast" w:val="450"/>
        </w:trPr>
        <w:tc>
          <w:tcPr>
            <w:tcW w:type="dxa" w:w="3665"/>
            <w:tcBorders>
              <w:top w:sz="4" w:val="nil"/>
              <w:left w:color="000000" w:sz="4" w:val="single"/>
              <w:bottom w:color="000000" w:sz="4" w:val="single"/>
              <w:right w:color="000000" w:sz="4" w:val="single"/>
            </w:tcBorders>
            <w:vAlign w:val="center"/>
          </w:tcPr>
          <w:p w14:paraId="10080000">
            <w:pPr>
              <w:spacing w:after="0" w:line="240" w:lineRule="auto"/>
              <w:ind/>
              <w:rPr>
                <w:sz w:val="20"/>
              </w:rPr>
            </w:pPr>
            <w:r>
              <w:rPr>
                <w:sz w:val="20"/>
              </w:rPr>
              <w:t>ГБУ РО "ЦРБ" (флюрографический кабинет)</w:t>
            </w:r>
          </w:p>
        </w:tc>
        <w:tc>
          <w:tcPr>
            <w:tcW w:type="dxa" w:w="2966"/>
            <w:tcBorders>
              <w:top w:sz="4" w:val="nil"/>
              <w:left w:sz="4" w:val="nil"/>
              <w:bottom w:color="000000" w:sz="4" w:val="single"/>
              <w:right w:color="000000" w:sz="4" w:val="single"/>
            </w:tcBorders>
            <w:vAlign w:val="center"/>
          </w:tcPr>
          <w:p w14:paraId="11080000">
            <w:pPr>
              <w:spacing w:after="0" w:line="240" w:lineRule="auto"/>
              <w:ind/>
              <w:jc w:val="center"/>
              <w:rPr>
                <w:sz w:val="20"/>
              </w:rPr>
            </w:pPr>
            <w:r>
              <w:rPr>
                <w:sz w:val="20"/>
              </w:rPr>
              <w:t xml:space="preserve">с. </w:t>
            </w:r>
            <w:r>
              <w:rPr>
                <w:sz w:val="20"/>
              </w:rPr>
              <w:t>Куйбышево, ул. Миусская, 3</w:t>
            </w:r>
          </w:p>
        </w:tc>
        <w:tc>
          <w:tcPr>
            <w:tcW w:type="dxa" w:w="1602"/>
            <w:tcBorders>
              <w:top w:sz="4" w:val="nil"/>
              <w:left w:sz="4" w:val="nil"/>
              <w:bottom w:color="000000" w:sz="4" w:val="single"/>
              <w:right w:color="000000" w:sz="4" w:val="single"/>
            </w:tcBorders>
            <w:vAlign w:val="center"/>
          </w:tcPr>
          <w:p w14:paraId="12080000">
            <w:pPr>
              <w:spacing w:after="0" w:line="240" w:lineRule="auto"/>
              <w:ind/>
              <w:jc w:val="center"/>
              <w:rPr>
                <w:sz w:val="20"/>
              </w:rPr>
            </w:pPr>
            <w:r>
              <w:rPr>
                <w:sz w:val="20"/>
              </w:rPr>
              <w:t>с. Куйбышево, ул. Миусская, 3</w:t>
            </w:r>
          </w:p>
        </w:tc>
        <w:tc>
          <w:tcPr>
            <w:tcW w:type="dxa" w:w="1292"/>
            <w:tcBorders>
              <w:top w:sz="4" w:val="nil"/>
              <w:left w:sz="4" w:val="nil"/>
              <w:bottom w:color="000000" w:sz="4" w:val="single"/>
              <w:right w:color="000000" w:sz="4" w:val="single"/>
            </w:tcBorders>
            <w:vAlign w:val="center"/>
          </w:tcPr>
          <w:p w14:paraId="13080000">
            <w:pPr>
              <w:spacing w:after="0" w:line="240" w:lineRule="auto"/>
              <w:ind/>
              <w:jc w:val="center"/>
              <w:rPr>
                <w:sz w:val="20"/>
              </w:rPr>
            </w:pPr>
            <w:r>
              <w:rPr>
                <w:sz w:val="20"/>
              </w:rPr>
              <w:t>нет</w:t>
            </w:r>
          </w:p>
        </w:tc>
      </w:tr>
      <w:tr>
        <w:trPr>
          <w:trHeight w:hRule="atLeast" w:val="414"/>
        </w:trPr>
        <w:tc>
          <w:tcPr>
            <w:tcW w:type="dxa" w:w="3665"/>
            <w:tcBorders>
              <w:top w:sz="4" w:val="nil"/>
              <w:left w:color="000000" w:sz="4" w:val="single"/>
              <w:bottom w:color="000000" w:sz="4" w:val="single"/>
              <w:right w:color="000000" w:sz="4" w:val="single"/>
            </w:tcBorders>
            <w:vAlign w:val="center"/>
          </w:tcPr>
          <w:p w14:paraId="14080000">
            <w:pPr>
              <w:spacing w:after="0" w:line="240" w:lineRule="auto"/>
              <w:ind/>
              <w:rPr>
                <w:sz w:val="20"/>
              </w:rPr>
            </w:pPr>
            <w:r>
              <w:rPr>
                <w:sz w:val="20"/>
              </w:rPr>
              <w:t>ГБУ РО "ЦРБ" (лаборатория)</w:t>
            </w:r>
          </w:p>
        </w:tc>
        <w:tc>
          <w:tcPr>
            <w:tcW w:type="dxa" w:w="2966"/>
            <w:tcBorders>
              <w:top w:sz="4" w:val="nil"/>
              <w:left w:sz="4" w:val="nil"/>
              <w:bottom w:color="000000" w:sz="4" w:val="single"/>
              <w:right w:color="000000" w:sz="4" w:val="single"/>
            </w:tcBorders>
            <w:vAlign w:val="center"/>
          </w:tcPr>
          <w:p w14:paraId="15080000">
            <w:pPr>
              <w:spacing w:after="0" w:line="240" w:lineRule="auto"/>
              <w:ind/>
              <w:jc w:val="center"/>
              <w:rPr>
                <w:sz w:val="20"/>
              </w:rPr>
            </w:pPr>
            <w:r>
              <w:rPr>
                <w:sz w:val="20"/>
              </w:rPr>
              <w:t>с. Куйбышево, ул. Миусская, 3</w:t>
            </w:r>
          </w:p>
        </w:tc>
        <w:tc>
          <w:tcPr>
            <w:tcW w:type="dxa" w:w="1602"/>
            <w:tcBorders>
              <w:top w:sz="4" w:val="nil"/>
              <w:left w:sz="4" w:val="nil"/>
              <w:bottom w:color="000000" w:sz="4" w:val="single"/>
              <w:right w:color="000000" w:sz="4" w:val="single"/>
            </w:tcBorders>
            <w:vAlign w:val="center"/>
          </w:tcPr>
          <w:p w14:paraId="16080000">
            <w:pPr>
              <w:spacing w:after="0" w:line="240" w:lineRule="auto"/>
              <w:ind/>
              <w:jc w:val="center"/>
              <w:rPr>
                <w:sz w:val="20"/>
              </w:rPr>
            </w:pPr>
            <w:r>
              <w:rPr>
                <w:sz w:val="20"/>
              </w:rPr>
              <w:t>с. Куйбышево, ул. Миусская, 3</w:t>
            </w:r>
          </w:p>
        </w:tc>
        <w:tc>
          <w:tcPr>
            <w:tcW w:type="dxa" w:w="1292"/>
            <w:tcBorders>
              <w:top w:sz="4" w:val="nil"/>
              <w:left w:sz="4" w:val="nil"/>
              <w:bottom w:color="000000" w:sz="4" w:val="single"/>
              <w:right w:color="000000" w:sz="4" w:val="single"/>
            </w:tcBorders>
            <w:vAlign w:val="center"/>
          </w:tcPr>
          <w:p w14:paraId="17080000">
            <w:pPr>
              <w:spacing w:after="0" w:line="240" w:lineRule="auto"/>
              <w:ind/>
              <w:jc w:val="center"/>
              <w:rPr>
                <w:sz w:val="20"/>
              </w:rPr>
            </w:pPr>
            <w:r>
              <w:rPr>
                <w:sz w:val="20"/>
              </w:rPr>
              <w:t>нет</w:t>
            </w:r>
          </w:p>
        </w:tc>
      </w:tr>
      <w:tr>
        <w:trPr>
          <w:trHeight w:hRule="atLeast" w:val="519"/>
        </w:trPr>
        <w:tc>
          <w:tcPr>
            <w:tcW w:type="dxa" w:w="3665"/>
            <w:tcBorders>
              <w:top w:sz="4" w:val="nil"/>
              <w:left w:color="000000" w:sz="4" w:val="single"/>
              <w:bottom w:color="000000" w:sz="4" w:val="single"/>
              <w:right w:color="000000" w:sz="4" w:val="single"/>
            </w:tcBorders>
            <w:vAlign w:val="center"/>
          </w:tcPr>
          <w:p w14:paraId="18080000">
            <w:pPr>
              <w:spacing w:after="0" w:line="240" w:lineRule="auto"/>
              <w:ind/>
              <w:rPr>
                <w:sz w:val="20"/>
              </w:rPr>
            </w:pPr>
            <w:r>
              <w:rPr>
                <w:sz w:val="20"/>
              </w:rPr>
              <w:t>ГБУ РО "ЦРБ" (роддом)</w:t>
            </w:r>
          </w:p>
        </w:tc>
        <w:tc>
          <w:tcPr>
            <w:tcW w:type="dxa" w:w="2966"/>
            <w:tcBorders>
              <w:top w:sz="4" w:val="nil"/>
              <w:left w:sz="4" w:val="nil"/>
              <w:bottom w:color="000000" w:sz="4" w:val="single"/>
              <w:right w:color="000000" w:sz="4" w:val="single"/>
            </w:tcBorders>
            <w:vAlign w:val="center"/>
          </w:tcPr>
          <w:p w14:paraId="19080000">
            <w:pPr>
              <w:spacing w:after="0" w:line="240" w:lineRule="auto"/>
              <w:ind/>
              <w:jc w:val="center"/>
              <w:rPr>
                <w:sz w:val="20"/>
              </w:rPr>
            </w:pPr>
            <w:r>
              <w:rPr>
                <w:sz w:val="20"/>
              </w:rPr>
              <w:t>с. Куйбышево, ул. Миусская, 3</w:t>
            </w:r>
          </w:p>
        </w:tc>
        <w:tc>
          <w:tcPr>
            <w:tcW w:type="dxa" w:w="1602"/>
            <w:tcBorders>
              <w:top w:sz="4" w:val="nil"/>
              <w:left w:sz="4" w:val="nil"/>
              <w:bottom w:color="000000" w:sz="4" w:val="single"/>
              <w:right w:color="000000" w:sz="4" w:val="single"/>
            </w:tcBorders>
            <w:vAlign w:val="center"/>
          </w:tcPr>
          <w:p w14:paraId="1A080000">
            <w:pPr>
              <w:spacing w:after="0" w:line="240" w:lineRule="auto"/>
              <w:ind/>
              <w:jc w:val="center"/>
              <w:rPr>
                <w:sz w:val="20"/>
              </w:rPr>
            </w:pPr>
            <w:r>
              <w:rPr>
                <w:sz w:val="20"/>
              </w:rPr>
              <w:t>с. Куйбышево, ул. Миусская, 3</w:t>
            </w:r>
          </w:p>
        </w:tc>
        <w:tc>
          <w:tcPr>
            <w:tcW w:type="dxa" w:w="1292"/>
            <w:tcBorders>
              <w:top w:sz="4" w:val="nil"/>
              <w:left w:sz="4" w:val="nil"/>
              <w:bottom w:color="000000" w:sz="4" w:val="single"/>
              <w:right w:color="000000" w:sz="4" w:val="single"/>
            </w:tcBorders>
            <w:vAlign w:val="center"/>
          </w:tcPr>
          <w:p w14:paraId="1B080000">
            <w:pPr>
              <w:spacing w:after="0" w:line="240" w:lineRule="auto"/>
              <w:ind/>
              <w:jc w:val="center"/>
              <w:rPr>
                <w:sz w:val="20"/>
              </w:rPr>
            </w:pPr>
            <w:r>
              <w:rPr>
                <w:sz w:val="20"/>
              </w:rPr>
              <w:t>нет</w:t>
            </w:r>
          </w:p>
        </w:tc>
      </w:tr>
      <w:tr>
        <w:trPr>
          <w:trHeight w:hRule="atLeast" w:val="399"/>
        </w:trPr>
        <w:tc>
          <w:tcPr>
            <w:tcW w:type="dxa" w:w="3665"/>
            <w:tcBorders>
              <w:top w:sz="4" w:val="nil"/>
              <w:left w:color="000000" w:sz="4" w:val="single"/>
              <w:bottom w:color="000000" w:sz="4" w:val="single"/>
              <w:right w:color="000000" w:sz="4" w:val="single"/>
            </w:tcBorders>
            <w:vAlign w:val="center"/>
          </w:tcPr>
          <w:p w14:paraId="1C080000">
            <w:pPr>
              <w:spacing w:after="0" w:line="240" w:lineRule="auto"/>
              <w:ind/>
              <w:rPr>
                <w:sz w:val="20"/>
              </w:rPr>
            </w:pPr>
            <w:r>
              <w:rPr>
                <w:sz w:val="20"/>
              </w:rPr>
              <w:t xml:space="preserve">ГБУ РО "ЦРБ" </w:t>
            </w:r>
            <w:r>
              <w:rPr>
                <w:sz w:val="20"/>
              </w:rPr>
              <w:t>(прачечная)</w:t>
            </w:r>
          </w:p>
        </w:tc>
        <w:tc>
          <w:tcPr>
            <w:tcW w:type="dxa" w:w="2966"/>
            <w:tcBorders>
              <w:top w:sz="4" w:val="nil"/>
              <w:left w:sz="4" w:val="nil"/>
              <w:bottom w:color="000000" w:sz="4" w:val="single"/>
              <w:right w:color="000000" w:sz="4" w:val="single"/>
            </w:tcBorders>
            <w:vAlign w:val="center"/>
          </w:tcPr>
          <w:p w14:paraId="1D080000">
            <w:pPr>
              <w:spacing w:after="0" w:line="240" w:lineRule="auto"/>
              <w:ind/>
              <w:jc w:val="center"/>
              <w:rPr>
                <w:sz w:val="20"/>
              </w:rPr>
            </w:pPr>
            <w:r>
              <w:rPr>
                <w:sz w:val="20"/>
              </w:rPr>
              <w:t>с. Куйбышево, ул. Миусская, 3</w:t>
            </w:r>
          </w:p>
        </w:tc>
        <w:tc>
          <w:tcPr>
            <w:tcW w:type="dxa" w:w="1602"/>
            <w:tcBorders>
              <w:top w:sz="4" w:val="nil"/>
              <w:left w:sz="4" w:val="nil"/>
              <w:bottom w:color="000000" w:sz="4" w:val="single"/>
              <w:right w:color="000000" w:sz="4" w:val="single"/>
            </w:tcBorders>
            <w:vAlign w:val="center"/>
          </w:tcPr>
          <w:p w14:paraId="1E080000">
            <w:pPr>
              <w:spacing w:after="0" w:line="240" w:lineRule="auto"/>
              <w:ind/>
              <w:jc w:val="center"/>
              <w:rPr>
                <w:sz w:val="20"/>
              </w:rPr>
            </w:pPr>
            <w:r>
              <w:rPr>
                <w:sz w:val="20"/>
              </w:rPr>
              <w:t>с. Куйбышево, ул. Миусская, 3</w:t>
            </w:r>
          </w:p>
        </w:tc>
        <w:tc>
          <w:tcPr>
            <w:tcW w:type="dxa" w:w="1292"/>
            <w:tcBorders>
              <w:top w:sz="4" w:val="nil"/>
              <w:left w:sz="4" w:val="nil"/>
              <w:bottom w:color="000000" w:sz="4" w:val="single"/>
              <w:right w:color="000000" w:sz="4" w:val="single"/>
            </w:tcBorders>
            <w:vAlign w:val="center"/>
          </w:tcPr>
          <w:p w14:paraId="1F080000">
            <w:pPr>
              <w:spacing w:after="0" w:line="240" w:lineRule="auto"/>
              <w:ind/>
              <w:jc w:val="center"/>
              <w:rPr>
                <w:sz w:val="20"/>
              </w:rPr>
            </w:pPr>
            <w:r>
              <w:rPr>
                <w:sz w:val="20"/>
              </w:rPr>
              <w:t>нет</w:t>
            </w:r>
          </w:p>
        </w:tc>
      </w:tr>
    </w:tbl>
    <w:p w14:paraId="20080000">
      <w:pPr>
        <w:pStyle w:val="Style_8"/>
        <w:spacing w:before="200"/>
        <w:ind w:firstLine="709" w:left="0"/>
        <w:jc w:val="both"/>
        <w:rPr>
          <w:sz w:val="28"/>
        </w:rPr>
      </w:pPr>
      <w:r>
        <w:rPr>
          <w:sz w:val="28"/>
        </w:rPr>
        <w:t>к) Статистика отказов и восстановлений оборудования источников тепловой энергии.</w:t>
      </w:r>
    </w:p>
    <w:p w14:paraId="21080000">
      <w:pPr>
        <w:pStyle w:val="Style_8"/>
        <w:ind w:firstLine="709" w:left="0"/>
        <w:jc w:val="both"/>
        <w:rPr>
          <w:sz w:val="28"/>
        </w:rPr>
      </w:pPr>
      <w:r>
        <w:rPr>
          <w:sz w:val="28"/>
        </w:rPr>
        <w:t>Данные по аварийным ситуациям на источниках теплоснабжения отсутствуют.</w:t>
      </w:r>
    </w:p>
    <w:p w14:paraId="22080000">
      <w:pPr>
        <w:pStyle w:val="Style_8"/>
        <w:ind w:firstLine="709" w:left="0"/>
        <w:jc w:val="both"/>
        <w:rPr>
          <w:sz w:val="28"/>
        </w:rPr>
      </w:pPr>
      <w:r>
        <w:rPr>
          <w:sz w:val="28"/>
        </w:rPr>
        <w:t xml:space="preserve">л) Предписания надзорных органов по запрещению дальнейшей эксплуатации источников тепловой энергии. </w:t>
      </w:r>
    </w:p>
    <w:p w14:paraId="23080000">
      <w:pPr>
        <w:pStyle w:val="Style_8"/>
        <w:ind w:firstLine="709" w:left="0"/>
        <w:jc w:val="both"/>
        <w:rPr>
          <w:sz w:val="28"/>
        </w:rPr>
      </w:pPr>
      <w:r>
        <w:rPr>
          <w:sz w:val="28"/>
        </w:rPr>
        <w:t xml:space="preserve">Предписаний надзорных органов по запрещению дальнейшей эксплуатации источников тепловой энергии не было. </w:t>
      </w:r>
    </w:p>
    <w:p w14:paraId="24080000">
      <w:pPr>
        <w:pStyle w:val="Style_8"/>
        <w:ind w:firstLine="709" w:left="0"/>
        <w:jc w:val="both"/>
        <w:rPr>
          <w:sz w:val="28"/>
        </w:rPr>
      </w:pPr>
      <w:r>
        <w:rPr>
          <w:sz w:val="28"/>
        </w:rPr>
        <w:t>м) Перечень источников тепловой энергии и (или) о</w:t>
      </w:r>
      <w:r>
        <w:rPr>
          <w:sz w:val="28"/>
        </w:rPr>
        <w:t>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w:t>
      </w:r>
      <w:r>
        <w:rPr>
          <w:sz w:val="28"/>
        </w:rPr>
        <w:t>ом режиме в целях обеспечения надёжного теплоснабжения потребителей.</w:t>
      </w:r>
    </w:p>
    <w:p w14:paraId="25080000">
      <w:pPr>
        <w:pStyle w:val="Style_8"/>
        <w:ind w:firstLine="709" w:left="0"/>
        <w:jc w:val="both"/>
        <w:rPr>
          <w:sz w:val="28"/>
        </w:rPr>
      </w:pPr>
      <w:r>
        <w:rPr>
          <w:sz w:val="28"/>
        </w:rPr>
        <w:t>На территории Куйбышевского сельского поселения источники тепловой энергии, функционирующие в режиме комбинированной выработки электрической и тепловой энергии, отсутствуют.</w:t>
      </w:r>
    </w:p>
    <w:p w14:paraId="26080000">
      <w:pPr>
        <w:pStyle w:val="Style_8"/>
        <w:ind w:firstLine="709" w:left="0"/>
        <w:jc w:val="center"/>
        <w:rPr>
          <w:b w:val="1"/>
          <w:sz w:val="28"/>
        </w:rPr>
      </w:pPr>
      <w:r>
        <w:rPr>
          <w:b w:val="1"/>
          <w:sz w:val="28"/>
        </w:rPr>
        <w:t>Часть 3 «Тепл</w:t>
      </w:r>
      <w:r>
        <w:rPr>
          <w:b w:val="1"/>
          <w:sz w:val="28"/>
        </w:rPr>
        <w:t>овые сети, сооружения на них Куйбышевского сельского поселения Куйбышевского района»</w:t>
      </w:r>
    </w:p>
    <w:p w14:paraId="27080000">
      <w:pPr>
        <w:pStyle w:val="Style_8"/>
        <w:ind w:firstLine="709" w:left="0"/>
        <w:jc w:val="both"/>
        <w:rPr>
          <w:b w:val="1"/>
          <w:sz w:val="28"/>
        </w:rPr>
      </w:pPr>
      <w:r>
        <w:rPr>
          <w:sz w:val="28"/>
        </w:rPr>
        <w:t xml:space="preserve">а) Описание структуры тепловых сетей от каждого источника тепловой </w:t>
      </w:r>
    </w:p>
    <w:p w14:paraId="28080000">
      <w:pPr>
        <w:pStyle w:val="Style_8"/>
        <w:ind/>
        <w:jc w:val="both"/>
        <w:rPr>
          <w:sz w:val="28"/>
        </w:rPr>
      </w:pPr>
      <w:r>
        <w:rPr>
          <w:sz w:val="28"/>
        </w:rPr>
        <w:t xml:space="preserve">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w:t>
      </w:r>
    </w:p>
    <w:p w14:paraId="29080000">
      <w:pPr>
        <w:pStyle w:val="Style_8"/>
        <w:ind w:firstLine="709" w:left="0"/>
        <w:jc w:val="both"/>
        <w:rPr>
          <w:sz w:val="28"/>
        </w:rPr>
      </w:pPr>
      <w:r>
        <w:rPr>
          <w:sz w:val="28"/>
        </w:rPr>
        <w:t>Котельная по адресу: с. Куйбышево, ул. Пролетарская, 7 установлены в н</w:t>
      </w:r>
      <w:r>
        <w:rPr>
          <w:sz w:val="28"/>
        </w:rPr>
        <w:t>епосредственной близости от потребителей тепловой энергии. Тепловые сети протяжённостью 1446,9 п. м.. Прокладка трубопроводов надземная. В качестве тепловой изоляции используется пенно-полиуретан (ППУ), техническое состояние тепловых сетей – требует ремонт</w:t>
      </w:r>
      <w:r>
        <w:rPr>
          <w:sz w:val="28"/>
        </w:rPr>
        <w:t xml:space="preserve">а. Средний диаметр (D) тепловых сетей 150 мм. По остальным котельным тепловые сети не предусмотрены, поскольку котельные находятся в пристроенных, рядом стоящих помещениях и непосредственно в зданиях отапливаемых ими объектах.  </w:t>
      </w:r>
    </w:p>
    <w:p w14:paraId="2A080000">
      <w:pPr>
        <w:pStyle w:val="Style_8"/>
        <w:spacing w:after="0"/>
        <w:ind w:firstLine="709" w:left="0"/>
        <w:jc w:val="both"/>
        <w:rPr>
          <w:sz w:val="28"/>
        </w:rPr>
      </w:pPr>
      <w:r>
        <w:rPr>
          <w:sz w:val="28"/>
        </w:rPr>
        <w:t>б) Карты (схемы) тепловых с</w:t>
      </w:r>
      <w:r>
        <w:rPr>
          <w:sz w:val="28"/>
        </w:rPr>
        <w:t>етей в зонах действия источников тепловой энергии в электронной форме и (или) на бумажном носителе.</w:t>
      </w:r>
    </w:p>
    <w:p w14:paraId="2B080000">
      <w:pPr>
        <w:pStyle w:val="Style_8"/>
        <w:spacing w:after="0"/>
        <w:ind w:firstLine="709" w:left="0"/>
        <w:jc w:val="both"/>
        <w:rPr>
          <w:sz w:val="28"/>
        </w:rPr>
      </w:pPr>
      <w:r>
        <w:rPr>
          <w:sz w:val="28"/>
        </w:rPr>
        <w:t xml:space="preserve">Карта (схема) тепловых сетей в зонах действия источников тепловой энергии в электронной форме и на бумажном носителе приведена в графическом приложении </w:t>
      </w:r>
      <w:r>
        <w:rPr>
          <w:sz w:val="28"/>
        </w:rPr>
        <w:t>схемы.</w:t>
      </w:r>
    </w:p>
    <w:p w14:paraId="2C080000">
      <w:pPr>
        <w:pStyle w:val="Style_8"/>
        <w:ind w:firstLine="709" w:left="0"/>
        <w:jc w:val="both"/>
        <w:rPr>
          <w:sz w:val="28"/>
        </w:rPr>
      </w:pPr>
      <w:r>
        <w:rPr>
          <w:sz w:val="28"/>
        </w:rPr>
        <w:t xml:space="preserve">в) Параметры тепловых сетей, включая год начала эксплуатации, тип изоляции, тип компенсирующих устройств, тип прокладки, краткую </w:t>
      </w:r>
      <w:r>
        <w:rPr>
          <w:sz w:val="28"/>
        </w:rPr>
        <w:t>характеристику грунтов в местах прокладки с выделением наименее надёжных участков, определением их материальной характер</w:t>
      </w:r>
      <w:r>
        <w:rPr>
          <w:sz w:val="28"/>
        </w:rPr>
        <w:t xml:space="preserve">истики и тепловой нагрузки потребителей, подключённых к таким участкам. </w:t>
      </w:r>
    </w:p>
    <w:p w14:paraId="2D080000">
      <w:pPr>
        <w:spacing w:line="240" w:lineRule="auto"/>
        <w:ind w:firstLine="709" w:left="0"/>
        <w:jc w:val="both"/>
        <w:rPr>
          <w:sz w:val="20"/>
        </w:rPr>
      </w:pPr>
      <w:r>
        <w:rPr>
          <w:sz w:val="28"/>
        </w:rPr>
        <w:t xml:space="preserve">Таблица 21 Параметры тепловых сетей </w:t>
      </w:r>
    </w:p>
    <w:tbl>
      <w:tblPr>
        <w:tblStyle w:val="Style_4"/>
        <w:tblInd w:type="dxa" w:w="108"/>
        <w:tblLayout w:type="fixed"/>
      </w:tblPr>
      <w:tblGrid>
        <w:gridCol w:w="401"/>
        <w:gridCol w:w="1414"/>
        <w:gridCol w:w="1117"/>
        <w:gridCol w:w="1117"/>
        <w:gridCol w:w="1396"/>
        <w:gridCol w:w="1117"/>
        <w:gridCol w:w="1535"/>
        <w:gridCol w:w="1435"/>
      </w:tblGrid>
      <w:tr>
        <w:tc>
          <w:tcPr>
            <w:tcW w:type="dxa" w:w="401"/>
            <w:tcBorders>
              <w:top w:color="000000" w:sz="4" w:val="single"/>
              <w:left w:color="000000" w:sz="4" w:val="single"/>
              <w:bottom w:color="000000" w:sz="4" w:val="single"/>
            </w:tcBorders>
            <w:vAlign w:val="center"/>
          </w:tcPr>
          <w:p w14:paraId="2E080000">
            <w:pPr>
              <w:spacing w:line="240" w:lineRule="auto"/>
              <w:ind/>
              <w:jc w:val="center"/>
              <w:rPr>
                <w:sz w:val="20"/>
              </w:rPr>
            </w:pPr>
            <w:r>
              <w:rPr>
                <w:sz w:val="20"/>
              </w:rPr>
              <w:t>№</w:t>
            </w:r>
          </w:p>
        </w:tc>
        <w:tc>
          <w:tcPr>
            <w:tcW w:type="dxa" w:w="1414"/>
            <w:tcBorders>
              <w:top w:color="000000" w:sz="4" w:val="single"/>
              <w:left w:color="000000" w:sz="4" w:val="single"/>
              <w:bottom w:color="000000" w:sz="4" w:val="single"/>
            </w:tcBorders>
            <w:vAlign w:val="center"/>
          </w:tcPr>
          <w:p w14:paraId="2F080000">
            <w:pPr>
              <w:spacing w:line="240" w:lineRule="auto"/>
              <w:ind/>
              <w:jc w:val="center"/>
              <w:rPr>
                <w:sz w:val="20"/>
              </w:rPr>
            </w:pPr>
            <w:r>
              <w:rPr>
                <w:sz w:val="20"/>
              </w:rPr>
              <w:t>Год начала эксплуатации</w:t>
            </w:r>
          </w:p>
        </w:tc>
        <w:tc>
          <w:tcPr>
            <w:tcW w:type="dxa" w:w="1117"/>
            <w:tcBorders>
              <w:top w:color="000000" w:sz="4" w:val="single"/>
              <w:left w:color="000000" w:sz="4" w:val="single"/>
              <w:bottom w:color="000000" w:sz="4" w:val="single"/>
            </w:tcBorders>
            <w:vAlign w:val="center"/>
          </w:tcPr>
          <w:p w14:paraId="30080000">
            <w:pPr>
              <w:spacing w:line="240" w:lineRule="auto"/>
              <w:ind/>
              <w:jc w:val="center"/>
              <w:rPr>
                <w:sz w:val="20"/>
              </w:rPr>
            </w:pPr>
            <w:r>
              <w:rPr>
                <w:sz w:val="20"/>
              </w:rPr>
              <w:t>Тип изоляции</w:t>
            </w:r>
          </w:p>
        </w:tc>
        <w:tc>
          <w:tcPr>
            <w:tcW w:type="dxa" w:w="1117"/>
            <w:tcBorders>
              <w:top w:color="000000" w:sz="4" w:val="single"/>
              <w:left w:color="000000" w:sz="4" w:val="single"/>
              <w:bottom w:color="000000" w:sz="4" w:val="single"/>
            </w:tcBorders>
            <w:vAlign w:val="center"/>
          </w:tcPr>
          <w:p w14:paraId="31080000">
            <w:pPr>
              <w:spacing w:line="240" w:lineRule="auto"/>
              <w:ind/>
              <w:jc w:val="center"/>
              <w:rPr>
                <w:sz w:val="20"/>
              </w:rPr>
            </w:pPr>
            <w:r>
              <w:rPr>
                <w:sz w:val="20"/>
              </w:rPr>
              <w:t>Тип компенси-рующих устройств</w:t>
            </w:r>
          </w:p>
        </w:tc>
        <w:tc>
          <w:tcPr>
            <w:tcW w:type="dxa" w:w="1396"/>
            <w:tcBorders>
              <w:top w:color="000000" w:sz="4" w:val="single"/>
              <w:left w:color="000000" w:sz="4" w:val="single"/>
              <w:bottom w:color="000000" w:sz="4" w:val="single"/>
            </w:tcBorders>
            <w:vAlign w:val="center"/>
          </w:tcPr>
          <w:p w14:paraId="32080000">
            <w:pPr>
              <w:spacing w:line="240" w:lineRule="auto"/>
              <w:ind/>
              <w:jc w:val="center"/>
              <w:rPr>
                <w:sz w:val="20"/>
              </w:rPr>
            </w:pPr>
            <w:r>
              <w:rPr>
                <w:sz w:val="20"/>
              </w:rPr>
              <w:t>Тип прокладки</w:t>
            </w:r>
          </w:p>
        </w:tc>
        <w:tc>
          <w:tcPr>
            <w:tcW w:type="dxa" w:w="1117"/>
            <w:tcBorders>
              <w:top w:color="000000" w:sz="4" w:val="single"/>
              <w:left w:color="000000" w:sz="4" w:val="single"/>
              <w:bottom w:color="000000" w:sz="4" w:val="single"/>
            </w:tcBorders>
            <w:vAlign w:val="center"/>
          </w:tcPr>
          <w:p w14:paraId="33080000">
            <w:pPr>
              <w:spacing w:line="240" w:lineRule="auto"/>
              <w:ind/>
              <w:jc w:val="center"/>
              <w:rPr>
                <w:sz w:val="20"/>
              </w:rPr>
            </w:pPr>
            <w:r>
              <w:rPr>
                <w:sz w:val="20"/>
              </w:rPr>
              <w:t>Краткая характе-ристика грунтов</w:t>
            </w:r>
          </w:p>
        </w:tc>
        <w:tc>
          <w:tcPr>
            <w:tcW w:type="dxa" w:w="1535"/>
            <w:tcBorders>
              <w:top w:color="000000" w:sz="4" w:val="single"/>
              <w:left w:color="000000" w:sz="4" w:val="single"/>
              <w:bottom w:color="000000" w:sz="4" w:val="single"/>
            </w:tcBorders>
            <w:vAlign w:val="center"/>
          </w:tcPr>
          <w:p w14:paraId="34080000">
            <w:pPr>
              <w:spacing w:line="240" w:lineRule="auto"/>
              <w:ind/>
              <w:jc w:val="center"/>
              <w:rPr>
                <w:sz w:val="20"/>
              </w:rPr>
            </w:pPr>
            <w:r>
              <w:rPr>
                <w:sz w:val="20"/>
              </w:rPr>
              <w:t>Материальная характеристи-ка, т</w:t>
            </w:r>
            <w:r>
              <w:rPr>
                <w:sz w:val="20"/>
              </w:rPr>
              <w:t>ыс. м</w:t>
            </w:r>
            <w:r>
              <w:rPr>
                <w:sz w:val="20"/>
                <w:vertAlign w:val="superscript"/>
              </w:rPr>
              <w:t>2</w:t>
            </w:r>
          </w:p>
        </w:tc>
        <w:tc>
          <w:tcPr>
            <w:tcW w:type="dxa" w:w="1435"/>
            <w:tcBorders>
              <w:top w:color="000000" w:sz="4" w:val="single"/>
              <w:left w:color="000000" w:sz="4" w:val="single"/>
              <w:bottom w:color="000000" w:sz="4" w:val="single"/>
              <w:right w:color="000000" w:sz="4" w:val="single"/>
            </w:tcBorders>
            <w:vAlign w:val="center"/>
          </w:tcPr>
          <w:p w14:paraId="35080000">
            <w:pPr>
              <w:spacing w:line="240" w:lineRule="auto"/>
              <w:ind/>
              <w:jc w:val="center"/>
              <w:rPr>
                <w:sz w:val="24"/>
              </w:rPr>
            </w:pPr>
            <w:r>
              <w:rPr>
                <w:sz w:val="20"/>
              </w:rPr>
              <w:t>тепловая нагрузка, Гкал/ч</w:t>
            </w:r>
          </w:p>
        </w:tc>
      </w:tr>
      <w:tr>
        <w:tc>
          <w:tcPr>
            <w:tcW w:type="dxa" w:w="9530"/>
            <w:gridSpan w:val="8"/>
            <w:tcBorders>
              <w:top w:color="000000" w:sz="4" w:val="single"/>
              <w:left w:color="000000" w:sz="4" w:val="single"/>
              <w:bottom w:color="000000" w:sz="4" w:val="single"/>
              <w:right w:color="000000" w:sz="4" w:val="single"/>
            </w:tcBorders>
            <w:vAlign w:val="center"/>
          </w:tcPr>
          <w:p w14:paraId="36080000">
            <w:pPr>
              <w:spacing w:line="240" w:lineRule="auto"/>
              <w:ind/>
              <w:jc w:val="center"/>
              <w:rPr>
                <w:sz w:val="24"/>
              </w:rPr>
            </w:pPr>
            <w:r>
              <w:rPr>
                <w:sz w:val="20"/>
              </w:rPr>
              <w:t>Тепловые сети котельной с. Куйбышево, ул. Пролетарская, 7</w:t>
            </w:r>
          </w:p>
        </w:tc>
      </w:tr>
      <w:tr>
        <w:tc>
          <w:tcPr>
            <w:tcW w:type="dxa" w:w="401"/>
            <w:tcBorders>
              <w:top w:color="000000" w:sz="4" w:val="single"/>
              <w:left w:color="000000" w:sz="4" w:val="single"/>
              <w:bottom w:color="000000" w:sz="4" w:val="single"/>
            </w:tcBorders>
            <w:vAlign w:val="center"/>
          </w:tcPr>
          <w:p w14:paraId="37080000">
            <w:pPr>
              <w:spacing w:line="240" w:lineRule="auto"/>
              <w:ind/>
              <w:jc w:val="center"/>
              <w:rPr>
                <w:sz w:val="20"/>
              </w:rPr>
            </w:pPr>
            <w:r>
              <w:rPr>
                <w:sz w:val="20"/>
              </w:rPr>
              <w:t>1</w:t>
            </w:r>
          </w:p>
        </w:tc>
        <w:tc>
          <w:tcPr>
            <w:tcW w:type="dxa" w:w="1414"/>
            <w:tcBorders>
              <w:top w:color="000000" w:sz="4" w:val="single"/>
              <w:left w:color="000000" w:sz="4" w:val="single"/>
              <w:bottom w:color="000000" w:sz="4" w:val="single"/>
            </w:tcBorders>
            <w:vAlign w:val="center"/>
          </w:tcPr>
          <w:p w14:paraId="38080000">
            <w:pPr>
              <w:spacing w:line="240" w:lineRule="auto"/>
              <w:ind/>
              <w:jc w:val="center"/>
              <w:rPr>
                <w:sz w:val="20"/>
              </w:rPr>
            </w:pPr>
            <w:r>
              <w:rPr>
                <w:sz w:val="20"/>
              </w:rPr>
              <w:t>-</w:t>
            </w:r>
          </w:p>
        </w:tc>
        <w:tc>
          <w:tcPr>
            <w:tcW w:type="dxa" w:w="1117"/>
            <w:tcBorders>
              <w:top w:color="000000" w:sz="4" w:val="single"/>
              <w:left w:color="000000" w:sz="4" w:val="single"/>
              <w:bottom w:color="000000" w:sz="4" w:val="single"/>
            </w:tcBorders>
            <w:vAlign w:val="center"/>
          </w:tcPr>
          <w:p w14:paraId="39080000">
            <w:pPr>
              <w:spacing w:line="240" w:lineRule="auto"/>
              <w:ind/>
              <w:jc w:val="center"/>
              <w:rPr>
                <w:sz w:val="20"/>
              </w:rPr>
            </w:pPr>
            <w:r>
              <w:rPr>
                <w:sz w:val="20"/>
              </w:rPr>
              <w:t>Минвата, ППУ</w:t>
            </w:r>
          </w:p>
        </w:tc>
        <w:tc>
          <w:tcPr>
            <w:tcW w:type="dxa" w:w="1117"/>
            <w:tcBorders>
              <w:top w:color="000000" w:sz="4" w:val="single"/>
              <w:left w:color="000000" w:sz="4" w:val="single"/>
              <w:bottom w:color="000000" w:sz="4" w:val="single"/>
            </w:tcBorders>
            <w:vAlign w:val="center"/>
          </w:tcPr>
          <w:p w14:paraId="3A080000">
            <w:pPr>
              <w:spacing w:line="240" w:lineRule="auto"/>
              <w:ind/>
              <w:jc w:val="center"/>
              <w:rPr>
                <w:sz w:val="20"/>
              </w:rPr>
            </w:pPr>
            <w:r>
              <w:rPr>
                <w:sz w:val="20"/>
              </w:rPr>
              <w:t>-</w:t>
            </w:r>
          </w:p>
        </w:tc>
        <w:tc>
          <w:tcPr>
            <w:tcW w:type="dxa" w:w="1396"/>
            <w:tcBorders>
              <w:top w:color="000000" w:sz="4" w:val="single"/>
              <w:left w:color="000000" w:sz="4" w:val="single"/>
              <w:bottom w:color="000000" w:sz="4" w:val="single"/>
            </w:tcBorders>
            <w:vAlign w:val="center"/>
          </w:tcPr>
          <w:p w14:paraId="3B080000">
            <w:pPr>
              <w:spacing w:line="240" w:lineRule="auto"/>
              <w:ind/>
              <w:jc w:val="center"/>
              <w:rPr>
                <w:sz w:val="20"/>
              </w:rPr>
            </w:pPr>
            <w:r>
              <w:rPr>
                <w:sz w:val="20"/>
              </w:rPr>
              <w:t xml:space="preserve">надземная </w:t>
            </w:r>
          </w:p>
        </w:tc>
        <w:tc>
          <w:tcPr>
            <w:tcW w:type="dxa" w:w="1117"/>
            <w:tcBorders>
              <w:top w:color="000000" w:sz="4" w:val="single"/>
              <w:left w:color="000000" w:sz="4" w:val="single"/>
              <w:bottom w:color="000000" w:sz="4" w:val="single"/>
            </w:tcBorders>
            <w:vAlign w:val="center"/>
          </w:tcPr>
          <w:p w14:paraId="3C080000">
            <w:pPr>
              <w:spacing w:line="240" w:lineRule="auto"/>
              <w:ind/>
              <w:jc w:val="center"/>
              <w:rPr>
                <w:sz w:val="20"/>
              </w:rPr>
            </w:pPr>
            <w:r>
              <w:rPr>
                <w:sz w:val="20"/>
              </w:rPr>
              <w:t>*</w:t>
            </w:r>
          </w:p>
        </w:tc>
        <w:tc>
          <w:tcPr>
            <w:tcW w:type="dxa" w:w="1535"/>
            <w:tcBorders>
              <w:top w:color="000000" w:sz="4" w:val="single"/>
              <w:left w:color="000000" w:sz="4" w:val="single"/>
              <w:bottom w:color="000000" w:sz="4" w:val="single"/>
            </w:tcBorders>
            <w:vAlign w:val="center"/>
          </w:tcPr>
          <w:p w14:paraId="3D080000">
            <w:pPr>
              <w:spacing w:line="240" w:lineRule="auto"/>
              <w:ind/>
              <w:jc w:val="center"/>
              <w:rPr>
                <w:sz w:val="20"/>
              </w:rPr>
            </w:pPr>
            <w:r>
              <w:rPr>
                <w:sz w:val="20"/>
              </w:rPr>
              <w:t>28,906</w:t>
            </w:r>
          </w:p>
        </w:tc>
        <w:tc>
          <w:tcPr>
            <w:tcW w:type="dxa" w:w="1435"/>
            <w:tcBorders>
              <w:top w:color="000000" w:sz="4" w:val="single"/>
              <w:left w:color="000000" w:sz="4" w:val="single"/>
              <w:bottom w:color="000000" w:sz="4" w:val="single"/>
              <w:right w:color="000000" w:sz="4" w:val="single"/>
            </w:tcBorders>
            <w:vAlign w:val="center"/>
          </w:tcPr>
          <w:p w14:paraId="3E080000">
            <w:pPr>
              <w:spacing w:line="240" w:lineRule="auto"/>
              <w:ind/>
              <w:jc w:val="center"/>
              <w:rPr>
                <w:sz w:val="20"/>
              </w:rPr>
            </w:pPr>
            <w:r>
              <w:rPr>
                <w:sz w:val="20"/>
              </w:rPr>
              <w:t>0,818</w:t>
            </w:r>
          </w:p>
        </w:tc>
      </w:tr>
    </w:tbl>
    <w:p w14:paraId="3F080000">
      <w:pPr>
        <w:spacing w:line="240" w:lineRule="auto"/>
        <w:ind/>
        <w:jc w:val="both"/>
        <w:rPr>
          <w:sz w:val="28"/>
        </w:rPr>
      </w:pPr>
      <w:r>
        <w:rPr>
          <w:sz w:val="20"/>
        </w:rPr>
        <w:t xml:space="preserve">* В местах прокладки тепловых сетей преобладает суглинок глинистый с включением щебня и известняка. Данные почвы </w:t>
      </w:r>
      <w:r>
        <w:rPr>
          <w:sz w:val="20"/>
        </w:rPr>
        <w:t>характеризуются минимальными подвижками, поэтому критерий надежности участков тепловой сети связан с годом начала эксплуатации трубопровода.</w:t>
      </w:r>
    </w:p>
    <w:p w14:paraId="40080000">
      <w:pPr>
        <w:pStyle w:val="Style_8"/>
        <w:ind w:firstLine="709" w:left="0"/>
        <w:jc w:val="both"/>
        <w:rPr>
          <w:sz w:val="28"/>
        </w:rPr>
      </w:pPr>
      <w:r>
        <w:rPr>
          <w:sz w:val="28"/>
        </w:rPr>
        <w:t>г) Описание типов и количества секционирующей и регулирующей арматуры на тепловых сетях.</w:t>
      </w:r>
    </w:p>
    <w:p w14:paraId="41080000">
      <w:pPr>
        <w:pStyle w:val="Style_8"/>
        <w:ind w:firstLine="709" w:left="0"/>
        <w:jc w:val="both"/>
      </w:pPr>
      <w:r>
        <w:rPr>
          <w:sz w:val="28"/>
        </w:rPr>
        <w:t>В качестве арматуры в тепл</w:t>
      </w:r>
      <w:r>
        <w:rPr>
          <w:sz w:val="28"/>
        </w:rPr>
        <w:t xml:space="preserve">овых сетях применяются стальные фланцевые задвижки, шаровые краны и затворы. Регулирующая и секционирующая арматура в тепловых сетях отсутствует. </w:t>
      </w:r>
    </w:p>
    <w:p w14:paraId="42080000">
      <w:pPr>
        <w:pStyle w:val="Style_8"/>
        <w:ind w:firstLine="709" w:left="0"/>
        <w:jc w:val="both"/>
        <w:rPr>
          <w:sz w:val="28"/>
        </w:rPr>
      </w:pPr>
      <w:r>
        <w:rPr>
          <w:sz w:val="28"/>
        </w:rPr>
        <w:t>д) Описание типов и строительных особенностей тепловых пунктов, тепловых камер и павильонов.</w:t>
      </w:r>
    </w:p>
    <w:p w14:paraId="43080000">
      <w:pPr>
        <w:pStyle w:val="Style_8"/>
        <w:ind w:firstLine="709" w:left="0"/>
        <w:jc w:val="both"/>
        <w:rPr>
          <w:sz w:val="28"/>
        </w:rPr>
      </w:pPr>
      <w:r>
        <w:rPr>
          <w:sz w:val="28"/>
        </w:rPr>
        <w:t xml:space="preserve">Строительные </w:t>
      </w:r>
      <w:r>
        <w:rPr>
          <w:sz w:val="28"/>
        </w:rPr>
        <w:t>конструкции тепловых камер выполнены из стандартных конструкций: фундаментные блоки или красный кирпич и плиты перекрытия. Толщина стен составляет 120 мм. Высота камер в свету от уровня пола до низа выступающих конструкций составляет 1,0- 2,5 м.</w:t>
      </w:r>
    </w:p>
    <w:p w14:paraId="44080000">
      <w:pPr>
        <w:pStyle w:val="Style_8"/>
        <w:ind w:firstLine="709" w:left="0"/>
        <w:jc w:val="both"/>
        <w:rPr>
          <w:sz w:val="28"/>
        </w:rPr>
      </w:pPr>
      <w:r>
        <w:rPr>
          <w:sz w:val="28"/>
        </w:rPr>
        <w:t>е) Описани</w:t>
      </w:r>
      <w:r>
        <w:rPr>
          <w:sz w:val="28"/>
        </w:rPr>
        <w:t xml:space="preserve">е графиков регулирования отпуска тепла в тепловые сети с анализом их обоснованности. </w:t>
      </w:r>
    </w:p>
    <w:p w14:paraId="45080000">
      <w:pPr>
        <w:pStyle w:val="Style_8"/>
        <w:ind w:firstLine="709" w:left="0"/>
        <w:jc w:val="both"/>
        <w:rPr>
          <w:sz w:val="28"/>
        </w:rPr>
      </w:pPr>
      <w:r>
        <w:rPr>
          <w:sz w:val="28"/>
        </w:rPr>
        <w:t>Описание графиков регулирования отпуска тепла в тепловые сети приведено в пп. «ж» части 2 схемы. Проанализировав графические и табличные данные, обоснованность применения</w:t>
      </w:r>
      <w:r>
        <w:rPr>
          <w:sz w:val="28"/>
        </w:rPr>
        <w:t xml:space="preserve"> указанного температурного графика подтверждается работой с учётом теплофизических характеристик ограждений здания и климатических условий Куйбышевского сельского поселения.</w:t>
      </w:r>
    </w:p>
    <w:p w14:paraId="46080000">
      <w:pPr>
        <w:pStyle w:val="Style_8"/>
        <w:ind w:firstLine="709" w:left="0"/>
        <w:jc w:val="both"/>
        <w:rPr>
          <w:sz w:val="28"/>
        </w:rPr>
      </w:pPr>
      <w:r>
        <w:rPr>
          <w:sz w:val="28"/>
        </w:rPr>
        <w:t>ж) Фактические температурные режимы отпуска тепла в тепловые сети и их соответстви</w:t>
      </w:r>
      <w:r>
        <w:rPr>
          <w:sz w:val="28"/>
        </w:rPr>
        <w:t xml:space="preserve">е утверждённым графикам регулирования отпуска тепла в тепловые сети. </w:t>
      </w:r>
    </w:p>
    <w:p w14:paraId="47080000">
      <w:pPr>
        <w:pStyle w:val="Style_8"/>
        <w:ind w:firstLine="709" w:left="0"/>
        <w:jc w:val="both"/>
        <w:rPr>
          <w:sz w:val="28"/>
        </w:rPr>
      </w:pPr>
      <w:r>
        <w:rPr>
          <w:sz w:val="28"/>
        </w:rPr>
        <w:t xml:space="preserve">В системе централизованного теплоснабжения Куйбышевского сельского поселения принято качественное регулирование отпуска тепловой энергии по отопительной нагрузке. Температурным графиком </w:t>
      </w:r>
      <w:r>
        <w:rPr>
          <w:sz w:val="28"/>
        </w:rPr>
        <w:t>являются температурные графики 95/70 ºС. В настоящее время система отопления потребителей присоединена к тепловым сетям по зависимой схеме без смешения. Применение более высокого температурного графика отпуска тепла в данный момент не представляется возмож</w:t>
      </w:r>
      <w:r>
        <w:rPr>
          <w:sz w:val="28"/>
        </w:rPr>
        <w:t>ным.Проблемы, связанные с режимной раз-регулировкой системы теплоснабжения, не выявлены.</w:t>
      </w:r>
    </w:p>
    <w:p w14:paraId="48080000">
      <w:pPr>
        <w:pStyle w:val="Style_8"/>
        <w:ind w:firstLine="709" w:left="0"/>
        <w:jc w:val="both"/>
        <w:rPr>
          <w:sz w:val="28"/>
        </w:rPr>
      </w:pPr>
      <w:r>
        <w:rPr>
          <w:sz w:val="28"/>
        </w:rPr>
        <w:t>з) Гидравлические режимы тепловых сетей и пьезометрические графики тепловых сетей.</w:t>
      </w:r>
    </w:p>
    <w:p w14:paraId="49080000">
      <w:pPr>
        <w:pStyle w:val="Style_8"/>
        <w:ind w:firstLine="709" w:left="0"/>
        <w:jc w:val="both"/>
        <w:rPr>
          <w:sz w:val="28"/>
        </w:rPr>
      </w:pPr>
      <w:r>
        <w:rPr>
          <w:sz w:val="28"/>
        </w:rPr>
        <w:t>Ввиду отсутствия насосных станций в системе теплоснабжения гидравлические режимы и п</w:t>
      </w:r>
      <w:r>
        <w:rPr>
          <w:sz w:val="28"/>
        </w:rPr>
        <w:t>ьезометрические графики тепловых сетей приняты по расчётным нормативам.</w:t>
      </w:r>
    </w:p>
    <w:p w14:paraId="4A080000">
      <w:pPr>
        <w:pStyle w:val="Style_8"/>
        <w:ind w:firstLine="709" w:left="0"/>
        <w:jc w:val="both"/>
        <w:rPr>
          <w:sz w:val="28"/>
        </w:rPr>
      </w:pPr>
      <w:r>
        <w:rPr>
          <w:sz w:val="28"/>
        </w:rPr>
        <w:t>и) Статистика отказов тепловых сетей (аварийных ситуаций) за последние пять лет.</w:t>
      </w:r>
    </w:p>
    <w:p w14:paraId="4B080000">
      <w:pPr>
        <w:pStyle w:val="Style_8"/>
        <w:ind w:firstLine="709" w:left="0"/>
        <w:jc w:val="both"/>
        <w:rPr>
          <w:sz w:val="28"/>
        </w:rPr>
      </w:pPr>
      <w:r>
        <w:rPr>
          <w:sz w:val="28"/>
        </w:rPr>
        <w:t>Крупных аварий и отказов тепловых сетей в течение отопительного сезона за последние 5 лет не наблюдалос</w:t>
      </w:r>
      <w:r>
        <w:rPr>
          <w:sz w:val="28"/>
        </w:rPr>
        <w:t>ь.</w:t>
      </w:r>
    </w:p>
    <w:p w14:paraId="4C080000">
      <w:pPr>
        <w:pStyle w:val="Style_8"/>
        <w:ind w:firstLine="709" w:left="0"/>
        <w:jc w:val="both"/>
        <w:rPr>
          <w:sz w:val="28"/>
        </w:rPr>
      </w:pPr>
      <w:r>
        <w:rPr>
          <w:sz w:val="28"/>
        </w:rPr>
        <w:t xml:space="preserve">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 </w:t>
      </w:r>
    </w:p>
    <w:p w14:paraId="4D080000">
      <w:pPr>
        <w:pStyle w:val="Style_8"/>
        <w:ind w:firstLine="709" w:left="0"/>
        <w:jc w:val="both"/>
        <w:rPr>
          <w:sz w:val="28"/>
        </w:rPr>
      </w:pPr>
      <w:r>
        <w:rPr>
          <w:sz w:val="28"/>
        </w:rPr>
        <w:t xml:space="preserve">Ввиду отсутствия отказов системы теплоснабжения за последние пять </w:t>
      </w:r>
      <w:r>
        <w:rPr>
          <w:sz w:val="28"/>
        </w:rPr>
        <w:t>лет и прекращений подачи тепловой энергии, статистики восстановлений нет.</w:t>
      </w:r>
    </w:p>
    <w:p w14:paraId="4E080000">
      <w:pPr>
        <w:pStyle w:val="Style_8"/>
        <w:ind w:firstLine="709" w:left="0"/>
        <w:jc w:val="both"/>
        <w:rPr>
          <w:sz w:val="28"/>
        </w:rPr>
      </w:pPr>
      <w:r>
        <w:rPr>
          <w:sz w:val="28"/>
        </w:rPr>
        <w:t xml:space="preserve">л) Описание процедур диагностики состояния тепловых сетей и планирования капитальных (текущих) ремонтов. </w:t>
      </w:r>
    </w:p>
    <w:p w14:paraId="4F080000">
      <w:pPr>
        <w:pStyle w:val="Style_8"/>
        <w:ind w:firstLine="709" w:left="0"/>
        <w:jc w:val="both"/>
        <w:rPr>
          <w:sz w:val="28"/>
        </w:rPr>
      </w:pPr>
      <w:r>
        <w:rPr>
          <w:sz w:val="28"/>
        </w:rPr>
        <w:t xml:space="preserve">В теплоснабжающей организации разработаны графики проведения поверки экспертизы и освидетельствования зданий, сооружений и оборудования организации. Планируемые инвестиционные мероприятия отражены в концессионных соглашениях.    </w:t>
      </w:r>
    </w:p>
    <w:p w14:paraId="50080000">
      <w:pPr>
        <w:pStyle w:val="Style_8"/>
        <w:ind w:firstLine="709" w:left="0"/>
        <w:jc w:val="both"/>
        <w:rPr>
          <w:sz w:val="28"/>
        </w:rPr>
      </w:pPr>
      <w:r>
        <w:rPr>
          <w:sz w:val="28"/>
        </w:rPr>
        <w:t xml:space="preserve">м) Описание периодичности </w:t>
      </w:r>
      <w:r>
        <w:rPr>
          <w:sz w:val="28"/>
        </w:rPr>
        <w:t>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14:paraId="51080000">
      <w:pPr>
        <w:pStyle w:val="Style_9"/>
        <w:spacing w:after="0" w:before="0"/>
        <w:ind w:firstLine="709" w:left="0"/>
        <w:jc w:val="both"/>
        <w:rPr>
          <w:sz w:val="28"/>
        </w:rPr>
      </w:pPr>
      <w:r>
        <w:rPr>
          <w:sz w:val="28"/>
        </w:rPr>
        <w:t>Периодичность и технический регламент и требо</w:t>
      </w:r>
      <w:r>
        <w:rPr>
          <w:sz w:val="28"/>
        </w:rPr>
        <w:t xml:space="preserve">вания процедур летних ремонтов производятся в соответствии с </w:t>
      </w:r>
      <w:r>
        <w:rPr>
          <w:sz w:val="28"/>
          <w:shd w:fill="F5F8FA" w:val="clear"/>
        </w:rPr>
        <w:t xml:space="preserve">СТО 70238424.27.060.002-2008 </w:t>
      </w:r>
      <w:r>
        <w:rPr>
          <w:sz w:val="28"/>
          <w:shd w:fill="F5F8FA" w:val="clear"/>
        </w:rPr>
        <w:t>«Трубопроводы тепловых сетей. Организация эксплуатации и технического обслуживания. Нормы и требования»</w:t>
      </w:r>
      <w:r>
        <w:rPr>
          <w:sz w:val="28"/>
        </w:rPr>
        <w:t>. К методам испытаний тепловых сетей относятся:</w:t>
      </w:r>
    </w:p>
    <w:p w14:paraId="52080000">
      <w:pPr>
        <w:pStyle w:val="Style_8"/>
        <w:spacing w:after="0"/>
        <w:ind w:firstLine="709" w:left="0"/>
        <w:jc w:val="both"/>
        <w:rPr>
          <w:sz w:val="28"/>
        </w:rPr>
      </w:pPr>
      <w:r>
        <w:rPr>
          <w:sz w:val="28"/>
        </w:rPr>
        <w:t>• Гидравлически</w:t>
      </w:r>
      <w:r>
        <w:rPr>
          <w:sz w:val="28"/>
        </w:rPr>
        <w:t>е испытания.</w:t>
      </w:r>
    </w:p>
    <w:p w14:paraId="53080000">
      <w:pPr>
        <w:pStyle w:val="Style_8"/>
        <w:spacing w:after="0"/>
        <w:ind w:firstLine="709" w:left="0"/>
        <w:jc w:val="both"/>
        <w:rPr>
          <w:sz w:val="28"/>
        </w:rPr>
      </w:pPr>
      <w:r>
        <w:rPr>
          <w:sz w:val="28"/>
        </w:rPr>
        <w:t>Производятся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Значение рабочего давления составляет</w:t>
      </w:r>
      <w:r>
        <w:rPr>
          <w:sz w:val="28"/>
        </w:rPr>
        <w:t xml:space="preserve"> для тепловых сетей 0,4-0,6 Мп.  </w:t>
      </w:r>
    </w:p>
    <w:p w14:paraId="54080000">
      <w:pPr>
        <w:pStyle w:val="Style_8"/>
        <w:ind w:firstLine="709" w:left="0"/>
        <w:jc w:val="both"/>
        <w:rPr>
          <w:sz w:val="28"/>
        </w:rPr>
      </w:pPr>
      <w:r>
        <w:rPr>
          <w:sz w:val="28"/>
        </w:rPr>
        <w:t>Процедура летних ремонтов организована в теплоснабжающей организации и соответствует техническим регламентам.</w:t>
      </w:r>
    </w:p>
    <w:p w14:paraId="55080000">
      <w:pPr>
        <w:pStyle w:val="Style_8"/>
        <w:ind w:firstLine="709" w:left="0"/>
        <w:jc w:val="both"/>
        <w:rPr>
          <w:sz w:val="28"/>
        </w:rPr>
      </w:pPr>
      <w:r>
        <w:rPr>
          <w:sz w:val="28"/>
        </w:rPr>
        <w:t xml:space="preserve">н) Описание нормативов технологических потерь (в ценовых зонах теплоснабжения - плановых потерь, определяемых в </w:t>
      </w:r>
      <w:r>
        <w:rPr>
          <w:sz w:val="28"/>
        </w:rPr>
        <w:t xml:space="preserve">соответствии с методическими указаниями по разработке схем теплоснабжения) при передаче тепловой энергии (мощности) и теплоносителя, включаемых в расчёт отпущенных тепловой энергии (мощности) и теплоносителя. </w:t>
      </w:r>
    </w:p>
    <w:p w14:paraId="56080000">
      <w:pPr>
        <w:pStyle w:val="Style_8"/>
        <w:ind w:firstLine="709" w:left="0"/>
        <w:jc w:val="both"/>
        <w:rPr>
          <w:sz w:val="28"/>
        </w:rPr>
      </w:pPr>
      <w:r>
        <w:rPr>
          <w:sz w:val="28"/>
        </w:rPr>
        <w:t>По данным теплоснабжающей организации тепловые</w:t>
      </w:r>
      <w:r>
        <w:rPr>
          <w:sz w:val="28"/>
        </w:rPr>
        <w:t xml:space="preserve"> потери в тепловых сетях не установлены. </w:t>
      </w:r>
    </w:p>
    <w:p w14:paraId="57080000">
      <w:pPr>
        <w:pStyle w:val="Style_8"/>
        <w:spacing w:before="200"/>
        <w:ind w:firstLine="709" w:left="0"/>
        <w:jc w:val="both"/>
        <w:rPr>
          <w:sz w:val="28"/>
        </w:rPr>
      </w:pPr>
      <w:r>
        <w:rPr>
          <w:sz w:val="28"/>
        </w:rPr>
        <w:t xml:space="preserve">о) Оценка фактических потерь тепловой энергии и теплоносителя при передаче тепловой энергии и теплоносителя по тепловым сетям за последние 3 года. </w:t>
      </w:r>
    </w:p>
    <w:p w14:paraId="58080000">
      <w:pPr>
        <w:pStyle w:val="Style_8"/>
        <w:spacing w:before="200"/>
        <w:ind w:firstLine="709" w:left="0"/>
        <w:jc w:val="both"/>
        <w:rPr>
          <w:sz w:val="28"/>
        </w:rPr>
      </w:pPr>
      <w:r>
        <w:rPr>
          <w:sz w:val="28"/>
        </w:rPr>
        <w:t>По данным теплоснабжающей организации тепловые потери в тепловых с</w:t>
      </w:r>
      <w:r>
        <w:rPr>
          <w:sz w:val="28"/>
        </w:rPr>
        <w:t>етях не установлены.</w:t>
      </w:r>
    </w:p>
    <w:p w14:paraId="59080000">
      <w:pPr>
        <w:pStyle w:val="Style_8"/>
        <w:ind w:firstLine="709" w:left="0"/>
        <w:jc w:val="both"/>
        <w:rPr>
          <w:sz w:val="28"/>
        </w:rPr>
      </w:pPr>
      <w:r>
        <w:rPr>
          <w:sz w:val="28"/>
        </w:rPr>
        <w:t>п) Предписания надзорных органов по запрещению дальнейшей эксплуатации участков тепловой сети и результаты их исполнения.</w:t>
      </w:r>
    </w:p>
    <w:p w14:paraId="5A080000">
      <w:pPr>
        <w:pStyle w:val="Style_8"/>
        <w:ind w:firstLine="709" w:left="0"/>
        <w:jc w:val="both"/>
        <w:rPr>
          <w:sz w:val="28"/>
        </w:rPr>
      </w:pPr>
      <w:r>
        <w:rPr>
          <w:sz w:val="28"/>
        </w:rPr>
        <w:t>Предписания надзорных органов по запрещению дальнейшей эксплуатации участков тепловой сети отсутствуют.</w:t>
      </w:r>
    </w:p>
    <w:p w14:paraId="5B080000">
      <w:pPr>
        <w:pStyle w:val="Style_8"/>
        <w:ind w:firstLine="709" w:left="0"/>
        <w:jc w:val="both"/>
        <w:rPr>
          <w:sz w:val="28"/>
        </w:rPr>
      </w:pPr>
      <w:r>
        <w:rPr>
          <w:sz w:val="28"/>
        </w:rPr>
        <w:t xml:space="preserve">р) Описание наиболее распространённых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 </w:t>
      </w:r>
    </w:p>
    <w:p w14:paraId="5C080000">
      <w:pPr>
        <w:pStyle w:val="Style_8"/>
        <w:ind w:firstLine="709" w:left="0"/>
        <w:jc w:val="both"/>
        <w:rPr>
          <w:sz w:val="28"/>
        </w:rPr>
      </w:pPr>
      <w:r>
        <w:rPr>
          <w:sz w:val="28"/>
        </w:rPr>
        <w:t xml:space="preserve">Системы отопления потребителей присоединены </w:t>
      </w:r>
      <w:r>
        <w:rPr>
          <w:sz w:val="28"/>
        </w:rPr>
        <w:t xml:space="preserve">к тепловым сетям по зависимой схеме без смешения и спроектированы с учётом температурных графиков 95/70 ºС. </w:t>
      </w:r>
    </w:p>
    <w:p w14:paraId="5D080000">
      <w:pPr>
        <w:pStyle w:val="Style_8"/>
        <w:ind w:firstLine="709" w:left="0"/>
        <w:jc w:val="both"/>
        <w:rPr>
          <w:sz w:val="28"/>
        </w:rPr>
      </w:pPr>
      <w:r>
        <w:rPr>
          <w:sz w:val="28"/>
        </w:rPr>
        <w:t>с) Сведения о наличии коммерческого приборного учёта тепловой энергии, отпущенной из тепловых сетей потребителям, и анализ планов по установке приб</w:t>
      </w:r>
      <w:r>
        <w:rPr>
          <w:sz w:val="28"/>
        </w:rPr>
        <w:t xml:space="preserve">оров учёта тепловой энергии и теплоносителя. </w:t>
      </w:r>
    </w:p>
    <w:p w14:paraId="5E080000">
      <w:pPr>
        <w:pStyle w:val="Style_8"/>
        <w:ind w:firstLine="709" w:left="0"/>
        <w:jc w:val="both"/>
        <w:rPr>
          <w:sz w:val="28"/>
        </w:rPr>
      </w:pPr>
      <w:r>
        <w:rPr>
          <w:sz w:val="28"/>
        </w:rPr>
        <w:t>Сведения о наличии коммерческого учёта тепловой энергии потребителей указаны в подпункте «и» настоящей схемы.</w:t>
      </w:r>
    </w:p>
    <w:p w14:paraId="5F080000">
      <w:pPr>
        <w:pStyle w:val="Style_8"/>
        <w:ind w:firstLine="709" w:left="0"/>
        <w:jc w:val="both"/>
        <w:rPr>
          <w:sz w:val="28"/>
        </w:rPr>
      </w:pPr>
      <w:r>
        <w:rPr>
          <w:sz w:val="28"/>
        </w:rPr>
        <w:t>т) Анализ работы диспетчерских служб теплоснабжающих (теплосетевых) организаций и используемых средс</w:t>
      </w:r>
      <w:r>
        <w:rPr>
          <w:sz w:val="28"/>
        </w:rPr>
        <w:t xml:space="preserve">тв автоматизации, телемеханизации и связи. </w:t>
      </w:r>
    </w:p>
    <w:p w14:paraId="60080000">
      <w:pPr>
        <w:pStyle w:val="Style_8"/>
        <w:ind w:firstLine="709" w:left="0"/>
        <w:jc w:val="both"/>
        <w:rPr>
          <w:sz w:val="28"/>
        </w:rPr>
      </w:pPr>
      <w:r>
        <w:rPr>
          <w:sz w:val="28"/>
        </w:rPr>
        <w:t xml:space="preserve">Котельные </w:t>
      </w:r>
      <w:r>
        <w:rPr>
          <w:sz w:val="28"/>
        </w:rPr>
        <w:t>работают без постоянного присутствия обслуживающего персонала, в автоматическом режиме.  Для возможности удалённого контроля и проверки работоспособности котельной реализована функция GSM-диспетчеризаци</w:t>
      </w:r>
      <w:r>
        <w:rPr>
          <w:sz w:val="28"/>
        </w:rPr>
        <w:t>и на мобильный телефон руководителя технической службы. Система автоматизации котельных обеспечивает автоматическую работу основного и вспомогательного оборудования, а также всех её систем без постоянного присутствия обслуживающего персонала (оператора). Ч</w:t>
      </w:r>
      <w:r>
        <w:rPr>
          <w:sz w:val="28"/>
        </w:rPr>
        <w:t>асть к</w:t>
      </w:r>
      <w:r>
        <w:rPr>
          <w:sz w:val="28"/>
        </w:rPr>
        <w:t xml:space="preserve">отельных не оснащены автоматизированными системами диспетчеризации. </w:t>
      </w:r>
    </w:p>
    <w:p w14:paraId="61080000">
      <w:pPr>
        <w:pStyle w:val="Style_8"/>
        <w:ind w:firstLine="709" w:left="0"/>
        <w:jc w:val="both"/>
        <w:rPr>
          <w:sz w:val="28"/>
        </w:rPr>
      </w:pPr>
      <w:r>
        <w:rPr>
          <w:sz w:val="28"/>
        </w:rPr>
        <w:t>у) Уровень автоматизации и обслуживания центральных тепловых пунктов, насосных станций.</w:t>
      </w:r>
    </w:p>
    <w:p w14:paraId="62080000">
      <w:pPr>
        <w:pStyle w:val="Style_8"/>
        <w:ind w:firstLine="709" w:left="0"/>
        <w:jc w:val="both"/>
        <w:rPr>
          <w:sz w:val="28"/>
        </w:rPr>
      </w:pPr>
      <w:r>
        <w:rPr>
          <w:sz w:val="28"/>
        </w:rPr>
        <w:t xml:space="preserve">ЦТП, насосные станции в системе СЦТ не предусмотрены. </w:t>
      </w:r>
    </w:p>
    <w:p w14:paraId="63080000">
      <w:pPr>
        <w:pStyle w:val="Style_8"/>
        <w:ind w:firstLine="709" w:left="0"/>
        <w:jc w:val="both"/>
        <w:rPr>
          <w:sz w:val="28"/>
        </w:rPr>
      </w:pPr>
      <w:r>
        <w:rPr>
          <w:sz w:val="28"/>
        </w:rPr>
        <w:t xml:space="preserve">ф) Сведения о наличии защиты тепловых </w:t>
      </w:r>
      <w:r>
        <w:rPr>
          <w:sz w:val="28"/>
        </w:rPr>
        <w:t>сетей от превышения давления.</w:t>
      </w:r>
    </w:p>
    <w:p w14:paraId="64080000">
      <w:pPr>
        <w:pStyle w:val="Style_8"/>
        <w:ind w:firstLine="709" w:left="0"/>
        <w:jc w:val="both"/>
        <w:rPr>
          <w:sz w:val="28"/>
        </w:rPr>
      </w:pPr>
      <w:r>
        <w:rPr>
          <w:sz w:val="28"/>
        </w:rPr>
        <w:t xml:space="preserve">Сведения о наличии защиты тепловых сетей от превышения давления отсутствуют.  </w:t>
      </w:r>
    </w:p>
    <w:p w14:paraId="65080000">
      <w:pPr>
        <w:pStyle w:val="Style_8"/>
        <w:ind w:firstLine="709" w:left="0"/>
        <w:jc w:val="both"/>
        <w:rPr>
          <w:sz w:val="28"/>
        </w:rPr>
      </w:pPr>
      <w:r>
        <w:rPr>
          <w:sz w:val="28"/>
        </w:rPr>
        <w:t xml:space="preserve">х) Перечень выявленных бесхозяйных тепловых сетей и обоснование выбора организации, уполномоченной на их эксплуатацию. </w:t>
      </w:r>
    </w:p>
    <w:p w14:paraId="66080000">
      <w:pPr>
        <w:pStyle w:val="Style_8"/>
        <w:ind w:firstLine="709" w:left="0"/>
        <w:jc w:val="both"/>
        <w:rPr>
          <w:sz w:val="28"/>
        </w:rPr>
      </w:pPr>
      <w:r>
        <w:rPr>
          <w:sz w:val="28"/>
        </w:rPr>
        <w:t>Беcхозяйные тепловые сети н</w:t>
      </w:r>
      <w:r>
        <w:rPr>
          <w:sz w:val="28"/>
        </w:rPr>
        <w:t>а территории Куйбышевского сельского</w:t>
      </w:r>
    </w:p>
    <w:p w14:paraId="67080000">
      <w:pPr>
        <w:pStyle w:val="Style_8"/>
        <w:ind/>
        <w:jc w:val="both"/>
        <w:rPr>
          <w:sz w:val="28"/>
        </w:rPr>
      </w:pPr>
      <w:r>
        <w:rPr>
          <w:sz w:val="28"/>
        </w:rPr>
        <w:t xml:space="preserve">поселения не выявлены. </w:t>
      </w:r>
    </w:p>
    <w:p w14:paraId="68080000">
      <w:pPr>
        <w:pStyle w:val="Style_8"/>
        <w:ind w:firstLine="709" w:left="0"/>
        <w:jc w:val="both"/>
        <w:rPr>
          <w:sz w:val="28"/>
        </w:rPr>
      </w:pPr>
      <w:r>
        <w:rPr>
          <w:sz w:val="28"/>
        </w:rPr>
        <w:t xml:space="preserve">ц) Данные энергетических характеристик тепловых сетей (при их наличии). </w:t>
      </w:r>
    </w:p>
    <w:p w14:paraId="69080000">
      <w:pPr>
        <w:pStyle w:val="Style_8"/>
        <w:ind w:firstLine="709" w:left="0"/>
        <w:jc w:val="both"/>
        <w:rPr>
          <w:sz w:val="28"/>
        </w:rPr>
      </w:pPr>
      <w:r>
        <w:rPr>
          <w:sz w:val="28"/>
        </w:rPr>
        <w:t xml:space="preserve">Энергетические характеристики тепловых сетей отсутствуют. </w:t>
      </w:r>
    </w:p>
    <w:p w14:paraId="6A080000">
      <w:pPr>
        <w:pStyle w:val="Style_8"/>
        <w:ind w:firstLine="709" w:left="0"/>
        <w:jc w:val="center"/>
        <w:rPr>
          <w:b w:val="1"/>
          <w:sz w:val="28"/>
        </w:rPr>
      </w:pPr>
      <w:r>
        <w:rPr>
          <w:b w:val="1"/>
          <w:sz w:val="28"/>
        </w:rPr>
        <w:t>Часть 4 «Зоны действия источников тепловой энергии Куйбышевског</w:t>
      </w:r>
      <w:r>
        <w:rPr>
          <w:b w:val="1"/>
          <w:sz w:val="28"/>
        </w:rPr>
        <w:t>о сельского поселения Куйбышевского района»</w:t>
      </w:r>
    </w:p>
    <w:p w14:paraId="6B080000">
      <w:pPr>
        <w:pStyle w:val="Style_8"/>
        <w:ind w:firstLine="709" w:left="0"/>
        <w:jc w:val="both"/>
        <w:rPr>
          <w:sz w:val="28"/>
        </w:rPr>
      </w:pPr>
      <w:r>
        <w:rPr>
          <w:sz w:val="28"/>
        </w:rPr>
        <w:t xml:space="preserve">Зона действия централизованного теплоснабжения приведена в графическом приложении к схеме теплоснабжения. Контуры зон действия источников тепловой энергии устанавливаются по конечным потребителям, подключённым к </w:t>
      </w:r>
      <w:r>
        <w:rPr>
          <w:sz w:val="28"/>
        </w:rPr>
        <w:t xml:space="preserve">тепловым сетям источника тепловой энергии. </w:t>
      </w:r>
    </w:p>
    <w:p w14:paraId="6C080000">
      <w:pPr>
        <w:pStyle w:val="Style_8"/>
        <w:ind w:firstLine="709" w:left="0"/>
        <w:jc w:val="center"/>
        <w:rPr>
          <w:b w:val="1"/>
          <w:sz w:val="28"/>
        </w:rPr>
      </w:pPr>
      <w:r>
        <w:rPr>
          <w:b w:val="1"/>
          <w:sz w:val="28"/>
        </w:rPr>
        <w:t>Часть 5 «Тепловые нагрузки потребителей тепловой энергии, групп потребителей тепловой энергии Куйбышевского сельского поселения Куйбышевского района»</w:t>
      </w:r>
    </w:p>
    <w:p w14:paraId="6D080000">
      <w:pPr>
        <w:spacing w:line="240" w:lineRule="auto"/>
        <w:ind w:firstLine="709" w:left="0"/>
        <w:jc w:val="both"/>
        <w:rPr>
          <w:sz w:val="28"/>
          <w:highlight w:val="white"/>
        </w:rPr>
      </w:pPr>
      <w:r>
        <w:rPr>
          <w:sz w:val="28"/>
          <w:highlight w:val="white"/>
        </w:rPr>
        <w:t>а) Описание значений спроса на тепловую мощность в расчетных э</w:t>
      </w:r>
      <w:r>
        <w:rPr>
          <w:sz w:val="28"/>
          <w:highlight w:val="white"/>
        </w:rPr>
        <w:t>лементах территориального деления, в том числе значений тепловых нагрузок потребителей тепловой энергии, групп потребителей тепловой энергии.</w:t>
      </w:r>
    </w:p>
    <w:p w14:paraId="6E080000">
      <w:pPr>
        <w:spacing w:line="240" w:lineRule="auto"/>
        <w:ind/>
        <w:jc w:val="both"/>
        <w:rPr>
          <w:sz w:val="28"/>
        </w:rPr>
      </w:pPr>
      <w:r>
        <w:rPr>
          <w:sz w:val="28"/>
        </w:rPr>
        <w:t>Таблица 22 Описание значений спроса на тепловую мощность</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40"/>
          <w:right w:type="dxa" w:w="40"/>
        </w:tblCellMar>
      </w:tblPr>
      <w:tblGrid>
        <w:gridCol w:w="5932"/>
        <w:gridCol w:w="3600"/>
      </w:tblGrid>
      <w:tr>
        <w:trPr>
          <w:trHeight w:hRule="exact" w:val="543"/>
        </w:trPr>
        <w:tc>
          <w:tcPr>
            <w:tcW w:type="dxa" w:w="593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F080000">
            <w:pPr>
              <w:ind/>
              <w:jc w:val="center"/>
              <w:rPr>
                <w:sz w:val="20"/>
              </w:rPr>
            </w:pPr>
            <w:bookmarkStart w:id="3" w:name="_Hlk141806305"/>
            <w:r>
              <w:rPr>
                <w:sz w:val="20"/>
              </w:rPr>
              <w:t>Котельная</w:t>
            </w:r>
          </w:p>
        </w:tc>
        <w:tc>
          <w:tcPr>
            <w:tcW w:type="dxa" w:w="360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0080000">
            <w:pPr>
              <w:ind/>
              <w:jc w:val="center"/>
              <w:rPr>
                <w:sz w:val="20"/>
              </w:rPr>
            </w:pPr>
            <w:r>
              <w:rPr>
                <w:sz w:val="20"/>
              </w:rPr>
              <w:t>Фактическая располагаемая тепловая мощность ист</w:t>
            </w:r>
            <w:r>
              <w:rPr>
                <w:sz w:val="20"/>
              </w:rPr>
              <w:t>очника, Гкал/час</w:t>
            </w:r>
          </w:p>
        </w:tc>
      </w:tr>
      <w:tr>
        <w:trPr>
          <w:trHeight w:hRule="exact" w:val="296"/>
        </w:trPr>
        <w:tc>
          <w:tcPr>
            <w:tcW w:type="dxa" w:w="5932"/>
            <w:tcBorders>
              <w:top w:sz="4" w:val="nil"/>
              <w:left w:color="000000" w:sz="4" w:val="single"/>
              <w:bottom w:color="000000" w:sz="4" w:val="single"/>
              <w:right w:color="000000" w:sz="4" w:val="single"/>
            </w:tcBorders>
            <w:tcMar>
              <w:left w:type="dxa" w:w="40"/>
              <w:right w:type="dxa" w:w="40"/>
            </w:tcMar>
            <w:vAlign w:val="center"/>
          </w:tcPr>
          <w:p w14:paraId="71080000">
            <w:pPr>
              <w:ind/>
              <w:jc w:val="center"/>
              <w:rPr>
                <w:sz w:val="20"/>
              </w:rPr>
            </w:pPr>
            <w:r>
              <w:rPr>
                <w:sz w:val="20"/>
              </w:rPr>
              <w:t>с. Куйбышево, ул. Пролетарская, 7</w:t>
            </w:r>
          </w:p>
        </w:tc>
        <w:tc>
          <w:tcPr>
            <w:tcW w:type="dxa" w:w="3600"/>
            <w:tcBorders>
              <w:top w:sz="4" w:val="nil"/>
              <w:left w:color="000000" w:sz="4" w:val="single"/>
              <w:bottom w:color="000000" w:sz="4" w:val="single"/>
              <w:right w:color="000000" w:sz="4" w:val="single"/>
            </w:tcBorders>
            <w:tcMar>
              <w:left w:type="dxa" w:w="40"/>
              <w:right w:type="dxa" w:w="40"/>
            </w:tcMar>
            <w:vAlign w:val="center"/>
          </w:tcPr>
          <w:p w14:paraId="72080000">
            <w:pPr>
              <w:ind/>
              <w:jc w:val="center"/>
              <w:rPr>
                <w:sz w:val="20"/>
              </w:rPr>
            </w:pPr>
            <w:r>
              <w:rPr>
                <w:sz w:val="20"/>
              </w:rPr>
              <w:t>3,44</w:t>
            </w:r>
          </w:p>
        </w:tc>
      </w:tr>
      <w:tr>
        <w:trPr>
          <w:trHeight w:hRule="exact" w:val="283"/>
        </w:trPr>
        <w:tc>
          <w:tcPr>
            <w:tcW w:type="dxa" w:w="5932"/>
            <w:tcBorders>
              <w:top w:sz="4" w:val="nil"/>
              <w:left w:color="000000" w:sz="4" w:val="single"/>
              <w:bottom w:color="000000" w:sz="4" w:val="single"/>
              <w:right w:color="000000" w:sz="4" w:val="single"/>
            </w:tcBorders>
            <w:tcMar>
              <w:left w:type="dxa" w:w="40"/>
              <w:right w:type="dxa" w:w="40"/>
            </w:tcMar>
            <w:vAlign w:val="center"/>
          </w:tcPr>
          <w:p w14:paraId="73080000">
            <w:pPr>
              <w:ind/>
              <w:jc w:val="center"/>
              <w:rPr>
                <w:sz w:val="20"/>
              </w:rPr>
            </w:pPr>
            <w:r>
              <w:rPr>
                <w:sz w:val="20"/>
              </w:rPr>
              <w:t>с. Русское, ул. Красноармейская,8-а</w:t>
            </w:r>
          </w:p>
        </w:tc>
        <w:tc>
          <w:tcPr>
            <w:tcW w:type="dxa" w:w="3600"/>
            <w:tcBorders>
              <w:top w:sz="4" w:val="nil"/>
              <w:left w:sz="4" w:val="nil"/>
              <w:bottom w:color="000000" w:sz="4" w:val="single"/>
              <w:right w:color="000000" w:sz="4" w:val="single"/>
            </w:tcBorders>
            <w:tcMar>
              <w:left w:type="dxa" w:w="40"/>
              <w:right w:type="dxa" w:w="40"/>
            </w:tcMar>
            <w:vAlign w:val="center"/>
          </w:tcPr>
          <w:p w14:paraId="74080000">
            <w:pPr>
              <w:ind/>
              <w:jc w:val="center"/>
              <w:rPr>
                <w:sz w:val="20"/>
              </w:rPr>
            </w:pPr>
            <w:r>
              <w:rPr>
                <w:sz w:val="20"/>
              </w:rPr>
              <w:t>0,165</w:t>
            </w:r>
          </w:p>
        </w:tc>
      </w:tr>
      <w:tr>
        <w:trPr>
          <w:trHeight w:hRule="exact" w:val="275"/>
        </w:trPr>
        <w:tc>
          <w:tcPr>
            <w:tcW w:type="dxa" w:w="5932"/>
            <w:tcBorders>
              <w:top w:sz="4" w:val="nil"/>
              <w:left w:color="000000" w:sz="4" w:val="single"/>
              <w:bottom w:color="000000" w:sz="4" w:val="single"/>
              <w:right w:color="000000" w:sz="4" w:val="single"/>
            </w:tcBorders>
            <w:tcMar>
              <w:left w:type="dxa" w:w="40"/>
              <w:right w:type="dxa" w:w="40"/>
            </w:tcMar>
            <w:vAlign w:val="center"/>
          </w:tcPr>
          <w:p w14:paraId="75080000">
            <w:pPr>
              <w:ind/>
              <w:jc w:val="center"/>
              <w:rPr>
                <w:sz w:val="20"/>
              </w:rPr>
            </w:pPr>
            <w:r>
              <w:rPr>
                <w:sz w:val="20"/>
              </w:rPr>
              <w:t>с. Русское, ул. Героя Советского Союза М.П. Алексеева, 8</w:t>
            </w:r>
          </w:p>
        </w:tc>
        <w:tc>
          <w:tcPr>
            <w:tcW w:type="dxa" w:w="3600"/>
            <w:tcBorders>
              <w:top w:sz="4" w:val="nil"/>
              <w:left w:sz="4" w:val="nil"/>
              <w:bottom w:color="000000" w:sz="4" w:val="single"/>
              <w:right w:color="000000" w:sz="4" w:val="single"/>
            </w:tcBorders>
            <w:tcMar>
              <w:left w:type="dxa" w:w="40"/>
              <w:right w:type="dxa" w:w="40"/>
            </w:tcMar>
            <w:vAlign w:val="center"/>
          </w:tcPr>
          <w:p w14:paraId="76080000">
            <w:pPr>
              <w:ind/>
              <w:jc w:val="center"/>
              <w:rPr>
                <w:sz w:val="20"/>
              </w:rPr>
            </w:pPr>
            <w:r>
              <w:rPr>
                <w:sz w:val="20"/>
              </w:rPr>
              <w:t>0,054</w:t>
            </w:r>
          </w:p>
        </w:tc>
      </w:tr>
      <w:tr>
        <w:trPr>
          <w:trHeight w:hRule="exact" w:val="291"/>
        </w:trPr>
        <w:tc>
          <w:tcPr>
            <w:tcW w:type="dxa" w:w="5932"/>
            <w:tcBorders>
              <w:top w:sz="4" w:val="nil"/>
              <w:left w:color="000000" w:sz="4" w:val="single"/>
              <w:bottom w:color="000000" w:sz="4" w:val="single"/>
              <w:right w:color="000000" w:sz="4" w:val="single"/>
            </w:tcBorders>
            <w:tcMar>
              <w:left w:type="dxa" w:w="40"/>
              <w:right w:type="dxa" w:w="40"/>
            </w:tcMar>
            <w:vAlign w:val="center"/>
          </w:tcPr>
          <w:p w14:paraId="77080000">
            <w:pPr>
              <w:ind/>
              <w:jc w:val="center"/>
              <w:rPr>
                <w:sz w:val="20"/>
              </w:rPr>
            </w:pPr>
            <w:r>
              <w:rPr>
                <w:sz w:val="20"/>
              </w:rPr>
              <w:t>с. Куйбышево, ул. Театральная, 72</w:t>
            </w:r>
          </w:p>
        </w:tc>
        <w:tc>
          <w:tcPr>
            <w:tcW w:type="dxa" w:w="3600"/>
            <w:tcBorders>
              <w:top w:sz="4" w:val="nil"/>
              <w:left w:sz="4" w:val="nil"/>
              <w:bottom w:color="000000" w:sz="4" w:val="single"/>
              <w:right w:color="000000" w:sz="4" w:val="single"/>
            </w:tcBorders>
            <w:tcMar>
              <w:left w:type="dxa" w:w="40"/>
              <w:right w:type="dxa" w:w="40"/>
            </w:tcMar>
            <w:vAlign w:val="center"/>
          </w:tcPr>
          <w:p w14:paraId="78080000">
            <w:pPr>
              <w:ind/>
              <w:jc w:val="center"/>
              <w:rPr>
                <w:sz w:val="20"/>
              </w:rPr>
            </w:pPr>
            <w:r>
              <w:rPr>
                <w:sz w:val="20"/>
              </w:rPr>
              <w:t>0,054</w:t>
            </w:r>
          </w:p>
        </w:tc>
      </w:tr>
      <w:tr>
        <w:trPr>
          <w:trHeight w:hRule="exact" w:val="269"/>
        </w:trPr>
        <w:tc>
          <w:tcPr>
            <w:tcW w:type="dxa" w:w="5932"/>
            <w:tcBorders>
              <w:top w:sz="4" w:val="nil"/>
              <w:left w:color="000000" w:sz="4" w:val="single"/>
              <w:bottom w:color="000000" w:sz="4" w:val="single"/>
              <w:right w:color="000000" w:sz="4" w:val="single"/>
            </w:tcBorders>
            <w:tcMar>
              <w:left w:type="dxa" w:w="40"/>
              <w:right w:type="dxa" w:w="40"/>
            </w:tcMar>
            <w:vAlign w:val="center"/>
          </w:tcPr>
          <w:p w14:paraId="79080000">
            <w:pPr>
              <w:ind/>
              <w:jc w:val="center"/>
              <w:rPr>
                <w:sz w:val="20"/>
              </w:rPr>
            </w:pPr>
            <w:r>
              <w:rPr>
                <w:sz w:val="20"/>
              </w:rPr>
              <w:t>с. Куйбышево, ул. Пролетарская, 2 а</w:t>
            </w:r>
          </w:p>
        </w:tc>
        <w:tc>
          <w:tcPr>
            <w:tcW w:type="dxa" w:w="3600"/>
            <w:tcBorders>
              <w:top w:sz="4" w:val="nil"/>
              <w:left w:sz="4" w:val="nil"/>
              <w:bottom w:color="000000" w:sz="4" w:val="single"/>
              <w:right w:color="000000" w:sz="4" w:val="single"/>
            </w:tcBorders>
            <w:tcMar>
              <w:left w:type="dxa" w:w="40"/>
              <w:right w:type="dxa" w:w="40"/>
            </w:tcMar>
            <w:vAlign w:val="center"/>
          </w:tcPr>
          <w:p w14:paraId="7A080000">
            <w:pPr>
              <w:ind/>
              <w:jc w:val="center"/>
              <w:rPr>
                <w:sz w:val="20"/>
              </w:rPr>
            </w:pPr>
            <w:r>
              <w:rPr>
                <w:sz w:val="20"/>
              </w:rPr>
              <w:t>0,086</w:t>
            </w:r>
          </w:p>
        </w:tc>
      </w:tr>
      <w:tr>
        <w:trPr>
          <w:trHeight w:hRule="exact" w:val="286"/>
        </w:trPr>
        <w:tc>
          <w:tcPr>
            <w:tcW w:type="dxa" w:w="5932"/>
            <w:tcBorders>
              <w:top w:sz="4" w:val="nil"/>
              <w:left w:color="000000" w:sz="4" w:val="single"/>
              <w:bottom w:color="000000" w:sz="4" w:val="single"/>
              <w:right w:color="000000" w:sz="4" w:val="single"/>
            </w:tcBorders>
            <w:tcMar>
              <w:left w:type="dxa" w:w="40"/>
              <w:right w:type="dxa" w:w="40"/>
            </w:tcMar>
            <w:vAlign w:val="center"/>
          </w:tcPr>
          <w:p w14:paraId="7B080000">
            <w:pPr>
              <w:ind/>
              <w:jc w:val="center"/>
              <w:rPr>
                <w:sz w:val="20"/>
              </w:rPr>
            </w:pPr>
            <w:r>
              <w:rPr>
                <w:sz w:val="20"/>
              </w:rPr>
              <w:t xml:space="preserve">с. </w:t>
            </w:r>
            <w:r>
              <w:rPr>
                <w:sz w:val="20"/>
              </w:rPr>
              <w:t>Куйбышево, ул. Кузьменко, 3 а</w:t>
            </w:r>
          </w:p>
        </w:tc>
        <w:tc>
          <w:tcPr>
            <w:tcW w:type="dxa" w:w="3600"/>
            <w:tcBorders>
              <w:top w:sz="4" w:val="nil"/>
              <w:left w:sz="4" w:val="nil"/>
              <w:bottom w:color="000000" w:sz="4" w:val="single"/>
              <w:right w:color="000000" w:sz="4" w:val="single"/>
            </w:tcBorders>
            <w:tcMar>
              <w:left w:type="dxa" w:w="40"/>
              <w:right w:type="dxa" w:w="40"/>
            </w:tcMar>
            <w:vAlign w:val="center"/>
          </w:tcPr>
          <w:p w14:paraId="7C080000">
            <w:pPr>
              <w:ind/>
              <w:jc w:val="center"/>
              <w:rPr>
                <w:sz w:val="20"/>
              </w:rPr>
            </w:pPr>
            <w:r>
              <w:rPr>
                <w:sz w:val="20"/>
              </w:rPr>
              <w:t>0,172</w:t>
            </w:r>
          </w:p>
        </w:tc>
      </w:tr>
      <w:tr>
        <w:trPr>
          <w:trHeight w:hRule="exact" w:val="279"/>
        </w:trPr>
        <w:tc>
          <w:tcPr>
            <w:tcW w:type="dxa" w:w="5932"/>
            <w:tcBorders>
              <w:top w:sz="4" w:val="nil"/>
              <w:left w:color="000000" w:sz="4" w:val="single"/>
              <w:bottom w:color="000000" w:sz="4" w:val="single"/>
              <w:right w:color="000000" w:sz="4" w:val="single"/>
            </w:tcBorders>
            <w:tcMar>
              <w:left w:type="dxa" w:w="40"/>
              <w:right w:type="dxa" w:w="40"/>
            </w:tcMar>
            <w:vAlign w:val="center"/>
          </w:tcPr>
          <w:p w14:paraId="7D080000">
            <w:pPr>
              <w:ind/>
              <w:jc w:val="center"/>
              <w:rPr>
                <w:sz w:val="20"/>
              </w:rPr>
            </w:pPr>
            <w:r>
              <w:rPr>
                <w:sz w:val="20"/>
              </w:rPr>
              <w:t>х. Свободный, ул. Молодёжная, 8</w:t>
            </w:r>
          </w:p>
        </w:tc>
        <w:tc>
          <w:tcPr>
            <w:tcW w:type="dxa" w:w="3600"/>
            <w:tcBorders>
              <w:top w:sz="4" w:val="nil"/>
              <w:left w:sz="4" w:val="nil"/>
              <w:bottom w:color="000000" w:sz="4" w:val="single"/>
              <w:right w:color="000000" w:sz="4" w:val="single"/>
            </w:tcBorders>
            <w:tcMar>
              <w:left w:type="dxa" w:w="40"/>
              <w:right w:type="dxa" w:w="40"/>
            </w:tcMar>
            <w:vAlign w:val="center"/>
          </w:tcPr>
          <w:p w14:paraId="7E080000">
            <w:pPr>
              <w:ind/>
              <w:jc w:val="center"/>
              <w:rPr>
                <w:sz w:val="20"/>
              </w:rPr>
            </w:pPr>
            <w:r>
              <w:rPr>
                <w:sz w:val="20"/>
              </w:rPr>
              <w:t>0,126</w:t>
            </w:r>
          </w:p>
        </w:tc>
      </w:tr>
      <w:tr>
        <w:trPr>
          <w:trHeight w:hRule="exact" w:val="285"/>
        </w:trPr>
        <w:tc>
          <w:tcPr>
            <w:tcW w:type="dxa" w:w="5932"/>
            <w:tcBorders>
              <w:top w:sz="4" w:val="nil"/>
              <w:left w:color="000000" w:sz="4" w:val="single"/>
              <w:bottom w:color="000000" w:sz="4" w:val="single"/>
              <w:right w:color="000000" w:sz="4" w:val="single"/>
            </w:tcBorders>
            <w:tcMar>
              <w:left w:type="dxa" w:w="40"/>
              <w:right w:type="dxa" w:w="40"/>
            </w:tcMar>
            <w:vAlign w:val="center"/>
          </w:tcPr>
          <w:p w14:paraId="7F080000">
            <w:pPr>
              <w:ind/>
              <w:jc w:val="center"/>
              <w:rPr>
                <w:sz w:val="20"/>
              </w:rPr>
            </w:pPr>
            <w:r>
              <w:rPr>
                <w:sz w:val="20"/>
              </w:rPr>
              <w:t>х. Ольховский, ул. Центральная, 3 а</w:t>
            </w:r>
          </w:p>
        </w:tc>
        <w:tc>
          <w:tcPr>
            <w:tcW w:type="dxa" w:w="3600"/>
            <w:tcBorders>
              <w:top w:sz="4" w:val="nil"/>
              <w:left w:sz="4" w:val="nil"/>
              <w:bottom w:color="000000" w:sz="4" w:val="single"/>
              <w:right w:color="000000" w:sz="4" w:val="single"/>
            </w:tcBorders>
            <w:tcMar>
              <w:left w:type="dxa" w:w="40"/>
              <w:right w:type="dxa" w:w="40"/>
            </w:tcMar>
            <w:vAlign w:val="center"/>
          </w:tcPr>
          <w:p w14:paraId="80080000">
            <w:pPr>
              <w:ind/>
              <w:jc w:val="center"/>
              <w:rPr>
                <w:sz w:val="20"/>
              </w:rPr>
            </w:pPr>
            <w:r>
              <w:rPr>
                <w:sz w:val="20"/>
              </w:rPr>
              <w:t>0,052</w:t>
            </w:r>
          </w:p>
        </w:tc>
      </w:tr>
      <w:tr>
        <w:trPr>
          <w:trHeight w:hRule="exact" w:val="296"/>
        </w:trPr>
        <w:tc>
          <w:tcPr>
            <w:tcW w:type="dxa" w:w="5932"/>
            <w:tcBorders>
              <w:top w:sz="4" w:val="nil"/>
              <w:left w:color="000000" w:sz="4" w:val="single"/>
              <w:bottom w:color="000000" w:sz="4" w:val="single"/>
              <w:right w:color="000000" w:sz="4" w:val="single"/>
            </w:tcBorders>
            <w:tcMar>
              <w:left w:type="dxa" w:w="40"/>
              <w:right w:type="dxa" w:w="40"/>
            </w:tcMar>
            <w:vAlign w:val="center"/>
          </w:tcPr>
          <w:p w14:paraId="81080000">
            <w:pPr>
              <w:ind/>
              <w:jc w:val="center"/>
              <w:rPr>
                <w:sz w:val="20"/>
              </w:rPr>
            </w:pPr>
            <w:r>
              <w:rPr>
                <w:sz w:val="20"/>
              </w:rPr>
              <w:t>с. Куйбышево, ул. Пролетарская, 5</w:t>
            </w:r>
          </w:p>
        </w:tc>
        <w:tc>
          <w:tcPr>
            <w:tcW w:type="dxa" w:w="3600"/>
            <w:tcBorders>
              <w:top w:sz="4" w:val="nil"/>
              <w:left w:sz="4" w:val="nil"/>
              <w:bottom w:color="000000" w:sz="4" w:val="single"/>
              <w:right w:color="000000" w:sz="4" w:val="single"/>
            </w:tcBorders>
            <w:tcMar>
              <w:left w:type="dxa" w:w="40"/>
              <w:right w:type="dxa" w:w="40"/>
            </w:tcMar>
            <w:vAlign w:val="center"/>
          </w:tcPr>
          <w:p w14:paraId="82080000">
            <w:pPr>
              <w:ind/>
              <w:jc w:val="center"/>
              <w:rPr>
                <w:sz w:val="20"/>
              </w:rPr>
            </w:pPr>
            <w:r>
              <w:rPr>
                <w:sz w:val="20"/>
              </w:rPr>
              <w:t>0,034</w:t>
            </w:r>
          </w:p>
        </w:tc>
      </w:tr>
      <w:tr>
        <w:trPr>
          <w:trHeight w:hRule="exact" w:val="276"/>
        </w:trPr>
        <w:tc>
          <w:tcPr>
            <w:tcW w:type="dxa" w:w="5932"/>
            <w:tcBorders>
              <w:top w:sz="4" w:val="nil"/>
              <w:left w:color="000000" w:sz="4" w:val="single"/>
              <w:bottom w:color="000000" w:sz="4" w:val="single"/>
              <w:right w:color="000000" w:sz="4" w:val="single"/>
            </w:tcBorders>
            <w:tcMar>
              <w:left w:type="dxa" w:w="40"/>
              <w:right w:type="dxa" w:w="40"/>
            </w:tcMar>
            <w:vAlign w:val="center"/>
          </w:tcPr>
          <w:p w14:paraId="83080000">
            <w:pPr>
              <w:ind/>
              <w:jc w:val="center"/>
              <w:rPr>
                <w:sz w:val="20"/>
              </w:rPr>
            </w:pPr>
            <w:r>
              <w:rPr>
                <w:sz w:val="20"/>
              </w:rPr>
              <w:t>с. Куйбышево, ул. Театральная, 22</w:t>
            </w:r>
          </w:p>
        </w:tc>
        <w:tc>
          <w:tcPr>
            <w:tcW w:type="dxa" w:w="3600"/>
            <w:tcBorders>
              <w:top w:sz="4" w:val="nil"/>
              <w:left w:sz="4" w:val="nil"/>
              <w:bottom w:color="000000" w:sz="4" w:val="single"/>
              <w:right w:color="000000" w:sz="4" w:val="single"/>
            </w:tcBorders>
            <w:tcMar>
              <w:left w:type="dxa" w:w="40"/>
              <w:right w:type="dxa" w:w="40"/>
            </w:tcMar>
            <w:vAlign w:val="center"/>
          </w:tcPr>
          <w:p w14:paraId="84080000">
            <w:pPr>
              <w:ind/>
              <w:jc w:val="center"/>
              <w:rPr>
                <w:sz w:val="20"/>
              </w:rPr>
            </w:pPr>
            <w:r>
              <w:rPr>
                <w:sz w:val="20"/>
              </w:rPr>
              <w:t>0,165</w:t>
            </w:r>
          </w:p>
        </w:tc>
      </w:tr>
      <w:tr>
        <w:trPr>
          <w:trHeight w:hRule="exact" w:val="248"/>
        </w:trPr>
        <w:tc>
          <w:tcPr>
            <w:tcW w:type="dxa" w:w="5932"/>
            <w:tcBorders>
              <w:top w:sz="4" w:val="nil"/>
              <w:left w:color="000000" w:sz="4" w:val="single"/>
              <w:bottom w:color="000000" w:sz="4" w:val="single"/>
              <w:right w:color="000000" w:sz="4" w:val="single"/>
            </w:tcBorders>
            <w:tcMar>
              <w:left w:type="dxa" w:w="40"/>
              <w:right w:type="dxa" w:w="40"/>
            </w:tcMar>
            <w:vAlign w:val="center"/>
          </w:tcPr>
          <w:p w14:paraId="85080000">
            <w:pPr>
              <w:ind/>
              <w:jc w:val="center"/>
              <w:rPr>
                <w:sz w:val="20"/>
              </w:rPr>
            </w:pPr>
            <w:r>
              <w:rPr>
                <w:sz w:val="20"/>
              </w:rPr>
              <w:t>х. Свободный, ул. Победы, 29</w:t>
            </w:r>
          </w:p>
        </w:tc>
        <w:tc>
          <w:tcPr>
            <w:tcW w:type="dxa" w:w="3600"/>
            <w:tcBorders>
              <w:top w:sz="4" w:val="nil"/>
              <w:left w:sz="4" w:val="nil"/>
              <w:bottom w:color="000000" w:sz="4" w:val="single"/>
              <w:right w:color="000000" w:sz="4" w:val="single"/>
            </w:tcBorders>
            <w:tcMar>
              <w:left w:type="dxa" w:w="40"/>
              <w:right w:type="dxa" w:w="40"/>
            </w:tcMar>
            <w:vAlign w:val="center"/>
          </w:tcPr>
          <w:p w14:paraId="86080000">
            <w:pPr>
              <w:ind/>
              <w:jc w:val="center"/>
              <w:rPr>
                <w:sz w:val="20"/>
              </w:rPr>
            </w:pPr>
            <w:r>
              <w:rPr>
                <w:sz w:val="20"/>
              </w:rPr>
              <w:t>0,014</w:t>
            </w:r>
          </w:p>
        </w:tc>
      </w:tr>
      <w:tr>
        <w:trPr>
          <w:trHeight w:hRule="exact" w:val="274"/>
        </w:trPr>
        <w:tc>
          <w:tcPr>
            <w:tcW w:type="dxa" w:w="5932"/>
            <w:tcBorders>
              <w:top w:sz="4" w:val="nil"/>
              <w:left w:color="000000" w:sz="4" w:val="single"/>
              <w:bottom w:color="000000" w:sz="4" w:val="single"/>
              <w:right w:color="000000" w:sz="4" w:val="single"/>
            </w:tcBorders>
            <w:tcMar>
              <w:left w:type="dxa" w:w="40"/>
              <w:right w:type="dxa" w:w="40"/>
            </w:tcMar>
            <w:vAlign w:val="center"/>
          </w:tcPr>
          <w:p w14:paraId="87080000">
            <w:pPr>
              <w:ind/>
              <w:jc w:val="center"/>
              <w:rPr>
                <w:sz w:val="20"/>
              </w:rPr>
            </w:pPr>
            <w:r>
              <w:rPr>
                <w:sz w:val="20"/>
              </w:rPr>
              <w:t xml:space="preserve">х. Новобахмутский, </w:t>
            </w:r>
            <w:r>
              <w:rPr>
                <w:sz w:val="20"/>
              </w:rPr>
              <w:t>ул. Широкая, 89 а</w:t>
            </w:r>
          </w:p>
        </w:tc>
        <w:tc>
          <w:tcPr>
            <w:tcW w:type="dxa" w:w="3600"/>
            <w:tcBorders>
              <w:top w:sz="4" w:val="nil"/>
              <w:left w:sz="4" w:val="nil"/>
              <w:bottom w:color="000000" w:sz="4" w:val="single"/>
              <w:right w:color="000000" w:sz="4" w:val="single"/>
            </w:tcBorders>
            <w:tcMar>
              <w:left w:type="dxa" w:w="40"/>
              <w:right w:type="dxa" w:w="40"/>
            </w:tcMar>
            <w:vAlign w:val="center"/>
          </w:tcPr>
          <w:p w14:paraId="88080000">
            <w:pPr>
              <w:ind/>
              <w:jc w:val="center"/>
              <w:rPr>
                <w:sz w:val="20"/>
              </w:rPr>
            </w:pPr>
            <w:r>
              <w:rPr>
                <w:sz w:val="20"/>
              </w:rPr>
              <w:t>0,014</w:t>
            </w:r>
          </w:p>
        </w:tc>
      </w:tr>
      <w:tr>
        <w:trPr>
          <w:trHeight w:hRule="exact" w:val="223"/>
        </w:trPr>
        <w:tc>
          <w:tcPr>
            <w:tcW w:type="dxa" w:w="5932"/>
            <w:tcBorders>
              <w:top w:sz="4" w:val="nil"/>
              <w:left w:color="000000" w:sz="4" w:val="single"/>
              <w:bottom w:color="000000" w:sz="4" w:val="single"/>
              <w:right w:color="000000" w:sz="4" w:val="single"/>
            </w:tcBorders>
            <w:tcMar>
              <w:left w:type="dxa" w:w="40"/>
              <w:right w:type="dxa" w:w="40"/>
            </w:tcMar>
            <w:vAlign w:val="center"/>
          </w:tcPr>
          <w:p w14:paraId="89080000">
            <w:pPr>
              <w:ind/>
              <w:jc w:val="center"/>
              <w:rPr>
                <w:sz w:val="20"/>
              </w:rPr>
            </w:pPr>
            <w:r>
              <w:rPr>
                <w:sz w:val="20"/>
              </w:rPr>
              <w:t>с. Русское, ул. Красноармейская, 1</w:t>
            </w:r>
          </w:p>
        </w:tc>
        <w:tc>
          <w:tcPr>
            <w:tcW w:type="dxa" w:w="3600"/>
            <w:tcBorders>
              <w:top w:sz="4" w:val="nil"/>
              <w:left w:sz="4" w:val="nil"/>
              <w:bottom w:color="000000" w:sz="4" w:val="single"/>
              <w:right w:color="000000" w:sz="4" w:val="single"/>
            </w:tcBorders>
            <w:tcMar>
              <w:left w:type="dxa" w:w="40"/>
              <w:right w:type="dxa" w:w="40"/>
            </w:tcMar>
            <w:vAlign w:val="center"/>
          </w:tcPr>
          <w:p w14:paraId="8A080000">
            <w:pPr>
              <w:ind/>
              <w:jc w:val="center"/>
              <w:rPr>
                <w:sz w:val="20"/>
              </w:rPr>
            </w:pPr>
            <w:r>
              <w:rPr>
                <w:sz w:val="20"/>
              </w:rPr>
              <w:t>0,094</w:t>
            </w:r>
          </w:p>
        </w:tc>
      </w:tr>
      <w:tr>
        <w:trPr>
          <w:trHeight w:hRule="exact" w:val="283"/>
        </w:trPr>
        <w:tc>
          <w:tcPr>
            <w:tcW w:type="dxa" w:w="5932"/>
            <w:tcBorders>
              <w:top w:sz="4" w:val="nil"/>
              <w:left w:color="000000" w:sz="4" w:val="single"/>
              <w:bottom w:color="000000" w:sz="4" w:val="single"/>
              <w:right w:color="000000" w:sz="4" w:val="single"/>
            </w:tcBorders>
            <w:tcMar>
              <w:left w:type="dxa" w:w="40"/>
              <w:right w:type="dxa" w:w="40"/>
            </w:tcMar>
            <w:vAlign w:val="center"/>
          </w:tcPr>
          <w:p w14:paraId="8B080000">
            <w:pPr>
              <w:ind/>
              <w:jc w:val="center"/>
              <w:rPr>
                <w:sz w:val="20"/>
              </w:rPr>
            </w:pPr>
            <w:r>
              <w:rPr>
                <w:sz w:val="20"/>
              </w:rPr>
              <w:t>с. Куйбышево, ул. Цветаева, 31</w:t>
            </w:r>
          </w:p>
        </w:tc>
        <w:tc>
          <w:tcPr>
            <w:tcW w:type="dxa" w:w="3600"/>
            <w:tcBorders>
              <w:top w:sz="4" w:val="nil"/>
              <w:left w:sz="4" w:val="nil"/>
              <w:bottom w:color="000000" w:sz="4" w:val="single"/>
              <w:right w:color="000000" w:sz="4" w:val="single"/>
            </w:tcBorders>
            <w:tcMar>
              <w:left w:type="dxa" w:w="40"/>
              <w:right w:type="dxa" w:w="40"/>
            </w:tcMar>
            <w:vAlign w:val="center"/>
          </w:tcPr>
          <w:p w14:paraId="8C080000">
            <w:pPr>
              <w:ind/>
              <w:jc w:val="center"/>
              <w:rPr>
                <w:sz w:val="20"/>
              </w:rPr>
            </w:pPr>
            <w:r>
              <w:rPr>
                <w:sz w:val="20"/>
              </w:rPr>
              <w:t>0,020</w:t>
            </w:r>
          </w:p>
        </w:tc>
      </w:tr>
      <w:tr>
        <w:trPr>
          <w:trHeight w:hRule="exact" w:val="256"/>
        </w:trPr>
        <w:tc>
          <w:tcPr>
            <w:tcW w:type="dxa" w:w="5932"/>
            <w:tcBorders>
              <w:top w:sz="4" w:val="nil"/>
              <w:left w:color="000000" w:sz="4" w:val="single"/>
              <w:bottom w:color="000000" w:sz="4" w:val="single"/>
              <w:right w:color="000000" w:sz="4" w:val="single"/>
            </w:tcBorders>
            <w:tcMar>
              <w:left w:type="dxa" w:w="40"/>
              <w:right w:type="dxa" w:w="40"/>
            </w:tcMar>
            <w:vAlign w:val="center"/>
          </w:tcPr>
          <w:p w14:paraId="8D080000">
            <w:pPr>
              <w:ind/>
              <w:jc w:val="center"/>
              <w:rPr>
                <w:sz w:val="20"/>
              </w:rPr>
            </w:pPr>
            <w:r>
              <w:rPr>
                <w:sz w:val="20"/>
              </w:rPr>
              <w:t>с. Куйбышево, ул. Куйбышевская, 24</w:t>
            </w:r>
          </w:p>
        </w:tc>
        <w:tc>
          <w:tcPr>
            <w:tcW w:type="dxa" w:w="3600"/>
            <w:tcBorders>
              <w:top w:sz="4" w:val="nil"/>
              <w:left w:sz="4" w:val="nil"/>
              <w:bottom w:color="000000" w:sz="4" w:val="single"/>
              <w:right w:color="000000" w:sz="4" w:val="single"/>
            </w:tcBorders>
            <w:tcMar>
              <w:left w:type="dxa" w:w="40"/>
              <w:right w:type="dxa" w:w="40"/>
            </w:tcMar>
            <w:vAlign w:val="center"/>
          </w:tcPr>
          <w:p w14:paraId="8E080000">
            <w:pPr>
              <w:ind/>
              <w:jc w:val="center"/>
              <w:rPr>
                <w:sz w:val="20"/>
              </w:rPr>
            </w:pPr>
            <w:r>
              <w:rPr>
                <w:sz w:val="20"/>
              </w:rPr>
              <w:t>0,165</w:t>
            </w:r>
          </w:p>
        </w:tc>
      </w:tr>
      <w:tr>
        <w:trPr>
          <w:trHeight w:hRule="exact" w:val="257"/>
        </w:trPr>
        <w:tc>
          <w:tcPr>
            <w:tcW w:type="dxa" w:w="5932"/>
            <w:tcBorders>
              <w:top w:sz="4" w:val="nil"/>
              <w:left w:color="000000" w:sz="4" w:val="single"/>
              <w:bottom w:color="000000" w:sz="4" w:val="single"/>
              <w:right w:color="000000" w:sz="4" w:val="single"/>
            </w:tcBorders>
            <w:tcMar>
              <w:left w:type="dxa" w:w="40"/>
              <w:right w:type="dxa" w:w="40"/>
            </w:tcMar>
            <w:vAlign w:val="center"/>
          </w:tcPr>
          <w:p w14:paraId="8F080000">
            <w:pPr>
              <w:ind/>
              <w:jc w:val="center"/>
              <w:rPr>
                <w:sz w:val="20"/>
              </w:rPr>
            </w:pPr>
            <w:r>
              <w:rPr>
                <w:sz w:val="20"/>
              </w:rPr>
              <w:t>с. Куйбышево, ул. Куйбышевская, 20</w:t>
            </w:r>
          </w:p>
        </w:tc>
        <w:tc>
          <w:tcPr>
            <w:tcW w:type="dxa" w:w="3600"/>
            <w:tcBorders>
              <w:top w:sz="4" w:val="nil"/>
              <w:left w:sz="4" w:val="nil"/>
              <w:bottom w:color="000000" w:sz="4" w:val="single"/>
              <w:right w:color="000000" w:sz="4" w:val="single"/>
            </w:tcBorders>
            <w:tcMar>
              <w:left w:type="dxa" w:w="40"/>
              <w:right w:type="dxa" w:w="40"/>
            </w:tcMar>
            <w:vAlign w:val="center"/>
          </w:tcPr>
          <w:p w14:paraId="90080000">
            <w:pPr>
              <w:ind/>
              <w:jc w:val="center"/>
              <w:rPr>
                <w:sz w:val="20"/>
              </w:rPr>
            </w:pPr>
            <w:r>
              <w:rPr>
                <w:sz w:val="20"/>
              </w:rPr>
              <w:t>0,027</w:t>
            </w:r>
          </w:p>
        </w:tc>
      </w:tr>
      <w:tr>
        <w:trPr>
          <w:trHeight w:hRule="exact" w:val="262"/>
        </w:trPr>
        <w:tc>
          <w:tcPr>
            <w:tcW w:type="dxa" w:w="5932"/>
            <w:tcBorders>
              <w:top w:sz="4" w:val="nil"/>
              <w:left w:color="000000" w:sz="4" w:val="single"/>
              <w:bottom w:color="000000" w:sz="4" w:val="single"/>
              <w:right w:color="000000" w:sz="4" w:val="single"/>
            </w:tcBorders>
            <w:tcMar>
              <w:left w:type="dxa" w:w="40"/>
              <w:right w:type="dxa" w:w="40"/>
            </w:tcMar>
            <w:vAlign w:val="center"/>
          </w:tcPr>
          <w:p w14:paraId="91080000">
            <w:pPr>
              <w:ind/>
              <w:jc w:val="center"/>
              <w:rPr>
                <w:sz w:val="20"/>
              </w:rPr>
            </w:pPr>
            <w:r>
              <w:rPr>
                <w:sz w:val="20"/>
              </w:rPr>
              <w:t>с. Куйбышево, ул. Миусская, 3</w:t>
            </w:r>
          </w:p>
        </w:tc>
        <w:tc>
          <w:tcPr>
            <w:tcW w:type="dxa" w:w="3600"/>
            <w:tcBorders>
              <w:top w:sz="4" w:val="nil"/>
              <w:left w:sz="4" w:val="nil"/>
              <w:bottom w:color="000000" w:sz="4" w:val="single"/>
              <w:right w:color="000000" w:sz="4" w:val="single"/>
            </w:tcBorders>
            <w:tcMar>
              <w:left w:type="dxa" w:w="40"/>
              <w:right w:type="dxa" w:w="40"/>
            </w:tcMar>
            <w:vAlign w:val="center"/>
          </w:tcPr>
          <w:p w14:paraId="92080000">
            <w:pPr>
              <w:ind/>
              <w:jc w:val="center"/>
              <w:rPr>
                <w:sz w:val="20"/>
              </w:rPr>
            </w:pPr>
            <w:r>
              <w:rPr>
                <w:sz w:val="20"/>
              </w:rPr>
              <w:t>0,165</w:t>
            </w:r>
          </w:p>
        </w:tc>
      </w:tr>
      <w:tr>
        <w:trPr>
          <w:trHeight w:hRule="exact" w:val="271"/>
        </w:trPr>
        <w:tc>
          <w:tcPr>
            <w:tcW w:type="dxa" w:w="5932"/>
            <w:tcBorders>
              <w:top w:sz="4" w:val="nil"/>
              <w:left w:color="000000" w:sz="4" w:val="single"/>
              <w:bottom w:color="000000" w:sz="4" w:val="single"/>
              <w:right w:color="000000" w:sz="4" w:val="single"/>
            </w:tcBorders>
            <w:tcMar>
              <w:left w:type="dxa" w:w="40"/>
              <w:right w:type="dxa" w:w="40"/>
            </w:tcMar>
            <w:vAlign w:val="center"/>
          </w:tcPr>
          <w:p w14:paraId="93080000">
            <w:pPr>
              <w:ind/>
              <w:jc w:val="center"/>
              <w:rPr>
                <w:sz w:val="20"/>
              </w:rPr>
            </w:pPr>
            <w:r>
              <w:rPr>
                <w:sz w:val="20"/>
              </w:rPr>
              <w:t>с. Куйбышево, ул. Миусская, 3</w:t>
            </w:r>
          </w:p>
        </w:tc>
        <w:tc>
          <w:tcPr>
            <w:tcW w:type="dxa" w:w="3600"/>
            <w:tcBorders>
              <w:top w:sz="4" w:val="nil"/>
              <w:left w:sz="4" w:val="nil"/>
              <w:bottom w:color="000000" w:sz="4" w:val="single"/>
              <w:right w:color="000000" w:sz="4" w:val="single"/>
            </w:tcBorders>
            <w:tcMar>
              <w:left w:type="dxa" w:w="40"/>
              <w:right w:type="dxa" w:w="40"/>
            </w:tcMar>
            <w:vAlign w:val="center"/>
          </w:tcPr>
          <w:p w14:paraId="94080000">
            <w:pPr>
              <w:ind/>
              <w:jc w:val="center"/>
              <w:rPr>
                <w:sz w:val="20"/>
              </w:rPr>
            </w:pPr>
            <w:r>
              <w:rPr>
                <w:sz w:val="20"/>
              </w:rPr>
              <w:t>0,086</w:t>
            </w:r>
          </w:p>
        </w:tc>
      </w:tr>
      <w:tr>
        <w:trPr>
          <w:trHeight w:hRule="exact" w:val="286"/>
        </w:trPr>
        <w:tc>
          <w:tcPr>
            <w:tcW w:type="dxa" w:w="5932"/>
            <w:tcBorders>
              <w:top w:sz="4" w:val="nil"/>
              <w:left w:color="000000" w:sz="4" w:val="single"/>
              <w:bottom w:color="000000" w:sz="4" w:val="single"/>
              <w:right w:color="000000" w:sz="4" w:val="single"/>
            </w:tcBorders>
            <w:tcMar>
              <w:left w:type="dxa" w:w="40"/>
              <w:right w:type="dxa" w:w="40"/>
            </w:tcMar>
            <w:vAlign w:val="center"/>
          </w:tcPr>
          <w:p w14:paraId="95080000">
            <w:pPr>
              <w:ind/>
              <w:jc w:val="center"/>
              <w:rPr>
                <w:sz w:val="20"/>
              </w:rPr>
            </w:pPr>
            <w:r>
              <w:rPr>
                <w:sz w:val="20"/>
              </w:rPr>
              <w:t>с. Куйбышево, ул. Миусская, 3</w:t>
            </w:r>
          </w:p>
        </w:tc>
        <w:tc>
          <w:tcPr>
            <w:tcW w:type="dxa" w:w="3600"/>
            <w:tcBorders>
              <w:top w:sz="4" w:val="nil"/>
              <w:left w:sz="4" w:val="nil"/>
              <w:bottom w:color="000000" w:sz="4" w:val="single"/>
              <w:right w:color="000000" w:sz="4" w:val="single"/>
            </w:tcBorders>
            <w:tcMar>
              <w:left w:type="dxa" w:w="40"/>
              <w:right w:type="dxa" w:w="40"/>
            </w:tcMar>
            <w:vAlign w:val="center"/>
          </w:tcPr>
          <w:p w14:paraId="96080000">
            <w:pPr>
              <w:ind/>
              <w:jc w:val="center"/>
              <w:rPr>
                <w:sz w:val="20"/>
              </w:rPr>
            </w:pPr>
            <w:r>
              <w:rPr>
                <w:sz w:val="20"/>
              </w:rPr>
              <w:t>0,019</w:t>
            </w:r>
          </w:p>
        </w:tc>
      </w:tr>
      <w:tr>
        <w:trPr>
          <w:trHeight w:hRule="exact" w:val="286"/>
        </w:trPr>
        <w:tc>
          <w:tcPr>
            <w:tcW w:type="dxa" w:w="5932"/>
            <w:tcBorders>
              <w:top w:sz="4" w:val="nil"/>
              <w:left w:color="000000" w:sz="4" w:val="single"/>
              <w:bottom w:color="000000" w:sz="4" w:val="single"/>
              <w:right w:color="000000" w:sz="4" w:val="single"/>
            </w:tcBorders>
            <w:tcMar>
              <w:left w:type="dxa" w:w="40"/>
              <w:right w:type="dxa" w:w="40"/>
            </w:tcMar>
            <w:vAlign w:val="center"/>
          </w:tcPr>
          <w:p w14:paraId="97080000">
            <w:pPr>
              <w:ind/>
              <w:jc w:val="center"/>
              <w:rPr>
                <w:sz w:val="20"/>
              </w:rPr>
            </w:pPr>
            <w:r>
              <w:rPr>
                <w:sz w:val="20"/>
              </w:rPr>
              <w:t>с. Куйбышево, ул. Миусская, 3</w:t>
            </w:r>
          </w:p>
        </w:tc>
        <w:tc>
          <w:tcPr>
            <w:tcW w:type="dxa" w:w="3600"/>
            <w:tcBorders>
              <w:top w:sz="4" w:val="nil"/>
              <w:left w:sz="4" w:val="nil"/>
              <w:bottom w:color="000000" w:sz="4" w:val="single"/>
              <w:right w:color="000000" w:sz="4" w:val="single"/>
            </w:tcBorders>
            <w:tcMar>
              <w:left w:type="dxa" w:w="40"/>
              <w:right w:type="dxa" w:w="40"/>
            </w:tcMar>
            <w:vAlign w:val="center"/>
          </w:tcPr>
          <w:p w14:paraId="98080000">
            <w:pPr>
              <w:ind/>
              <w:jc w:val="center"/>
              <w:rPr>
                <w:sz w:val="20"/>
              </w:rPr>
            </w:pPr>
            <w:r>
              <w:rPr>
                <w:sz w:val="20"/>
              </w:rPr>
              <w:t>0,020</w:t>
            </w:r>
          </w:p>
        </w:tc>
      </w:tr>
      <w:tr>
        <w:trPr>
          <w:trHeight w:hRule="exact" w:val="301"/>
        </w:trPr>
        <w:tc>
          <w:tcPr>
            <w:tcW w:type="dxa" w:w="5932"/>
            <w:tcBorders>
              <w:top w:sz="4" w:val="nil"/>
              <w:left w:color="000000" w:sz="4" w:val="single"/>
              <w:bottom w:color="000000" w:sz="4" w:val="single"/>
              <w:right w:color="000000" w:sz="4" w:val="single"/>
            </w:tcBorders>
            <w:tcMar>
              <w:left w:type="dxa" w:w="40"/>
              <w:right w:type="dxa" w:w="40"/>
            </w:tcMar>
            <w:vAlign w:val="center"/>
          </w:tcPr>
          <w:p w14:paraId="99080000">
            <w:pPr>
              <w:ind/>
              <w:jc w:val="center"/>
              <w:rPr>
                <w:sz w:val="20"/>
              </w:rPr>
            </w:pPr>
            <w:r>
              <w:rPr>
                <w:sz w:val="20"/>
              </w:rPr>
              <w:t>с. Куйбышево, ул. Миусская, 3</w:t>
            </w:r>
          </w:p>
        </w:tc>
        <w:tc>
          <w:tcPr>
            <w:tcW w:type="dxa" w:w="3600"/>
            <w:tcBorders>
              <w:top w:sz="4" w:val="nil"/>
              <w:left w:sz="4" w:val="nil"/>
              <w:bottom w:color="000000" w:sz="4" w:val="single"/>
              <w:right w:color="000000" w:sz="4" w:val="single"/>
            </w:tcBorders>
            <w:tcMar>
              <w:left w:type="dxa" w:w="40"/>
              <w:right w:type="dxa" w:w="40"/>
            </w:tcMar>
            <w:vAlign w:val="center"/>
          </w:tcPr>
          <w:p w14:paraId="9A080000">
            <w:pPr>
              <w:ind/>
              <w:jc w:val="center"/>
              <w:rPr>
                <w:sz w:val="20"/>
              </w:rPr>
            </w:pPr>
            <w:r>
              <w:rPr>
                <w:sz w:val="20"/>
              </w:rPr>
              <w:t>0,011</w:t>
            </w:r>
          </w:p>
        </w:tc>
      </w:tr>
      <w:tr>
        <w:trPr>
          <w:trHeight w:hRule="exact" w:val="301"/>
        </w:trPr>
        <w:tc>
          <w:tcPr>
            <w:tcW w:type="dxa" w:w="5932"/>
            <w:tcBorders>
              <w:top w:sz="4" w:val="nil"/>
              <w:left w:color="000000" w:sz="4" w:val="single"/>
              <w:bottom w:color="000000" w:sz="4" w:val="single"/>
              <w:right w:color="000000" w:sz="4" w:val="single"/>
            </w:tcBorders>
            <w:tcMar>
              <w:left w:type="dxa" w:w="40"/>
              <w:right w:type="dxa" w:w="40"/>
            </w:tcMar>
            <w:vAlign w:val="center"/>
          </w:tcPr>
          <w:p w14:paraId="9B080000">
            <w:pPr>
              <w:ind/>
              <w:jc w:val="center"/>
              <w:rPr>
                <w:sz w:val="20"/>
              </w:rPr>
            </w:pPr>
            <w:r>
              <w:rPr>
                <w:sz w:val="20"/>
              </w:rPr>
              <w:t>с. Куйбышево, ул. Миусская, 3</w:t>
            </w:r>
          </w:p>
        </w:tc>
        <w:tc>
          <w:tcPr>
            <w:tcW w:type="dxa" w:w="3600"/>
            <w:tcBorders>
              <w:top w:sz="4" w:val="nil"/>
              <w:left w:sz="4" w:val="nil"/>
              <w:bottom w:color="000000" w:sz="4" w:val="single"/>
              <w:right w:color="000000" w:sz="4" w:val="single"/>
            </w:tcBorders>
            <w:tcMar>
              <w:left w:type="dxa" w:w="40"/>
              <w:right w:type="dxa" w:w="40"/>
            </w:tcMar>
            <w:vAlign w:val="center"/>
          </w:tcPr>
          <w:p w14:paraId="9C080000">
            <w:pPr>
              <w:ind/>
              <w:jc w:val="center"/>
              <w:rPr>
                <w:sz w:val="20"/>
              </w:rPr>
            </w:pPr>
            <w:r>
              <w:rPr>
                <w:sz w:val="20"/>
              </w:rPr>
              <w:t>0,027</w:t>
            </w:r>
          </w:p>
        </w:tc>
      </w:tr>
      <w:tr>
        <w:trPr>
          <w:trHeight w:hRule="exact" w:val="286"/>
        </w:trPr>
        <w:tc>
          <w:tcPr>
            <w:tcW w:type="dxa" w:w="5932"/>
            <w:tcBorders>
              <w:top w:sz="4" w:val="nil"/>
              <w:left w:color="000000" w:sz="4" w:val="single"/>
              <w:bottom w:color="000000" w:sz="4" w:val="single"/>
              <w:right w:color="000000" w:sz="4" w:val="single"/>
            </w:tcBorders>
            <w:tcMar>
              <w:left w:type="dxa" w:w="40"/>
              <w:right w:type="dxa" w:w="40"/>
            </w:tcMar>
            <w:vAlign w:val="center"/>
          </w:tcPr>
          <w:p w14:paraId="9D080000">
            <w:pPr>
              <w:ind/>
              <w:jc w:val="center"/>
              <w:rPr>
                <w:sz w:val="20"/>
              </w:rPr>
            </w:pPr>
            <w:r>
              <w:rPr>
                <w:sz w:val="20"/>
              </w:rPr>
              <w:t>с. Куйбышево, ул. Миусская, 3</w:t>
            </w:r>
          </w:p>
        </w:tc>
        <w:tc>
          <w:tcPr>
            <w:tcW w:type="dxa" w:w="3600"/>
            <w:tcBorders>
              <w:top w:sz="4" w:val="nil"/>
              <w:left w:sz="4" w:val="nil"/>
              <w:bottom w:color="000000" w:sz="4" w:val="single"/>
              <w:right w:color="000000" w:sz="4" w:val="single"/>
            </w:tcBorders>
            <w:tcMar>
              <w:left w:type="dxa" w:w="40"/>
              <w:right w:type="dxa" w:w="40"/>
            </w:tcMar>
            <w:vAlign w:val="center"/>
          </w:tcPr>
          <w:p w14:paraId="9E080000">
            <w:pPr>
              <w:ind/>
              <w:jc w:val="center"/>
              <w:rPr>
                <w:sz w:val="20"/>
              </w:rPr>
            </w:pPr>
            <w:r>
              <w:rPr>
                <w:sz w:val="20"/>
              </w:rPr>
              <w:t>0,010</w:t>
            </w:r>
          </w:p>
        </w:tc>
      </w:tr>
      <w:tr>
        <w:trPr>
          <w:trHeight w:hRule="exact" w:val="286"/>
        </w:trPr>
        <w:tc>
          <w:tcPr>
            <w:tcW w:type="dxa" w:w="5932"/>
            <w:tcBorders>
              <w:top w:sz="4" w:val="nil"/>
              <w:left w:color="000000" w:sz="4" w:val="single"/>
              <w:bottom w:color="000000" w:sz="4" w:val="single"/>
              <w:right w:color="000000" w:sz="4" w:val="single"/>
            </w:tcBorders>
            <w:tcMar>
              <w:left w:type="dxa" w:w="40"/>
              <w:right w:type="dxa" w:w="40"/>
            </w:tcMar>
            <w:vAlign w:val="center"/>
          </w:tcPr>
          <w:p w14:paraId="9F080000">
            <w:pPr>
              <w:ind/>
              <w:jc w:val="center"/>
              <w:rPr>
                <w:sz w:val="20"/>
              </w:rPr>
            </w:pPr>
            <w:r>
              <w:rPr>
                <w:sz w:val="20"/>
              </w:rPr>
              <w:t>с. Куйбышево, ул. Миусская, 3</w:t>
            </w:r>
          </w:p>
        </w:tc>
        <w:tc>
          <w:tcPr>
            <w:tcW w:type="dxa" w:w="3600"/>
            <w:tcBorders>
              <w:top w:sz="4" w:val="nil"/>
              <w:left w:sz="4" w:val="nil"/>
              <w:bottom w:color="000000" w:sz="4" w:val="single"/>
              <w:right w:color="000000" w:sz="4" w:val="single"/>
            </w:tcBorders>
            <w:tcMar>
              <w:left w:type="dxa" w:w="40"/>
              <w:right w:type="dxa" w:w="40"/>
            </w:tcMar>
            <w:vAlign w:val="center"/>
          </w:tcPr>
          <w:p w14:paraId="A0080000">
            <w:pPr>
              <w:ind/>
              <w:jc w:val="center"/>
              <w:rPr>
                <w:sz w:val="20"/>
              </w:rPr>
            </w:pPr>
            <w:r>
              <w:rPr>
                <w:sz w:val="20"/>
              </w:rPr>
              <w:t>0,017</w:t>
            </w:r>
          </w:p>
        </w:tc>
      </w:tr>
      <w:tr>
        <w:trPr>
          <w:trHeight w:hRule="exact" w:val="241"/>
        </w:trPr>
        <w:tc>
          <w:tcPr>
            <w:tcW w:type="dxa" w:w="5932"/>
            <w:tcBorders>
              <w:top w:sz="4" w:val="nil"/>
              <w:left w:color="000000" w:sz="4" w:val="single"/>
              <w:bottom w:color="000000" w:sz="4" w:val="single"/>
              <w:right w:color="000000" w:sz="4" w:val="single"/>
            </w:tcBorders>
            <w:tcMar>
              <w:left w:type="dxa" w:w="40"/>
              <w:right w:type="dxa" w:w="40"/>
            </w:tcMar>
            <w:vAlign w:val="center"/>
          </w:tcPr>
          <w:p w14:paraId="A1080000">
            <w:pPr>
              <w:ind/>
              <w:jc w:val="center"/>
              <w:rPr>
                <w:sz w:val="20"/>
              </w:rPr>
            </w:pPr>
            <w:r>
              <w:rPr>
                <w:sz w:val="20"/>
              </w:rPr>
              <w:t>с. Куйбышево, ул. Миусская,</w:t>
            </w:r>
            <w:r>
              <w:rPr>
                <w:sz w:val="20"/>
              </w:rPr>
              <w:t xml:space="preserve"> 3</w:t>
            </w:r>
          </w:p>
        </w:tc>
        <w:tc>
          <w:tcPr>
            <w:tcW w:type="dxa" w:w="3600"/>
            <w:tcBorders>
              <w:top w:sz="4" w:val="nil"/>
              <w:left w:sz="4" w:val="nil"/>
              <w:bottom w:color="000000" w:sz="4" w:val="single"/>
              <w:right w:color="000000" w:sz="4" w:val="single"/>
            </w:tcBorders>
            <w:tcMar>
              <w:left w:type="dxa" w:w="40"/>
              <w:right w:type="dxa" w:w="40"/>
            </w:tcMar>
            <w:vAlign w:val="center"/>
          </w:tcPr>
          <w:p w14:paraId="A2080000">
            <w:pPr>
              <w:ind/>
              <w:jc w:val="center"/>
              <w:rPr>
                <w:sz w:val="20"/>
              </w:rPr>
            </w:pPr>
            <w:r>
              <w:rPr>
                <w:sz w:val="20"/>
              </w:rPr>
              <w:t>0,054</w:t>
            </w:r>
          </w:p>
        </w:tc>
      </w:tr>
      <w:tr>
        <w:trPr>
          <w:trHeight w:hRule="exact" w:val="281"/>
        </w:trPr>
        <w:tc>
          <w:tcPr>
            <w:tcW w:type="dxa" w:w="5932"/>
            <w:tcBorders>
              <w:top w:sz="4" w:val="nil"/>
              <w:left w:color="000000" w:sz="4" w:val="single"/>
              <w:bottom w:color="000000" w:sz="4" w:val="single"/>
              <w:right w:color="000000" w:sz="4" w:val="single"/>
            </w:tcBorders>
            <w:tcMar>
              <w:left w:type="dxa" w:w="40"/>
              <w:right w:type="dxa" w:w="40"/>
            </w:tcMar>
            <w:vAlign w:val="center"/>
          </w:tcPr>
          <w:p w14:paraId="A3080000">
            <w:pPr>
              <w:ind/>
              <w:jc w:val="center"/>
              <w:rPr>
                <w:sz w:val="20"/>
              </w:rPr>
            </w:pPr>
            <w:r>
              <w:rPr>
                <w:sz w:val="20"/>
              </w:rPr>
              <w:t>с. Куйбышево, ул. Миусская, 3</w:t>
            </w:r>
          </w:p>
        </w:tc>
        <w:tc>
          <w:tcPr>
            <w:tcW w:type="dxa" w:w="3600"/>
            <w:tcBorders>
              <w:top w:sz="4" w:val="nil"/>
              <w:left w:sz="4" w:val="nil"/>
              <w:bottom w:color="000000" w:sz="4" w:val="single"/>
              <w:right w:color="000000" w:sz="4" w:val="single"/>
            </w:tcBorders>
            <w:tcMar>
              <w:left w:type="dxa" w:w="40"/>
              <w:right w:type="dxa" w:w="40"/>
            </w:tcMar>
            <w:vAlign w:val="center"/>
          </w:tcPr>
          <w:p w14:paraId="A4080000">
            <w:pPr>
              <w:ind/>
              <w:jc w:val="center"/>
              <w:rPr>
                <w:sz w:val="20"/>
              </w:rPr>
            </w:pPr>
            <w:r>
              <w:rPr>
                <w:sz w:val="20"/>
              </w:rPr>
              <w:t>0,036</w:t>
            </w:r>
          </w:p>
        </w:tc>
      </w:tr>
    </w:tbl>
    <w:p w14:paraId="A5080000">
      <w:pPr>
        <w:spacing w:after="0" w:before="200" w:line="240" w:lineRule="auto"/>
        <w:ind w:firstLine="709" w:left="0"/>
        <w:jc w:val="both"/>
        <w:rPr>
          <w:sz w:val="28"/>
        </w:rPr>
      </w:pPr>
      <w:bookmarkEnd w:id="3"/>
      <w:r>
        <w:rPr>
          <w:sz w:val="28"/>
        </w:rPr>
        <w:t>б) Описание значений расчетных тепловых нагрузок на коллекторах источников тепловой энергии.</w:t>
      </w:r>
    </w:p>
    <w:p w14:paraId="A6080000">
      <w:pPr>
        <w:spacing w:before="200" w:line="240" w:lineRule="auto"/>
        <w:ind w:firstLine="709" w:left="0"/>
        <w:jc w:val="both"/>
        <w:rPr>
          <w:sz w:val="28"/>
        </w:rPr>
      </w:pPr>
      <w:r>
        <w:rPr>
          <w:sz w:val="28"/>
        </w:rPr>
        <w:t>Таблица 23 Описание значений расчетных тепловых нагрузок</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40"/>
          <w:right w:type="dxa" w:w="40"/>
        </w:tblCellMar>
      </w:tblPr>
      <w:tblGrid>
        <w:gridCol w:w="6693"/>
        <w:gridCol w:w="2945"/>
      </w:tblGrid>
      <w:tr>
        <w:trPr>
          <w:trHeight w:hRule="exact" w:val="321"/>
        </w:trPr>
        <w:tc>
          <w:tcPr>
            <w:tcW w:type="dxa" w:w="66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7080000">
            <w:pPr>
              <w:ind/>
              <w:jc w:val="center"/>
              <w:rPr>
                <w:sz w:val="20"/>
              </w:rPr>
            </w:pPr>
            <w:r>
              <w:rPr>
                <w:sz w:val="20"/>
              </w:rPr>
              <w:t>Котельная</w:t>
            </w:r>
          </w:p>
        </w:tc>
        <w:tc>
          <w:tcPr>
            <w:tcW w:type="dxa" w:w="294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8080000">
            <w:pPr>
              <w:ind/>
              <w:jc w:val="center"/>
              <w:rPr>
                <w:sz w:val="20"/>
              </w:rPr>
            </w:pPr>
            <w:r>
              <w:rPr>
                <w:sz w:val="20"/>
              </w:rPr>
              <w:t>Нагрузка потребителей, Гкал/час</w:t>
            </w:r>
          </w:p>
        </w:tc>
      </w:tr>
      <w:tr>
        <w:trPr>
          <w:trHeight w:hRule="exact" w:val="326"/>
        </w:trPr>
        <w:tc>
          <w:tcPr>
            <w:tcW w:type="dxa" w:w="6693"/>
            <w:tcBorders>
              <w:top w:sz="4" w:val="nil"/>
              <w:left w:color="000000" w:sz="4" w:val="single"/>
              <w:bottom w:color="000000" w:sz="4" w:val="single"/>
              <w:right w:color="000000" w:sz="4" w:val="single"/>
            </w:tcBorders>
            <w:shd w:fill="auto" w:val="clear"/>
            <w:tcMar>
              <w:left w:type="dxa" w:w="40"/>
              <w:right w:type="dxa" w:w="40"/>
            </w:tcMar>
            <w:vAlign w:val="center"/>
          </w:tcPr>
          <w:p w14:paraId="A9080000">
            <w:pPr>
              <w:ind/>
              <w:jc w:val="center"/>
              <w:rPr>
                <w:sz w:val="20"/>
              </w:rPr>
            </w:pPr>
            <w:r>
              <w:rPr>
                <w:sz w:val="20"/>
              </w:rPr>
              <w:t xml:space="preserve">с. Куйбышево, </w:t>
            </w:r>
            <w:r>
              <w:rPr>
                <w:sz w:val="20"/>
              </w:rPr>
              <w:t>ул. Пролетарская, 7</w:t>
            </w:r>
          </w:p>
        </w:tc>
        <w:tc>
          <w:tcPr>
            <w:tcW w:type="dxa" w:w="294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A080000">
            <w:pPr>
              <w:ind/>
              <w:jc w:val="center"/>
              <w:rPr>
                <w:sz w:val="20"/>
              </w:rPr>
            </w:pPr>
            <w:r>
              <w:rPr>
                <w:sz w:val="20"/>
              </w:rPr>
              <w:t>0,818</w:t>
            </w:r>
          </w:p>
        </w:tc>
      </w:tr>
      <w:tr>
        <w:trPr>
          <w:trHeight w:hRule="exact" w:val="283"/>
        </w:trPr>
        <w:tc>
          <w:tcPr>
            <w:tcW w:type="dxa" w:w="6693"/>
            <w:tcBorders>
              <w:top w:sz="4" w:val="nil"/>
              <w:left w:color="000000" w:sz="4" w:val="single"/>
              <w:bottom w:color="000000" w:sz="4" w:val="single"/>
              <w:right w:color="000000" w:sz="4" w:val="single"/>
            </w:tcBorders>
            <w:tcMar>
              <w:left w:type="dxa" w:w="40"/>
              <w:right w:type="dxa" w:w="40"/>
            </w:tcMar>
            <w:vAlign w:val="center"/>
          </w:tcPr>
          <w:p w14:paraId="AB080000">
            <w:pPr>
              <w:ind/>
              <w:jc w:val="center"/>
              <w:rPr>
                <w:sz w:val="20"/>
              </w:rPr>
            </w:pPr>
            <w:r>
              <w:rPr>
                <w:sz w:val="20"/>
              </w:rPr>
              <w:t>с. Русское, ул. Красноармейская,8-а</w:t>
            </w:r>
          </w:p>
        </w:tc>
        <w:tc>
          <w:tcPr>
            <w:tcW w:type="dxa" w:w="2945"/>
            <w:tcBorders>
              <w:top w:color="000000" w:sz="4" w:val="single"/>
              <w:left w:color="000000" w:sz="4" w:val="single"/>
              <w:bottom w:color="000000" w:sz="4" w:val="single"/>
              <w:right w:color="000000" w:sz="4" w:val="single"/>
            </w:tcBorders>
            <w:tcMar>
              <w:left w:type="dxa" w:w="40"/>
              <w:right w:type="dxa" w:w="40"/>
            </w:tcMar>
            <w:vAlign w:val="center"/>
          </w:tcPr>
          <w:p w14:paraId="AC080000">
            <w:pPr>
              <w:widowControl w:val="0"/>
              <w:spacing w:after="0" w:line="240" w:lineRule="auto"/>
              <w:ind/>
              <w:jc w:val="center"/>
              <w:rPr>
                <w:sz w:val="20"/>
              </w:rPr>
            </w:pPr>
            <w:r>
              <w:rPr>
                <w:sz w:val="20"/>
              </w:rPr>
              <w:t>0,165</w:t>
            </w:r>
          </w:p>
        </w:tc>
      </w:tr>
      <w:tr>
        <w:trPr>
          <w:trHeight w:hRule="exact" w:val="275"/>
        </w:trPr>
        <w:tc>
          <w:tcPr>
            <w:tcW w:type="dxa" w:w="6693"/>
            <w:tcBorders>
              <w:top w:sz="4" w:val="nil"/>
              <w:left w:color="000000" w:sz="4" w:val="single"/>
              <w:bottom w:color="000000" w:sz="4" w:val="single"/>
              <w:right w:color="000000" w:sz="4" w:val="single"/>
            </w:tcBorders>
            <w:tcMar>
              <w:left w:type="dxa" w:w="40"/>
              <w:right w:type="dxa" w:w="40"/>
            </w:tcMar>
            <w:vAlign w:val="center"/>
          </w:tcPr>
          <w:p w14:paraId="AD080000">
            <w:pPr>
              <w:ind/>
              <w:jc w:val="center"/>
              <w:rPr>
                <w:sz w:val="20"/>
              </w:rPr>
            </w:pPr>
            <w:r>
              <w:rPr>
                <w:sz w:val="20"/>
              </w:rPr>
              <w:t>с. Русское, ул. Героя Советского Союза М.П. Алексеева, 8</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AE080000">
            <w:pPr>
              <w:ind/>
              <w:jc w:val="center"/>
              <w:rPr>
                <w:sz w:val="20"/>
              </w:rPr>
            </w:pPr>
            <w:r>
              <w:rPr>
                <w:sz w:val="20"/>
              </w:rPr>
              <w:t>0,029</w:t>
            </w:r>
          </w:p>
        </w:tc>
      </w:tr>
      <w:tr>
        <w:trPr>
          <w:trHeight w:hRule="exact" w:val="291"/>
        </w:trPr>
        <w:tc>
          <w:tcPr>
            <w:tcW w:type="dxa" w:w="6693"/>
            <w:tcBorders>
              <w:top w:sz="4" w:val="nil"/>
              <w:left w:color="000000" w:sz="4" w:val="single"/>
              <w:bottom w:color="000000" w:sz="4" w:val="single"/>
              <w:right w:color="000000" w:sz="4" w:val="single"/>
            </w:tcBorders>
            <w:tcMar>
              <w:left w:type="dxa" w:w="40"/>
              <w:right w:type="dxa" w:w="40"/>
            </w:tcMar>
            <w:vAlign w:val="center"/>
          </w:tcPr>
          <w:p w14:paraId="AF080000">
            <w:pPr>
              <w:ind/>
              <w:jc w:val="center"/>
              <w:rPr>
                <w:sz w:val="20"/>
              </w:rPr>
            </w:pPr>
            <w:r>
              <w:rPr>
                <w:sz w:val="20"/>
              </w:rPr>
              <w:t>с. Куйбышево, ул. Театральная, 72</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B0080000">
            <w:pPr>
              <w:ind/>
              <w:jc w:val="center"/>
              <w:rPr>
                <w:sz w:val="20"/>
              </w:rPr>
            </w:pPr>
            <w:r>
              <w:rPr>
                <w:sz w:val="20"/>
              </w:rPr>
              <w:t>0,028</w:t>
            </w:r>
          </w:p>
        </w:tc>
      </w:tr>
      <w:tr>
        <w:trPr>
          <w:trHeight w:hRule="exact" w:val="269"/>
        </w:trPr>
        <w:tc>
          <w:tcPr>
            <w:tcW w:type="dxa" w:w="6693"/>
            <w:tcBorders>
              <w:top w:sz="4" w:val="nil"/>
              <w:left w:color="000000" w:sz="4" w:val="single"/>
              <w:bottom w:color="000000" w:sz="4" w:val="single"/>
              <w:right w:color="000000" w:sz="4" w:val="single"/>
            </w:tcBorders>
            <w:tcMar>
              <w:left w:type="dxa" w:w="40"/>
              <w:right w:type="dxa" w:w="40"/>
            </w:tcMar>
            <w:vAlign w:val="center"/>
          </w:tcPr>
          <w:p w14:paraId="B1080000">
            <w:pPr>
              <w:ind/>
              <w:jc w:val="center"/>
              <w:rPr>
                <w:sz w:val="20"/>
              </w:rPr>
            </w:pPr>
            <w:r>
              <w:rPr>
                <w:sz w:val="20"/>
              </w:rPr>
              <w:t>с. Куйбышево, ул. Пролетарская, 2 а</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B2080000">
            <w:pPr>
              <w:widowControl w:val="0"/>
              <w:spacing w:after="0" w:line="240" w:lineRule="auto"/>
              <w:ind/>
              <w:jc w:val="center"/>
              <w:rPr>
                <w:sz w:val="20"/>
              </w:rPr>
            </w:pPr>
            <w:r>
              <w:rPr>
                <w:sz w:val="20"/>
              </w:rPr>
              <w:t>0,086</w:t>
            </w:r>
          </w:p>
        </w:tc>
      </w:tr>
      <w:tr>
        <w:trPr>
          <w:trHeight w:hRule="exact" w:val="286"/>
        </w:trPr>
        <w:tc>
          <w:tcPr>
            <w:tcW w:type="dxa" w:w="6693"/>
            <w:tcBorders>
              <w:top w:sz="4" w:val="nil"/>
              <w:left w:color="000000" w:sz="4" w:val="single"/>
              <w:bottom w:color="000000" w:sz="4" w:val="single"/>
              <w:right w:color="000000" w:sz="4" w:val="single"/>
            </w:tcBorders>
            <w:tcMar>
              <w:left w:type="dxa" w:w="40"/>
              <w:right w:type="dxa" w:w="40"/>
            </w:tcMar>
            <w:vAlign w:val="center"/>
          </w:tcPr>
          <w:p w14:paraId="B3080000">
            <w:pPr>
              <w:ind/>
              <w:jc w:val="center"/>
              <w:rPr>
                <w:sz w:val="20"/>
              </w:rPr>
            </w:pPr>
            <w:r>
              <w:rPr>
                <w:sz w:val="20"/>
              </w:rPr>
              <w:t>с. Куйбышево, ул. Кузьменко, 3 а</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B4080000">
            <w:pPr>
              <w:widowControl w:val="0"/>
              <w:spacing w:after="0" w:line="240" w:lineRule="auto"/>
              <w:ind/>
              <w:jc w:val="center"/>
              <w:rPr>
                <w:sz w:val="20"/>
              </w:rPr>
            </w:pPr>
            <w:r>
              <w:rPr>
                <w:sz w:val="20"/>
              </w:rPr>
              <w:t>0,105</w:t>
            </w:r>
          </w:p>
        </w:tc>
      </w:tr>
      <w:tr>
        <w:trPr>
          <w:trHeight w:hRule="exact" w:val="279"/>
        </w:trPr>
        <w:tc>
          <w:tcPr>
            <w:tcW w:type="dxa" w:w="6693"/>
            <w:tcBorders>
              <w:top w:sz="4" w:val="nil"/>
              <w:left w:color="000000" w:sz="4" w:val="single"/>
              <w:bottom w:color="000000" w:sz="4" w:val="single"/>
              <w:right w:color="000000" w:sz="4" w:val="single"/>
            </w:tcBorders>
            <w:tcMar>
              <w:left w:type="dxa" w:w="40"/>
              <w:right w:type="dxa" w:w="40"/>
            </w:tcMar>
            <w:vAlign w:val="center"/>
          </w:tcPr>
          <w:p w14:paraId="B5080000">
            <w:pPr>
              <w:ind/>
              <w:jc w:val="center"/>
              <w:rPr>
                <w:sz w:val="20"/>
              </w:rPr>
            </w:pPr>
            <w:r>
              <w:rPr>
                <w:sz w:val="20"/>
              </w:rPr>
              <w:t>х. Свободный, ул. Молодёжная, 8</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B6080000">
            <w:pPr>
              <w:widowControl w:val="0"/>
              <w:spacing w:after="0" w:line="240" w:lineRule="auto"/>
              <w:ind/>
              <w:jc w:val="center"/>
              <w:rPr>
                <w:sz w:val="20"/>
              </w:rPr>
            </w:pPr>
            <w:r>
              <w:rPr>
                <w:sz w:val="20"/>
              </w:rPr>
              <w:t>0,045</w:t>
            </w:r>
          </w:p>
        </w:tc>
      </w:tr>
      <w:tr>
        <w:trPr>
          <w:trHeight w:hRule="exact" w:val="285"/>
        </w:trPr>
        <w:tc>
          <w:tcPr>
            <w:tcW w:type="dxa" w:w="6693"/>
            <w:tcBorders>
              <w:top w:sz="4" w:val="nil"/>
              <w:left w:color="000000" w:sz="4" w:val="single"/>
              <w:bottom w:color="000000" w:sz="4" w:val="single"/>
              <w:right w:color="000000" w:sz="4" w:val="single"/>
            </w:tcBorders>
            <w:tcMar>
              <w:left w:type="dxa" w:w="40"/>
              <w:right w:type="dxa" w:w="40"/>
            </w:tcMar>
            <w:vAlign w:val="center"/>
          </w:tcPr>
          <w:p w14:paraId="B7080000">
            <w:pPr>
              <w:ind/>
              <w:jc w:val="center"/>
              <w:rPr>
                <w:sz w:val="20"/>
              </w:rPr>
            </w:pPr>
            <w:r>
              <w:rPr>
                <w:sz w:val="20"/>
              </w:rPr>
              <w:t>х. Ольховский, ул. Центральная, 3 а</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B8080000">
            <w:pPr>
              <w:widowControl w:val="0"/>
              <w:spacing w:after="0" w:line="240" w:lineRule="auto"/>
              <w:ind/>
              <w:jc w:val="center"/>
              <w:rPr>
                <w:sz w:val="20"/>
              </w:rPr>
            </w:pPr>
            <w:r>
              <w:rPr>
                <w:sz w:val="20"/>
              </w:rPr>
              <w:t>0,026</w:t>
            </w:r>
          </w:p>
        </w:tc>
      </w:tr>
      <w:tr>
        <w:trPr>
          <w:trHeight w:hRule="exact" w:val="296"/>
        </w:trPr>
        <w:tc>
          <w:tcPr>
            <w:tcW w:type="dxa" w:w="6693"/>
            <w:tcBorders>
              <w:top w:sz="4" w:val="nil"/>
              <w:left w:color="000000" w:sz="4" w:val="single"/>
              <w:bottom w:color="000000" w:sz="4" w:val="single"/>
              <w:right w:color="000000" w:sz="4" w:val="single"/>
            </w:tcBorders>
            <w:tcMar>
              <w:left w:type="dxa" w:w="40"/>
              <w:right w:type="dxa" w:w="40"/>
            </w:tcMar>
            <w:vAlign w:val="center"/>
          </w:tcPr>
          <w:p w14:paraId="B9080000">
            <w:pPr>
              <w:ind/>
              <w:jc w:val="center"/>
              <w:rPr>
                <w:sz w:val="20"/>
              </w:rPr>
            </w:pPr>
            <w:r>
              <w:rPr>
                <w:sz w:val="20"/>
              </w:rPr>
              <w:t>с. Куйбышево, ул. Пролетарская, 5</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BA080000">
            <w:pPr>
              <w:widowControl w:val="0"/>
              <w:spacing w:after="0" w:line="240" w:lineRule="auto"/>
              <w:ind/>
              <w:jc w:val="center"/>
              <w:rPr>
                <w:sz w:val="20"/>
              </w:rPr>
            </w:pPr>
            <w:r>
              <w:rPr>
                <w:sz w:val="20"/>
              </w:rPr>
              <w:t>0,034</w:t>
            </w:r>
          </w:p>
        </w:tc>
      </w:tr>
      <w:tr>
        <w:trPr>
          <w:trHeight w:hRule="exact" w:val="341"/>
        </w:trPr>
        <w:tc>
          <w:tcPr>
            <w:tcW w:type="dxa" w:w="6693"/>
            <w:tcBorders>
              <w:top w:sz="4" w:val="nil"/>
              <w:left w:color="000000" w:sz="4" w:val="single"/>
              <w:bottom w:color="000000" w:sz="4" w:val="single"/>
              <w:right w:color="000000" w:sz="4" w:val="single"/>
            </w:tcBorders>
            <w:tcMar>
              <w:left w:type="dxa" w:w="40"/>
              <w:right w:type="dxa" w:w="40"/>
            </w:tcMar>
            <w:vAlign w:val="center"/>
          </w:tcPr>
          <w:p w14:paraId="BB080000">
            <w:pPr>
              <w:ind/>
              <w:jc w:val="center"/>
              <w:rPr>
                <w:sz w:val="20"/>
              </w:rPr>
            </w:pPr>
            <w:r>
              <w:rPr>
                <w:sz w:val="20"/>
              </w:rPr>
              <w:t>с. Куйбышево, ул. Театральная, 22</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BC080000">
            <w:pPr>
              <w:widowControl w:val="0"/>
              <w:spacing w:after="0" w:line="240" w:lineRule="auto"/>
              <w:ind/>
              <w:jc w:val="center"/>
              <w:rPr>
                <w:sz w:val="20"/>
              </w:rPr>
            </w:pPr>
            <w:r>
              <w:rPr>
                <w:sz w:val="20"/>
              </w:rPr>
              <w:t>0,141</w:t>
            </w:r>
          </w:p>
        </w:tc>
      </w:tr>
      <w:tr>
        <w:trPr>
          <w:trHeight w:hRule="exact" w:val="248"/>
        </w:trPr>
        <w:tc>
          <w:tcPr>
            <w:tcW w:type="dxa" w:w="6693"/>
            <w:tcBorders>
              <w:top w:sz="4" w:val="nil"/>
              <w:left w:color="000000" w:sz="4" w:val="single"/>
              <w:bottom w:color="000000" w:sz="4" w:val="single"/>
              <w:right w:color="000000" w:sz="4" w:val="single"/>
            </w:tcBorders>
            <w:tcMar>
              <w:left w:type="dxa" w:w="40"/>
              <w:right w:type="dxa" w:w="40"/>
            </w:tcMar>
            <w:vAlign w:val="center"/>
          </w:tcPr>
          <w:p w14:paraId="BD080000">
            <w:pPr>
              <w:ind/>
              <w:jc w:val="center"/>
              <w:rPr>
                <w:sz w:val="20"/>
              </w:rPr>
            </w:pPr>
            <w:r>
              <w:rPr>
                <w:sz w:val="20"/>
              </w:rPr>
              <w:t>х. Свободный, ул. Победы, 29</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BE080000">
            <w:pPr>
              <w:widowControl w:val="0"/>
              <w:spacing w:after="0" w:line="240" w:lineRule="auto"/>
              <w:ind/>
              <w:jc w:val="center"/>
              <w:rPr>
                <w:sz w:val="20"/>
              </w:rPr>
            </w:pPr>
            <w:r>
              <w:rPr>
                <w:sz w:val="20"/>
              </w:rPr>
              <w:t>0,013</w:t>
            </w:r>
          </w:p>
        </w:tc>
      </w:tr>
      <w:tr>
        <w:trPr>
          <w:trHeight w:hRule="exact" w:val="234"/>
        </w:trPr>
        <w:tc>
          <w:tcPr>
            <w:tcW w:type="dxa" w:w="6693"/>
            <w:tcBorders>
              <w:top w:sz="4" w:val="nil"/>
              <w:left w:color="000000" w:sz="4" w:val="single"/>
              <w:bottom w:color="000000" w:sz="4" w:val="single"/>
              <w:right w:color="000000" w:sz="4" w:val="single"/>
            </w:tcBorders>
            <w:tcMar>
              <w:left w:type="dxa" w:w="40"/>
              <w:right w:type="dxa" w:w="40"/>
            </w:tcMar>
            <w:vAlign w:val="center"/>
          </w:tcPr>
          <w:p w14:paraId="BF080000">
            <w:pPr>
              <w:ind/>
              <w:jc w:val="center"/>
              <w:rPr>
                <w:sz w:val="20"/>
              </w:rPr>
            </w:pPr>
            <w:r>
              <w:rPr>
                <w:sz w:val="20"/>
              </w:rPr>
              <w:t>х. Новобахмутский, ул. Широкая, 89 а</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C0080000">
            <w:pPr>
              <w:widowControl w:val="0"/>
              <w:spacing w:after="0" w:line="240" w:lineRule="auto"/>
              <w:ind/>
              <w:jc w:val="center"/>
              <w:rPr>
                <w:sz w:val="20"/>
              </w:rPr>
            </w:pPr>
            <w:r>
              <w:rPr>
                <w:sz w:val="20"/>
              </w:rPr>
              <w:t>0,014</w:t>
            </w:r>
          </w:p>
        </w:tc>
      </w:tr>
      <w:tr>
        <w:trPr>
          <w:trHeight w:hRule="exact" w:val="223"/>
        </w:trPr>
        <w:tc>
          <w:tcPr>
            <w:tcW w:type="dxa" w:w="6693"/>
            <w:tcBorders>
              <w:top w:sz="4" w:val="nil"/>
              <w:left w:color="000000" w:sz="4" w:val="single"/>
              <w:bottom w:color="000000" w:sz="4" w:val="single"/>
              <w:right w:color="000000" w:sz="4" w:val="single"/>
            </w:tcBorders>
            <w:tcMar>
              <w:left w:type="dxa" w:w="40"/>
              <w:right w:type="dxa" w:w="40"/>
            </w:tcMar>
            <w:vAlign w:val="center"/>
          </w:tcPr>
          <w:p w14:paraId="C1080000">
            <w:pPr>
              <w:ind/>
              <w:jc w:val="center"/>
              <w:rPr>
                <w:sz w:val="20"/>
              </w:rPr>
            </w:pPr>
            <w:r>
              <w:rPr>
                <w:sz w:val="20"/>
              </w:rPr>
              <w:t xml:space="preserve">с. </w:t>
            </w:r>
            <w:r>
              <w:rPr>
                <w:sz w:val="20"/>
              </w:rPr>
              <w:t>Русское, ул. Красноармейская, 1</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C2080000">
            <w:pPr>
              <w:widowControl w:val="0"/>
              <w:spacing w:after="0" w:line="240" w:lineRule="auto"/>
              <w:ind/>
              <w:jc w:val="center"/>
              <w:rPr>
                <w:sz w:val="20"/>
              </w:rPr>
            </w:pPr>
            <w:r>
              <w:rPr>
                <w:sz w:val="20"/>
              </w:rPr>
              <w:t>0,051</w:t>
            </w:r>
          </w:p>
        </w:tc>
      </w:tr>
      <w:tr>
        <w:trPr>
          <w:trHeight w:hRule="exact" w:val="283"/>
        </w:trPr>
        <w:tc>
          <w:tcPr>
            <w:tcW w:type="dxa" w:w="6693"/>
            <w:tcBorders>
              <w:top w:sz="4" w:val="nil"/>
              <w:left w:color="000000" w:sz="4" w:val="single"/>
              <w:bottom w:color="000000" w:sz="4" w:val="single"/>
              <w:right w:color="000000" w:sz="4" w:val="single"/>
            </w:tcBorders>
            <w:tcMar>
              <w:left w:type="dxa" w:w="40"/>
              <w:right w:type="dxa" w:w="40"/>
            </w:tcMar>
            <w:vAlign w:val="center"/>
          </w:tcPr>
          <w:p w14:paraId="C3080000">
            <w:pPr>
              <w:ind/>
              <w:jc w:val="center"/>
              <w:rPr>
                <w:sz w:val="20"/>
              </w:rPr>
            </w:pPr>
            <w:r>
              <w:rPr>
                <w:sz w:val="20"/>
              </w:rPr>
              <w:t>с. Куйбышево, ул. Цветаева, 31</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C4080000">
            <w:pPr>
              <w:widowControl w:val="0"/>
              <w:spacing w:after="0" w:line="240" w:lineRule="auto"/>
              <w:ind/>
              <w:jc w:val="center"/>
              <w:rPr>
                <w:sz w:val="20"/>
              </w:rPr>
            </w:pPr>
            <w:r>
              <w:rPr>
                <w:sz w:val="20"/>
              </w:rPr>
              <w:t>0,012</w:t>
            </w:r>
          </w:p>
        </w:tc>
      </w:tr>
      <w:tr>
        <w:trPr>
          <w:trHeight w:hRule="exact" w:val="286"/>
        </w:trPr>
        <w:tc>
          <w:tcPr>
            <w:tcW w:type="dxa" w:w="6693"/>
            <w:tcBorders>
              <w:top w:sz="4" w:val="nil"/>
              <w:left w:color="000000" w:sz="4" w:val="single"/>
              <w:bottom w:color="000000" w:sz="4" w:val="single"/>
              <w:right w:color="000000" w:sz="4" w:val="single"/>
            </w:tcBorders>
            <w:tcMar>
              <w:left w:type="dxa" w:w="40"/>
              <w:right w:type="dxa" w:w="40"/>
            </w:tcMar>
            <w:vAlign w:val="center"/>
          </w:tcPr>
          <w:p w14:paraId="C5080000">
            <w:pPr>
              <w:ind/>
              <w:jc w:val="center"/>
              <w:rPr>
                <w:sz w:val="20"/>
              </w:rPr>
            </w:pPr>
            <w:r>
              <w:rPr>
                <w:sz w:val="20"/>
              </w:rPr>
              <w:t>с. Куйбышево, ул. Куйбышевская, 24</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C6080000">
            <w:pPr>
              <w:widowControl w:val="0"/>
              <w:spacing w:after="0" w:line="240" w:lineRule="auto"/>
              <w:ind/>
              <w:jc w:val="center"/>
              <w:rPr>
                <w:sz w:val="20"/>
              </w:rPr>
            </w:pPr>
            <w:r>
              <w:rPr>
                <w:sz w:val="20"/>
              </w:rPr>
              <w:t>0,153</w:t>
            </w:r>
          </w:p>
        </w:tc>
      </w:tr>
      <w:tr>
        <w:trPr>
          <w:trHeight w:hRule="exact" w:val="316"/>
        </w:trPr>
        <w:tc>
          <w:tcPr>
            <w:tcW w:type="dxa" w:w="6693"/>
            <w:tcBorders>
              <w:top w:sz="4" w:val="nil"/>
              <w:left w:color="000000" w:sz="4" w:val="single"/>
              <w:bottom w:color="000000" w:sz="4" w:val="single"/>
              <w:right w:color="000000" w:sz="4" w:val="single"/>
            </w:tcBorders>
            <w:tcMar>
              <w:left w:type="dxa" w:w="40"/>
              <w:right w:type="dxa" w:w="40"/>
            </w:tcMar>
            <w:vAlign w:val="center"/>
          </w:tcPr>
          <w:p w14:paraId="C7080000">
            <w:pPr>
              <w:ind/>
              <w:jc w:val="center"/>
              <w:rPr>
                <w:sz w:val="20"/>
              </w:rPr>
            </w:pPr>
            <w:r>
              <w:rPr>
                <w:sz w:val="20"/>
              </w:rPr>
              <w:t>с. Куйбышево, ул. Куйбышевская, 20</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C8080000">
            <w:pPr>
              <w:widowControl w:val="0"/>
              <w:spacing w:after="0" w:line="240" w:lineRule="auto"/>
              <w:ind/>
              <w:jc w:val="center"/>
              <w:rPr>
                <w:sz w:val="20"/>
              </w:rPr>
            </w:pPr>
            <w:r>
              <w:rPr>
                <w:sz w:val="20"/>
              </w:rPr>
              <w:t>0,021</w:t>
            </w:r>
          </w:p>
        </w:tc>
      </w:tr>
      <w:tr>
        <w:trPr>
          <w:trHeight w:hRule="exact" w:val="241"/>
        </w:trPr>
        <w:tc>
          <w:tcPr>
            <w:tcW w:type="dxa" w:w="6693"/>
            <w:tcBorders>
              <w:top w:sz="4" w:val="nil"/>
              <w:left w:color="000000" w:sz="4" w:val="single"/>
              <w:bottom w:color="000000" w:sz="4" w:val="single"/>
              <w:right w:color="000000" w:sz="4" w:val="single"/>
            </w:tcBorders>
            <w:tcMar>
              <w:left w:type="dxa" w:w="40"/>
              <w:right w:type="dxa" w:w="40"/>
            </w:tcMar>
            <w:vAlign w:val="center"/>
          </w:tcPr>
          <w:p w14:paraId="C9080000">
            <w:pPr>
              <w:ind/>
              <w:jc w:val="center"/>
              <w:rPr>
                <w:sz w:val="20"/>
              </w:rPr>
            </w:pPr>
            <w:r>
              <w:rPr>
                <w:sz w:val="20"/>
              </w:rPr>
              <w:t>с. Куйбышево, ул. Миусская, 3</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CA080000">
            <w:pPr>
              <w:widowControl w:val="0"/>
              <w:spacing w:after="0" w:line="240" w:lineRule="auto"/>
              <w:ind/>
              <w:jc w:val="center"/>
              <w:rPr>
                <w:sz w:val="20"/>
              </w:rPr>
            </w:pPr>
            <w:r>
              <w:rPr>
                <w:sz w:val="20"/>
              </w:rPr>
              <w:t>0,105</w:t>
            </w:r>
          </w:p>
        </w:tc>
      </w:tr>
      <w:tr>
        <w:trPr>
          <w:trHeight w:hRule="exact" w:val="316"/>
        </w:trPr>
        <w:tc>
          <w:tcPr>
            <w:tcW w:type="dxa" w:w="6693"/>
            <w:tcBorders>
              <w:top w:sz="4" w:val="nil"/>
              <w:left w:color="000000" w:sz="4" w:val="single"/>
              <w:bottom w:color="000000" w:sz="4" w:val="single"/>
              <w:right w:color="000000" w:sz="4" w:val="single"/>
            </w:tcBorders>
            <w:tcMar>
              <w:left w:type="dxa" w:w="40"/>
              <w:right w:type="dxa" w:w="40"/>
            </w:tcMar>
            <w:vAlign w:val="center"/>
          </w:tcPr>
          <w:p w14:paraId="CB080000">
            <w:pPr>
              <w:ind/>
              <w:jc w:val="center"/>
              <w:rPr>
                <w:sz w:val="20"/>
              </w:rPr>
            </w:pPr>
            <w:r>
              <w:rPr>
                <w:sz w:val="20"/>
              </w:rPr>
              <w:t>с. Куйбышево, ул. Миусская, 3</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CC080000">
            <w:pPr>
              <w:widowControl w:val="0"/>
              <w:spacing w:after="0" w:line="240" w:lineRule="auto"/>
              <w:ind/>
              <w:jc w:val="center"/>
              <w:rPr>
                <w:sz w:val="20"/>
              </w:rPr>
            </w:pPr>
            <w:r>
              <w:rPr>
                <w:sz w:val="20"/>
              </w:rPr>
              <w:t>0,060</w:t>
            </w:r>
          </w:p>
        </w:tc>
      </w:tr>
      <w:tr>
        <w:trPr>
          <w:trHeight w:hRule="exact" w:val="301"/>
        </w:trPr>
        <w:tc>
          <w:tcPr>
            <w:tcW w:type="dxa" w:w="6693"/>
            <w:tcBorders>
              <w:top w:sz="4" w:val="nil"/>
              <w:left w:color="000000" w:sz="4" w:val="single"/>
              <w:bottom w:color="000000" w:sz="4" w:val="single"/>
              <w:right w:color="000000" w:sz="4" w:val="single"/>
            </w:tcBorders>
            <w:tcMar>
              <w:left w:type="dxa" w:w="40"/>
              <w:right w:type="dxa" w:w="40"/>
            </w:tcMar>
            <w:vAlign w:val="center"/>
          </w:tcPr>
          <w:p w14:paraId="CD080000">
            <w:pPr>
              <w:ind/>
              <w:jc w:val="center"/>
              <w:rPr>
                <w:sz w:val="20"/>
              </w:rPr>
            </w:pPr>
            <w:r>
              <w:rPr>
                <w:sz w:val="20"/>
              </w:rPr>
              <w:t xml:space="preserve">с. Куйбышево, ул. </w:t>
            </w:r>
            <w:r>
              <w:rPr>
                <w:sz w:val="20"/>
              </w:rPr>
              <w:t>Миусская, 3</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CE080000">
            <w:pPr>
              <w:widowControl w:val="0"/>
              <w:spacing w:after="0" w:line="240" w:lineRule="auto"/>
              <w:ind/>
              <w:jc w:val="center"/>
              <w:rPr>
                <w:sz w:val="20"/>
              </w:rPr>
            </w:pPr>
            <w:r>
              <w:rPr>
                <w:sz w:val="20"/>
              </w:rPr>
              <w:t>0,025</w:t>
            </w:r>
          </w:p>
        </w:tc>
      </w:tr>
      <w:tr>
        <w:trPr>
          <w:trHeight w:hRule="exact" w:val="271"/>
        </w:trPr>
        <w:tc>
          <w:tcPr>
            <w:tcW w:type="dxa" w:w="6693"/>
            <w:tcBorders>
              <w:top w:sz="4" w:val="nil"/>
              <w:left w:color="000000" w:sz="4" w:val="single"/>
              <w:bottom w:color="000000" w:sz="4" w:val="single"/>
              <w:right w:color="000000" w:sz="4" w:val="single"/>
            </w:tcBorders>
            <w:tcMar>
              <w:left w:type="dxa" w:w="40"/>
              <w:right w:type="dxa" w:w="40"/>
            </w:tcMar>
            <w:vAlign w:val="center"/>
          </w:tcPr>
          <w:p w14:paraId="CF080000">
            <w:pPr>
              <w:ind/>
              <w:jc w:val="center"/>
              <w:rPr>
                <w:sz w:val="20"/>
              </w:rPr>
            </w:pPr>
            <w:r>
              <w:rPr>
                <w:sz w:val="20"/>
              </w:rPr>
              <w:t>с. Куйбышево, ул. Миусская, 3</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D0080000">
            <w:pPr>
              <w:widowControl w:val="0"/>
              <w:spacing w:after="0" w:line="240" w:lineRule="auto"/>
              <w:ind/>
              <w:jc w:val="center"/>
              <w:rPr>
                <w:sz w:val="20"/>
              </w:rPr>
            </w:pPr>
            <w:r>
              <w:rPr>
                <w:sz w:val="20"/>
              </w:rPr>
              <w:t>0,019</w:t>
            </w:r>
          </w:p>
        </w:tc>
      </w:tr>
      <w:tr>
        <w:trPr>
          <w:trHeight w:hRule="exact" w:val="316"/>
        </w:trPr>
        <w:tc>
          <w:tcPr>
            <w:tcW w:type="dxa" w:w="6693"/>
            <w:tcBorders>
              <w:top w:sz="4" w:val="nil"/>
              <w:left w:color="000000" w:sz="4" w:val="single"/>
              <w:bottom w:color="000000" w:sz="4" w:val="single"/>
              <w:right w:color="000000" w:sz="4" w:val="single"/>
            </w:tcBorders>
            <w:tcMar>
              <w:left w:type="dxa" w:w="40"/>
              <w:right w:type="dxa" w:w="40"/>
            </w:tcMar>
            <w:vAlign w:val="center"/>
          </w:tcPr>
          <w:p w14:paraId="D1080000">
            <w:pPr>
              <w:ind/>
              <w:jc w:val="center"/>
              <w:rPr>
                <w:sz w:val="20"/>
              </w:rPr>
            </w:pPr>
            <w:r>
              <w:rPr>
                <w:sz w:val="20"/>
              </w:rPr>
              <w:t>с. Куйбышево, ул. Миусская, 3</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D2080000">
            <w:pPr>
              <w:widowControl w:val="0"/>
              <w:spacing w:after="0" w:line="240" w:lineRule="auto"/>
              <w:ind/>
              <w:jc w:val="center"/>
              <w:rPr>
                <w:sz w:val="20"/>
              </w:rPr>
            </w:pPr>
            <w:r>
              <w:rPr>
                <w:sz w:val="20"/>
              </w:rPr>
              <w:t>0,017</w:t>
            </w:r>
          </w:p>
        </w:tc>
      </w:tr>
      <w:tr>
        <w:trPr>
          <w:trHeight w:hRule="exact" w:val="331"/>
        </w:trPr>
        <w:tc>
          <w:tcPr>
            <w:tcW w:type="dxa" w:w="6693"/>
            <w:tcBorders>
              <w:top w:sz="4" w:val="nil"/>
              <w:left w:color="000000" w:sz="4" w:val="single"/>
              <w:bottom w:color="000000" w:sz="4" w:val="single"/>
              <w:right w:color="000000" w:sz="4" w:val="single"/>
            </w:tcBorders>
            <w:tcMar>
              <w:left w:type="dxa" w:w="40"/>
              <w:right w:type="dxa" w:w="40"/>
            </w:tcMar>
            <w:vAlign w:val="center"/>
          </w:tcPr>
          <w:p w14:paraId="D3080000">
            <w:pPr>
              <w:ind/>
              <w:jc w:val="center"/>
              <w:rPr>
                <w:sz w:val="20"/>
              </w:rPr>
            </w:pPr>
            <w:r>
              <w:rPr>
                <w:sz w:val="20"/>
              </w:rPr>
              <w:t>с. Куйбышево, ул. Миусская, 3</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D4080000">
            <w:pPr>
              <w:widowControl w:val="0"/>
              <w:spacing w:after="0" w:line="240" w:lineRule="auto"/>
              <w:ind/>
              <w:jc w:val="center"/>
              <w:rPr>
                <w:sz w:val="20"/>
              </w:rPr>
            </w:pPr>
            <w:r>
              <w:rPr>
                <w:sz w:val="20"/>
              </w:rPr>
              <w:t>0,010</w:t>
            </w:r>
          </w:p>
        </w:tc>
      </w:tr>
      <w:tr>
        <w:trPr>
          <w:trHeight w:hRule="exact" w:val="286"/>
        </w:trPr>
        <w:tc>
          <w:tcPr>
            <w:tcW w:type="dxa" w:w="6693"/>
            <w:tcBorders>
              <w:top w:sz="4" w:val="nil"/>
              <w:left w:color="000000" w:sz="4" w:val="single"/>
              <w:bottom w:color="000000" w:sz="4" w:val="single"/>
              <w:right w:color="000000" w:sz="4" w:val="single"/>
            </w:tcBorders>
            <w:tcMar>
              <w:left w:type="dxa" w:w="40"/>
              <w:right w:type="dxa" w:w="40"/>
            </w:tcMar>
            <w:vAlign w:val="center"/>
          </w:tcPr>
          <w:p w14:paraId="D5080000">
            <w:pPr>
              <w:ind/>
              <w:jc w:val="center"/>
              <w:rPr>
                <w:sz w:val="20"/>
              </w:rPr>
            </w:pPr>
            <w:r>
              <w:rPr>
                <w:sz w:val="20"/>
              </w:rPr>
              <w:t>с. Куйбышево, ул. Миусская, 3</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D6080000">
            <w:pPr>
              <w:widowControl w:val="0"/>
              <w:spacing w:after="0" w:line="240" w:lineRule="auto"/>
              <w:ind/>
              <w:jc w:val="center"/>
              <w:rPr>
                <w:sz w:val="20"/>
              </w:rPr>
            </w:pPr>
            <w:r>
              <w:rPr>
                <w:sz w:val="20"/>
              </w:rPr>
              <w:t>0,006</w:t>
            </w:r>
          </w:p>
        </w:tc>
      </w:tr>
      <w:tr>
        <w:trPr>
          <w:trHeight w:hRule="exact" w:val="241"/>
        </w:trPr>
        <w:tc>
          <w:tcPr>
            <w:tcW w:type="dxa" w:w="6693"/>
            <w:tcBorders>
              <w:top w:sz="4" w:val="nil"/>
              <w:left w:color="000000" w:sz="4" w:val="single"/>
              <w:bottom w:color="000000" w:sz="4" w:val="single"/>
              <w:right w:color="000000" w:sz="4" w:val="single"/>
            </w:tcBorders>
            <w:tcMar>
              <w:left w:type="dxa" w:w="40"/>
              <w:right w:type="dxa" w:w="40"/>
            </w:tcMar>
            <w:vAlign w:val="center"/>
          </w:tcPr>
          <w:p w14:paraId="D7080000">
            <w:pPr>
              <w:ind/>
              <w:jc w:val="center"/>
              <w:rPr>
                <w:sz w:val="20"/>
              </w:rPr>
            </w:pPr>
            <w:r>
              <w:rPr>
                <w:sz w:val="20"/>
              </w:rPr>
              <w:t>с. Куйбышево, ул. Миусская, 3</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D8080000">
            <w:pPr>
              <w:widowControl w:val="0"/>
              <w:spacing w:after="0" w:line="240" w:lineRule="auto"/>
              <w:ind/>
              <w:jc w:val="center"/>
              <w:rPr>
                <w:sz w:val="20"/>
              </w:rPr>
            </w:pPr>
            <w:r>
              <w:rPr>
                <w:sz w:val="20"/>
              </w:rPr>
              <w:t>0,021</w:t>
            </w:r>
          </w:p>
        </w:tc>
      </w:tr>
      <w:tr>
        <w:trPr>
          <w:trHeight w:hRule="exact" w:val="271"/>
        </w:trPr>
        <w:tc>
          <w:tcPr>
            <w:tcW w:type="dxa" w:w="6693"/>
            <w:tcBorders>
              <w:top w:sz="4" w:val="nil"/>
              <w:left w:color="000000" w:sz="4" w:val="single"/>
              <w:bottom w:color="000000" w:sz="4" w:val="single"/>
              <w:right w:color="000000" w:sz="4" w:val="single"/>
            </w:tcBorders>
            <w:tcMar>
              <w:left w:type="dxa" w:w="40"/>
              <w:right w:type="dxa" w:w="40"/>
            </w:tcMar>
            <w:vAlign w:val="center"/>
          </w:tcPr>
          <w:p w14:paraId="D9080000">
            <w:pPr>
              <w:ind/>
              <w:jc w:val="center"/>
              <w:rPr>
                <w:sz w:val="20"/>
              </w:rPr>
            </w:pPr>
            <w:r>
              <w:rPr>
                <w:sz w:val="20"/>
              </w:rPr>
              <w:t>с. Куйбышево, ул. Миусская, 3</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DA080000">
            <w:pPr>
              <w:widowControl w:val="0"/>
              <w:spacing w:after="0" w:line="240" w:lineRule="auto"/>
              <w:ind/>
              <w:jc w:val="center"/>
              <w:rPr>
                <w:sz w:val="20"/>
              </w:rPr>
            </w:pPr>
            <w:r>
              <w:rPr>
                <w:sz w:val="20"/>
              </w:rPr>
              <w:t>0,036</w:t>
            </w:r>
          </w:p>
        </w:tc>
      </w:tr>
      <w:tr>
        <w:trPr>
          <w:trHeight w:hRule="exact" w:val="281"/>
        </w:trPr>
        <w:tc>
          <w:tcPr>
            <w:tcW w:type="dxa" w:w="6693"/>
            <w:tcBorders>
              <w:top w:sz="4" w:val="nil"/>
              <w:left w:color="000000" w:sz="4" w:val="single"/>
              <w:bottom w:color="000000" w:sz="4" w:val="single"/>
              <w:right w:color="000000" w:sz="4" w:val="single"/>
            </w:tcBorders>
            <w:tcMar>
              <w:left w:type="dxa" w:w="40"/>
              <w:right w:type="dxa" w:w="40"/>
            </w:tcMar>
            <w:vAlign w:val="center"/>
          </w:tcPr>
          <w:p w14:paraId="DB080000">
            <w:pPr>
              <w:ind/>
              <w:jc w:val="center"/>
              <w:rPr>
                <w:sz w:val="20"/>
              </w:rPr>
            </w:pPr>
            <w:r>
              <w:rPr>
                <w:sz w:val="20"/>
              </w:rPr>
              <w:t xml:space="preserve">с. Куйбышево, </w:t>
            </w:r>
            <w:r>
              <w:rPr>
                <w:sz w:val="20"/>
              </w:rPr>
              <w:t>ул. Миусская, 3</w:t>
            </w:r>
          </w:p>
        </w:tc>
        <w:tc>
          <w:tcPr>
            <w:tcW w:type="dxa" w:w="2945"/>
            <w:tcBorders>
              <w:top w:sz="4" w:val="nil"/>
              <w:left w:color="000000" w:sz="4" w:val="single"/>
              <w:bottom w:color="000000" w:sz="4" w:val="single"/>
              <w:right w:color="000000" w:sz="4" w:val="single"/>
            </w:tcBorders>
            <w:tcMar>
              <w:left w:type="dxa" w:w="40"/>
              <w:right w:type="dxa" w:w="40"/>
            </w:tcMar>
            <w:vAlign w:val="center"/>
          </w:tcPr>
          <w:p w14:paraId="DC080000">
            <w:pPr>
              <w:widowControl w:val="0"/>
              <w:spacing w:after="0" w:line="240" w:lineRule="auto"/>
              <w:ind/>
              <w:jc w:val="center"/>
              <w:rPr>
                <w:sz w:val="20"/>
              </w:rPr>
            </w:pPr>
            <w:r>
              <w:rPr>
                <w:sz w:val="20"/>
              </w:rPr>
              <w:t>0,030</w:t>
            </w:r>
          </w:p>
        </w:tc>
      </w:tr>
    </w:tbl>
    <w:p w14:paraId="DD080000">
      <w:pPr>
        <w:spacing w:before="200" w:line="240" w:lineRule="auto"/>
        <w:ind w:firstLine="709" w:left="0"/>
        <w:jc w:val="both"/>
        <w:rPr>
          <w:sz w:val="28"/>
        </w:rPr>
      </w:pPr>
      <w:r>
        <w:rPr>
          <w:sz w:val="28"/>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DE080000">
      <w:pPr>
        <w:spacing w:before="200" w:line="240" w:lineRule="auto"/>
        <w:ind w:firstLine="709" w:left="0"/>
        <w:jc w:val="both"/>
        <w:rPr>
          <w:sz w:val="28"/>
        </w:rPr>
      </w:pPr>
      <w:r>
        <w:rPr>
          <w:sz w:val="28"/>
        </w:rPr>
        <w:t xml:space="preserve">Условия применения отопления жилых помещений в многоквартирных домах с использованием индивидуальных квартирных источников тепловой энергии на территории Куйбышевского сельского поселения не зафиксированы. </w:t>
      </w:r>
    </w:p>
    <w:p w14:paraId="DF080000">
      <w:pPr>
        <w:spacing w:before="200" w:line="240" w:lineRule="auto"/>
        <w:ind w:firstLine="709" w:left="0"/>
        <w:jc w:val="both"/>
        <w:rPr>
          <w:sz w:val="28"/>
        </w:rPr>
      </w:pPr>
      <w:r>
        <w:rPr>
          <w:sz w:val="28"/>
        </w:rPr>
        <w:t>г) Описание величины потребления тепловой энергии</w:t>
      </w:r>
      <w:r>
        <w:rPr>
          <w:sz w:val="28"/>
        </w:rPr>
        <w:t xml:space="preserve"> в расчетных элементах территориального деления за отопительный период и за год в целом.</w:t>
      </w:r>
    </w:p>
    <w:p w14:paraId="E0080000">
      <w:pPr>
        <w:spacing w:before="200" w:line="240" w:lineRule="auto"/>
        <w:ind w:firstLine="709" w:left="0"/>
        <w:jc w:val="both"/>
        <w:rPr>
          <w:sz w:val="28"/>
        </w:rPr>
      </w:pPr>
      <w:r>
        <w:rPr>
          <w:sz w:val="28"/>
        </w:rPr>
        <w:t>Таблица 24 Описание величины потребления тепловой энергии</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40"/>
          <w:right w:type="dxa" w:w="40"/>
        </w:tblCellMar>
      </w:tblPr>
      <w:tblGrid>
        <w:gridCol w:w="5711"/>
        <w:gridCol w:w="3927"/>
      </w:tblGrid>
      <w:tr>
        <w:trPr>
          <w:trHeight w:hRule="exact" w:val="345"/>
        </w:trPr>
        <w:tc>
          <w:tcPr>
            <w:tcW w:type="dxa" w:w="5711"/>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1080000">
            <w:pPr>
              <w:ind/>
              <w:jc w:val="center"/>
              <w:rPr>
                <w:sz w:val="20"/>
              </w:rPr>
            </w:pPr>
            <w:r>
              <w:rPr>
                <w:sz w:val="20"/>
              </w:rPr>
              <w:t>Котельная</w:t>
            </w:r>
          </w:p>
        </w:tc>
        <w:tc>
          <w:tcPr>
            <w:tcW w:type="dxa" w:w="3927"/>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2080000">
            <w:pPr>
              <w:ind/>
              <w:jc w:val="center"/>
              <w:rPr>
                <w:sz w:val="20"/>
              </w:rPr>
            </w:pPr>
            <w:r>
              <w:rPr>
                <w:sz w:val="20"/>
              </w:rPr>
              <w:t>Отпуск тепловой энергии, Гкал/ 2022 год</w:t>
            </w:r>
          </w:p>
        </w:tc>
      </w:tr>
      <w:tr>
        <w:trPr>
          <w:trHeight w:hRule="exact" w:val="296"/>
        </w:trPr>
        <w:tc>
          <w:tcPr>
            <w:tcW w:type="dxa" w:w="5711"/>
            <w:tcBorders>
              <w:top w:sz="4" w:val="nil"/>
              <w:left w:color="000000" w:sz="4" w:val="single"/>
              <w:bottom w:color="000000" w:sz="4" w:val="single"/>
              <w:right w:color="000000" w:sz="4" w:val="single"/>
            </w:tcBorders>
            <w:tcMar>
              <w:left w:type="dxa" w:w="40"/>
              <w:right w:type="dxa" w:w="40"/>
            </w:tcMar>
            <w:vAlign w:val="center"/>
          </w:tcPr>
          <w:p w14:paraId="E3080000">
            <w:pPr>
              <w:ind/>
              <w:jc w:val="center"/>
              <w:rPr>
                <w:sz w:val="20"/>
              </w:rPr>
            </w:pPr>
            <w:r>
              <w:rPr>
                <w:sz w:val="20"/>
              </w:rPr>
              <w:t>с. Куйбышево, ул. Пролетарская, 7</w:t>
            </w:r>
          </w:p>
        </w:tc>
        <w:tc>
          <w:tcPr>
            <w:tcW w:type="dxa" w:w="3927"/>
            <w:tcBorders>
              <w:top w:color="000000" w:sz="4" w:val="single"/>
              <w:left w:color="000000" w:sz="4" w:val="single"/>
              <w:bottom w:color="000000" w:sz="4" w:val="single"/>
              <w:right w:color="000000" w:sz="4" w:val="single"/>
            </w:tcBorders>
            <w:tcMar>
              <w:left w:type="dxa" w:w="40"/>
              <w:right w:type="dxa" w:w="40"/>
            </w:tcMar>
            <w:vAlign w:val="center"/>
          </w:tcPr>
          <w:p w14:paraId="E4080000">
            <w:pPr>
              <w:ind/>
              <w:jc w:val="center"/>
              <w:rPr>
                <w:sz w:val="20"/>
              </w:rPr>
            </w:pPr>
            <w:r>
              <w:rPr>
                <w:sz w:val="20"/>
              </w:rPr>
              <w:t>1044,972</w:t>
            </w:r>
          </w:p>
        </w:tc>
      </w:tr>
      <w:tr>
        <w:trPr>
          <w:trHeight w:hRule="exact" w:val="283"/>
        </w:trPr>
        <w:tc>
          <w:tcPr>
            <w:tcW w:type="dxa" w:w="5711"/>
            <w:tcBorders>
              <w:top w:sz="4" w:val="nil"/>
              <w:left w:color="000000" w:sz="4" w:val="single"/>
              <w:bottom w:color="000000" w:sz="4" w:val="single"/>
              <w:right w:color="000000" w:sz="4" w:val="single"/>
            </w:tcBorders>
            <w:tcMar>
              <w:left w:type="dxa" w:w="40"/>
              <w:right w:type="dxa" w:w="40"/>
            </w:tcMar>
            <w:vAlign w:val="center"/>
          </w:tcPr>
          <w:p w14:paraId="E5080000">
            <w:pPr>
              <w:ind/>
              <w:jc w:val="center"/>
              <w:rPr>
                <w:sz w:val="20"/>
              </w:rPr>
            </w:pPr>
            <w:r>
              <w:rPr>
                <w:sz w:val="20"/>
              </w:rPr>
              <w:t xml:space="preserve">с. Русское, </w:t>
            </w:r>
            <w:r>
              <w:rPr>
                <w:sz w:val="20"/>
              </w:rPr>
              <w:t>ул. Красноармейская,8-а</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E6080000">
            <w:pPr>
              <w:ind/>
              <w:jc w:val="center"/>
              <w:rPr>
                <w:sz w:val="20"/>
              </w:rPr>
            </w:pPr>
            <w:r>
              <w:rPr>
                <w:sz w:val="20"/>
              </w:rPr>
              <w:t>269,201</w:t>
            </w:r>
          </w:p>
        </w:tc>
      </w:tr>
      <w:tr>
        <w:trPr>
          <w:trHeight w:hRule="exact" w:val="275"/>
        </w:trPr>
        <w:tc>
          <w:tcPr>
            <w:tcW w:type="dxa" w:w="5711"/>
            <w:tcBorders>
              <w:top w:sz="4" w:val="nil"/>
              <w:left w:color="000000" w:sz="4" w:val="single"/>
              <w:bottom w:color="000000" w:sz="4" w:val="single"/>
              <w:right w:color="000000" w:sz="4" w:val="single"/>
            </w:tcBorders>
            <w:tcMar>
              <w:left w:type="dxa" w:w="40"/>
              <w:right w:type="dxa" w:w="40"/>
            </w:tcMar>
            <w:vAlign w:val="center"/>
          </w:tcPr>
          <w:p w14:paraId="E7080000">
            <w:pPr>
              <w:ind/>
              <w:jc w:val="center"/>
              <w:rPr>
                <w:sz w:val="20"/>
              </w:rPr>
            </w:pPr>
            <w:r>
              <w:rPr>
                <w:sz w:val="20"/>
              </w:rPr>
              <w:t>с. Русское, ул. Героя Советского Союза М.П. Алексеева, 8</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E8080000">
            <w:pPr>
              <w:ind/>
              <w:jc w:val="center"/>
              <w:rPr>
                <w:sz w:val="20"/>
              </w:rPr>
            </w:pPr>
            <w:r>
              <w:rPr>
                <w:sz w:val="20"/>
              </w:rPr>
              <w:t>49,142</w:t>
            </w:r>
          </w:p>
        </w:tc>
      </w:tr>
      <w:tr>
        <w:trPr>
          <w:trHeight w:hRule="exact" w:val="291"/>
        </w:trPr>
        <w:tc>
          <w:tcPr>
            <w:tcW w:type="dxa" w:w="5711"/>
            <w:tcBorders>
              <w:top w:sz="4" w:val="nil"/>
              <w:left w:color="000000" w:sz="4" w:val="single"/>
              <w:bottom w:color="000000" w:sz="4" w:val="single"/>
              <w:right w:color="000000" w:sz="4" w:val="single"/>
            </w:tcBorders>
            <w:tcMar>
              <w:left w:type="dxa" w:w="40"/>
              <w:right w:type="dxa" w:w="40"/>
            </w:tcMar>
            <w:vAlign w:val="center"/>
          </w:tcPr>
          <w:p w14:paraId="E9080000">
            <w:pPr>
              <w:ind/>
              <w:jc w:val="center"/>
              <w:rPr>
                <w:sz w:val="20"/>
              </w:rPr>
            </w:pPr>
            <w:r>
              <w:rPr>
                <w:sz w:val="20"/>
              </w:rPr>
              <w:t>с. Куйбышево, ул. Театральная, 72</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EA080000">
            <w:pPr>
              <w:ind/>
              <w:jc w:val="center"/>
              <w:rPr>
                <w:sz w:val="20"/>
              </w:rPr>
            </w:pPr>
            <w:r>
              <w:rPr>
                <w:sz w:val="20"/>
              </w:rPr>
              <w:t>63,700</w:t>
            </w:r>
          </w:p>
        </w:tc>
      </w:tr>
      <w:tr>
        <w:trPr>
          <w:trHeight w:hRule="exact" w:val="269"/>
        </w:trPr>
        <w:tc>
          <w:tcPr>
            <w:tcW w:type="dxa" w:w="5711"/>
            <w:tcBorders>
              <w:top w:sz="4" w:val="nil"/>
              <w:left w:color="000000" w:sz="4" w:val="single"/>
              <w:bottom w:color="000000" w:sz="4" w:val="single"/>
              <w:right w:color="000000" w:sz="4" w:val="single"/>
            </w:tcBorders>
            <w:tcMar>
              <w:left w:type="dxa" w:w="40"/>
              <w:right w:type="dxa" w:w="40"/>
            </w:tcMar>
            <w:vAlign w:val="center"/>
          </w:tcPr>
          <w:p w14:paraId="EB080000">
            <w:pPr>
              <w:ind/>
              <w:jc w:val="center"/>
              <w:rPr>
                <w:sz w:val="20"/>
              </w:rPr>
            </w:pPr>
            <w:r>
              <w:rPr>
                <w:sz w:val="20"/>
              </w:rPr>
              <w:t>с. Куйбышево, ул. Пролетарская, 2 а</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EC080000">
            <w:pPr>
              <w:ind/>
              <w:jc w:val="center"/>
              <w:rPr>
                <w:sz w:val="20"/>
              </w:rPr>
            </w:pPr>
            <w:r>
              <w:rPr>
                <w:sz w:val="20"/>
              </w:rPr>
              <w:t>277,100</w:t>
            </w:r>
          </w:p>
        </w:tc>
      </w:tr>
      <w:tr>
        <w:trPr>
          <w:trHeight w:hRule="exact" w:val="286"/>
        </w:trPr>
        <w:tc>
          <w:tcPr>
            <w:tcW w:type="dxa" w:w="5711"/>
            <w:tcBorders>
              <w:top w:sz="4" w:val="nil"/>
              <w:left w:color="000000" w:sz="4" w:val="single"/>
              <w:bottom w:color="000000" w:sz="4" w:val="single"/>
              <w:right w:color="000000" w:sz="4" w:val="single"/>
            </w:tcBorders>
            <w:tcMar>
              <w:left w:type="dxa" w:w="40"/>
              <w:right w:type="dxa" w:w="40"/>
            </w:tcMar>
            <w:vAlign w:val="center"/>
          </w:tcPr>
          <w:p w14:paraId="ED080000">
            <w:pPr>
              <w:ind/>
              <w:jc w:val="center"/>
              <w:rPr>
                <w:sz w:val="20"/>
              </w:rPr>
            </w:pPr>
            <w:r>
              <w:rPr>
                <w:sz w:val="20"/>
              </w:rPr>
              <w:t>с. Куйбышево, ул. Кузьменко, 3 а</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EE080000">
            <w:pPr>
              <w:ind/>
              <w:jc w:val="center"/>
              <w:rPr>
                <w:sz w:val="20"/>
              </w:rPr>
            </w:pPr>
            <w:r>
              <w:rPr>
                <w:sz w:val="20"/>
              </w:rPr>
              <w:t>202,200</w:t>
            </w:r>
          </w:p>
        </w:tc>
      </w:tr>
      <w:tr>
        <w:trPr>
          <w:trHeight w:hRule="exact" w:val="279"/>
        </w:trPr>
        <w:tc>
          <w:tcPr>
            <w:tcW w:type="dxa" w:w="5711"/>
            <w:tcBorders>
              <w:top w:sz="4" w:val="nil"/>
              <w:left w:color="000000" w:sz="4" w:val="single"/>
              <w:bottom w:color="000000" w:sz="4" w:val="single"/>
              <w:right w:color="000000" w:sz="4" w:val="single"/>
            </w:tcBorders>
            <w:tcMar>
              <w:left w:type="dxa" w:w="40"/>
              <w:right w:type="dxa" w:w="40"/>
            </w:tcMar>
            <w:vAlign w:val="center"/>
          </w:tcPr>
          <w:p w14:paraId="EF080000">
            <w:pPr>
              <w:ind/>
              <w:jc w:val="center"/>
              <w:rPr>
                <w:sz w:val="20"/>
              </w:rPr>
            </w:pPr>
            <w:r>
              <w:rPr>
                <w:sz w:val="20"/>
              </w:rPr>
              <w:t>х. Свободный, ул. Молодёжная,</w:t>
            </w:r>
            <w:r>
              <w:rPr>
                <w:sz w:val="20"/>
              </w:rPr>
              <w:t xml:space="preserve"> 8</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F0080000">
            <w:pPr>
              <w:ind/>
              <w:jc w:val="center"/>
              <w:rPr>
                <w:sz w:val="20"/>
              </w:rPr>
            </w:pPr>
            <w:r>
              <w:rPr>
                <w:sz w:val="20"/>
              </w:rPr>
              <w:t>101,511</w:t>
            </w:r>
          </w:p>
        </w:tc>
      </w:tr>
      <w:tr>
        <w:trPr>
          <w:trHeight w:hRule="exact" w:val="285"/>
        </w:trPr>
        <w:tc>
          <w:tcPr>
            <w:tcW w:type="dxa" w:w="5711"/>
            <w:tcBorders>
              <w:top w:sz="4" w:val="nil"/>
              <w:left w:color="000000" w:sz="4" w:val="single"/>
              <w:bottom w:color="000000" w:sz="4" w:val="single"/>
              <w:right w:color="000000" w:sz="4" w:val="single"/>
            </w:tcBorders>
            <w:tcMar>
              <w:left w:type="dxa" w:w="40"/>
              <w:right w:type="dxa" w:w="40"/>
            </w:tcMar>
            <w:vAlign w:val="center"/>
          </w:tcPr>
          <w:p w14:paraId="F1080000">
            <w:pPr>
              <w:ind/>
              <w:jc w:val="center"/>
              <w:rPr>
                <w:sz w:val="20"/>
              </w:rPr>
            </w:pPr>
            <w:r>
              <w:rPr>
                <w:sz w:val="20"/>
              </w:rPr>
              <w:t>х. Ольховский, ул. Центральная, 3 а</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F2080000">
            <w:pPr>
              <w:ind/>
              <w:jc w:val="center"/>
              <w:rPr>
                <w:sz w:val="20"/>
              </w:rPr>
            </w:pPr>
            <w:r>
              <w:rPr>
                <w:sz w:val="20"/>
              </w:rPr>
              <w:t>55,000</w:t>
            </w:r>
          </w:p>
        </w:tc>
      </w:tr>
      <w:tr>
        <w:trPr>
          <w:trHeight w:hRule="exact" w:val="296"/>
        </w:trPr>
        <w:tc>
          <w:tcPr>
            <w:tcW w:type="dxa" w:w="5711"/>
            <w:tcBorders>
              <w:top w:sz="4" w:val="nil"/>
              <w:left w:color="000000" w:sz="4" w:val="single"/>
              <w:bottom w:color="000000" w:sz="4" w:val="single"/>
              <w:right w:color="000000" w:sz="4" w:val="single"/>
            </w:tcBorders>
            <w:tcMar>
              <w:left w:type="dxa" w:w="40"/>
              <w:right w:type="dxa" w:w="40"/>
            </w:tcMar>
            <w:vAlign w:val="center"/>
          </w:tcPr>
          <w:p w14:paraId="F3080000">
            <w:pPr>
              <w:ind/>
              <w:jc w:val="center"/>
              <w:rPr>
                <w:sz w:val="20"/>
              </w:rPr>
            </w:pPr>
            <w:r>
              <w:rPr>
                <w:sz w:val="20"/>
              </w:rPr>
              <w:t>с. Куйбышево, ул. Пролетарская, 5</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F4080000">
            <w:pPr>
              <w:ind/>
              <w:jc w:val="center"/>
              <w:rPr>
                <w:sz w:val="20"/>
              </w:rPr>
            </w:pPr>
            <w:r>
              <w:rPr>
                <w:sz w:val="20"/>
              </w:rPr>
              <w:t>106,500</w:t>
            </w:r>
          </w:p>
        </w:tc>
      </w:tr>
      <w:tr>
        <w:trPr>
          <w:trHeight w:hRule="exact" w:val="276"/>
        </w:trPr>
        <w:tc>
          <w:tcPr>
            <w:tcW w:type="dxa" w:w="5711"/>
            <w:tcBorders>
              <w:top w:sz="4" w:val="nil"/>
              <w:left w:color="000000" w:sz="4" w:val="single"/>
              <w:bottom w:color="000000" w:sz="4" w:val="single"/>
              <w:right w:color="000000" w:sz="4" w:val="single"/>
            </w:tcBorders>
            <w:tcMar>
              <w:left w:type="dxa" w:w="40"/>
              <w:right w:type="dxa" w:w="40"/>
            </w:tcMar>
            <w:vAlign w:val="center"/>
          </w:tcPr>
          <w:p w14:paraId="F5080000">
            <w:pPr>
              <w:ind/>
              <w:jc w:val="center"/>
              <w:rPr>
                <w:sz w:val="20"/>
              </w:rPr>
            </w:pPr>
            <w:r>
              <w:rPr>
                <w:sz w:val="20"/>
              </w:rPr>
              <w:t>с. Куйбышево, ул. Театральная, 22</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F6080000">
            <w:pPr>
              <w:ind/>
              <w:jc w:val="center"/>
              <w:rPr>
                <w:sz w:val="20"/>
              </w:rPr>
            </w:pPr>
            <w:r>
              <w:rPr>
                <w:sz w:val="20"/>
              </w:rPr>
              <w:t>105,000</w:t>
            </w:r>
          </w:p>
        </w:tc>
      </w:tr>
      <w:tr>
        <w:trPr>
          <w:trHeight w:hRule="exact" w:val="248"/>
        </w:trPr>
        <w:tc>
          <w:tcPr>
            <w:tcW w:type="dxa" w:w="5711"/>
            <w:tcBorders>
              <w:top w:sz="4" w:val="nil"/>
              <w:left w:color="000000" w:sz="4" w:val="single"/>
              <w:bottom w:color="000000" w:sz="4" w:val="single"/>
              <w:right w:color="000000" w:sz="4" w:val="single"/>
            </w:tcBorders>
            <w:tcMar>
              <w:left w:type="dxa" w:w="40"/>
              <w:right w:type="dxa" w:w="40"/>
            </w:tcMar>
            <w:vAlign w:val="center"/>
          </w:tcPr>
          <w:p w14:paraId="F7080000">
            <w:pPr>
              <w:ind/>
              <w:jc w:val="center"/>
              <w:rPr>
                <w:sz w:val="20"/>
              </w:rPr>
            </w:pPr>
            <w:r>
              <w:rPr>
                <w:sz w:val="20"/>
              </w:rPr>
              <w:t>х. Свободный, ул. Победы, 29</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F8080000">
            <w:pPr>
              <w:ind/>
              <w:jc w:val="center"/>
              <w:rPr>
                <w:sz w:val="20"/>
              </w:rPr>
            </w:pPr>
            <w:r>
              <w:rPr>
                <w:sz w:val="20"/>
              </w:rPr>
              <w:t>22,300</w:t>
            </w:r>
          </w:p>
        </w:tc>
      </w:tr>
      <w:tr>
        <w:trPr>
          <w:trHeight w:hRule="exact" w:val="274"/>
        </w:trPr>
        <w:tc>
          <w:tcPr>
            <w:tcW w:type="dxa" w:w="5711"/>
            <w:tcBorders>
              <w:top w:sz="4" w:val="nil"/>
              <w:left w:color="000000" w:sz="4" w:val="single"/>
              <w:bottom w:color="000000" w:sz="4" w:val="single"/>
              <w:right w:color="000000" w:sz="4" w:val="single"/>
            </w:tcBorders>
            <w:tcMar>
              <w:left w:type="dxa" w:w="40"/>
              <w:right w:type="dxa" w:w="40"/>
            </w:tcMar>
            <w:vAlign w:val="center"/>
          </w:tcPr>
          <w:p w14:paraId="F9080000">
            <w:pPr>
              <w:ind/>
              <w:jc w:val="center"/>
              <w:rPr>
                <w:sz w:val="20"/>
              </w:rPr>
            </w:pPr>
            <w:r>
              <w:rPr>
                <w:sz w:val="20"/>
              </w:rPr>
              <w:t>х. Новобахмутский, ул. Широкая, 89 а</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FA080000">
            <w:pPr>
              <w:ind/>
              <w:jc w:val="center"/>
              <w:rPr>
                <w:sz w:val="20"/>
              </w:rPr>
            </w:pPr>
            <w:r>
              <w:rPr>
                <w:sz w:val="20"/>
              </w:rPr>
              <w:t>29,800</w:t>
            </w:r>
          </w:p>
        </w:tc>
      </w:tr>
      <w:tr>
        <w:trPr>
          <w:trHeight w:hRule="exact" w:val="223"/>
        </w:trPr>
        <w:tc>
          <w:tcPr>
            <w:tcW w:type="dxa" w:w="5711"/>
            <w:tcBorders>
              <w:top w:sz="4" w:val="nil"/>
              <w:left w:color="000000" w:sz="4" w:val="single"/>
              <w:bottom w:color="000000" w:sz="4" w:val="single"/>
              <w:right w:color="000000" w:sz="4" w:val="single"/>
            </w:tcBorders>
            <w:tcMar>
              <w:left w:type="dxa" w:w="40"/>
              <w:right w:type="dxa" w:w="40"/>
            </w:tcMar>
            <w:vAlign w:val="center"/>
          </w:tcPr>
          <w:p w14:paraId="FB080000">
            <w:pPr>
              <w:ind/>
              <w:jc w:val="center"/>
              <w:rPr>
                <w:sz w:val="20"/>
              </w:rPr>
            </w:pPr>
            <w:r>
              <w:rPr>
                <w:sz w:val="20"/>
              </w:rPr>
              <w:t>с. Русское, ул. Красноармейская,</w:t>
            </w:r>
            <w:r>
              <w:rPr>
                <w:sz w:val="20"/>
              </w:rPr>
              <w:t xml:space="preserve"> 1</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FC080000">
            <w:pPr>
              <w:ind/>
              <w:jc w:val="center"/>
              <w:rPr>
                <w:sz w:val="20"/>
              </w:rPr>
            </w:pPr>
            <w:r>
              <w:rPr>
                <w:sz w:val="20"/>
              </w:rPr>
              <w:t>105,300</w:t>
            </w:r>
          </w:p>
        </w:tc>
      </w:tr>
      <w:tr>
        <w:trPr>
          <w:trHeight w:hRule="exact" w:val="283"/>
        </w:trPr>
        <w:tc>
          <w:tcPr>
            <w:tcW w:type="dxa" w:w="5711"/>
            <w:tcBorders>
              <w:top w:sz="4" w:val="nil"/>
              <w:left w:color="000000" w:sz="4" w:val="single"/>
              <w:bottom w:color="000000" w:sz="4" w:val="single"/>
              <w:right w:color="000000" w:sz="4" w:val="single"/>
            </w:tcBorders>
            <w:tcMar>
              <w:left w:type="dxa" w:w="40"/>
              <w:right w:type="dxa" w:w="40"/>
            </w:tcMar>
            <w:vAlign w:val="center"/>
          </w:tcPr>
          <w:p w14:paraId="FD080000">
            <w:pPr>
              <w:ind/>
              <w:jc w:val="center"/>
              <w:rPr>
                <w:sz w:val="20"/>
              </w:rPr>
            </w:pPr>
            <w:r>
              <w:rPr>
                <w:sz w:val="20"/>
              </w:rPr>
              <w:t>с. Куйбышево, ул. Цветаева, 31</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FE080000">
            <w:pPr>
              <w:ind/>
              <w:jc w:val="center"/>
              <w:rPr>
                <w:sz w:val="20"/>
              </w:rPr>
            </w:pPr>
            <w:r>
              <w:rPr>
                <w:sz w:val="20"/>
              </w:rPr>
              <w:t>23,200</w:t>
            </w:r>
          </w:p>
        </w:tc>
      </w:tr>
      <w:tr>
        <w:trPr>
          <w:trHeight w:hRule="exact" w:val="338"/>
        </w:trPr>
        <w:tc>
          <w:tcPr>
            <w:tcW w:type="dxa" w:w="5711"/>
            <w:tcBorders>
              <w:top w:sz="4" w:val="nil"/>
              <w:left w:color="000000" w:sz="4" w:val="single"/>
              <w:bottom w:color="000000" w:sz="4" w:val="single"/>
              <w:right w:color="000000" w:sz="4" w:val="single"/>
            </w:tcBorders>
            <w:tcMar>
              <w:left w:type="dxa" w:w="40"/>
              <w:right w:type="dxa" w:w="40"/>
            </w:tcMar>
            <w:vAlign w:val="center"/>
          </w:tcPr>
          <w:p w14:paraId="FF080000">
            <w:pPr>
              <w:ind/>
              <w:jc w:val="center"/>
              <w:rPr>
                <w:sz w:val="20"/>
              </w:rPr>
            </w:pPr>
            <w:r>
              <w:rPr>
                <w:sz w:val="20"/>
              </w:rPr>
              <w:t>с. Куйбышево, ул. Куйбышевская, 24</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00090000">
            <w:pPr>
              <w:ind/>
              <w:jc w:val="center"/>
              <w:rPr>
                <w:sz w:val="20"/>
              </w:rPr>
            </w:pPr>
            <w:r>
              <w:rPr>
                <w:sz w:val="20"/>
              </w:rPr>
              <w:t>221,258</w:t>
            </w:r>
          </w:p>
        </w:tc>
      </w:tr>
      <w:tr>
        <w:trPr>
          <w:trHeight w:hRule="exact" w:val="301"/>
        </w:trPr>
        <w:tc>
          <w:tcPr>
            <w:tcW w:type="dxa" w:w="5711"/>
            <w:tcBorders>
              <w:top w:sz="4" w:val="nil"/>
              <w:left w:color="000000" w:sz="4" w:val="single"/>
              <w:bottom w:color="000000" w:sz="4" w:val="single"/>
              <w:right w:color="000000" w:sz="4" w:val="single"/>
            </w:tcBorders>
            <w:tcMar>
              <w:left w:type="dxa" w:w="40"/>
              <w:right w:type="dxa" w:w="40"/>
            </w:tcMar>
            <w:vAlign w:val="center"/>
          </w:tcPr>
          <w:p w14:paraId="01090000">
            <w:pPr>
              <w:ind/>
              <w:jc w:val="center"/>
              <w:rPr>
                <w:sz w:val="20"/>
              </w:rPr>
            </w:pPr>
            <w:r>
              <w:rPr>
                <w:sz w:val="20"/>
              </w:rPr>
              <w:t>с. Куйбышево, ул. Куйбышевская, 20</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02090000">
            <w:pPr>
              <w:ind/>
              <w:jc w:val="center"/>
              <w:rPr>
                <w:sz w:val="20"/>
              </w:rPr>
            </w:pPr>
            <w:r>
              <w:rPr>
                <w:sz w:val="20"/>
              </w:rPr>
              <w:t>39,205</w:t>
            </w:r>
          </w:p>
        </w:tc>
      </w:tr>
      <w:tr>
        <w:trPr>
          <w:trHeight w:hRule="exact" w:val="292"/>
        </w:trPr>
        <w:tc>
          <w:tcPr>
            <w:tcW w:type="dxa" w:w="5711"/>
            <w:tcBorders>
              <w:top w:sz="4" w:val="nil"/>
              <w:left w:color="000000" w:sz="4" w:val="single"/>
              <w:bottom w:color="000000" w:sz="4" w:val="single"/>
              <w:right w:color="000000" w:sz="4" w:val="single"/>
            </w:tcBorders>
            <w:tcMar>
              <w:left w:type="dxa" w:w="40"/>
              <w:right w:type="dxa" w:w="40"/>
            </w:tcMar>
            <w:vAlign w:val="center"/>
          </w:tcPr>
          <w:p w14:paraId="03090000">
            <w:pPr>
              <w:ind/>
              <w:jc w:val="center"/>
              <w:rPr>
                <w:sz w:val="20"/>
              </w:rPr>
            </w:pPr>
            <w:r>
              <w:rPr>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left w:type="dxa" w:w="40"/>
              <w:right w:type="dxa" w:w="40"/>
            </w:tcMar>
            <w:vAlign w:val="center"/>
          </w:tcPr>
          <w:p w14:paraId="04090000">
            <w:pPr>
              <w:ind/>
              <w:jc w:val="center"/>
              <w:rPr>
                <w:sz w:val="20"/>
              </w:rPr>
            </w:pPr>
            <w:r>
              <w:rPr>
                <w:sz w:val="20"/>
              </w:rPr>
              <w:t>262,737</w:t>
            </w:r>
          </w:p>
        </w:tc>
      </w:tr>
      <w:tr>
        <w:trPr>
          <w:trHeight w:hRule="exact" w:val="270"/>
        </w:trPr>
        <w:tc>
          <w:tcPr>
            <w:tcW w:type="dxa" w:w="5711"/>
            <w:tcBorders>
              <w:top w:sz="4" w:val="nil"/>
              <w:left w:color="000000" w:sz="4" w:val="single"/>
              <w:bottom w:color="000000" w:sz="4" w:val="single"/>
              <w:right w:color="000000" w:sz="4" w:val="single"/>
            </w:tcBorders>
            <w:tcMar>
              <w:left w:type="dxa" w:w="40"/>
              <w:right w:type="dxa" w:w="40"/>
            </w:tcMar>
            <w:vAlign w:val="center"/>
          </w:tcPr>
          <w:p w14:paraId="05090000">
            <w:pPr>
              <w:ind/>
              <w:jc w:val="center"/>
              <w:rPr>
                <w:sz w:val="20"/>
              </w:rPr>
            </w:pPr>
            <w:r>
              <w:rPr>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left w:type="dxa" w:w="40"/>
              <w:right w:type="dxa" w:w="40"/>
            </w:tcMar>
            <w:vAlign w:val="center"/>
          </w:tcPr>
          <w:p w14:paraId="06090000">
            <w:pPr>
              <w:ind/>
              <w:jc w:val="center"/>
              <w:rPr>
                <w:sz w:val="20"/>
              </w:rPr>
            </w:pPr>
            <w:r>
              <w:rPr>
                <w:sz w:val="20"/>
              </w:rPr>
              <w:t>150,340</w:t>
            </w:r>
          </w:p>
        </w:tc>
      </w:tr>
      <w:tr>
        <w:trPr>
          <w:trHeight w:hRule="exact" w:val="301"/>
        </w:trPr>
        <w:tc>
          <w:tcPr>
            <w:tcW w:type="dxa" w:w="5711"/>
            <w:tcBorders>
              <w:top w:sz="4" w:val="nil"/>
              <w:left w:color="000000" w:sz="4" w:val="single"/>
              <w:bottom w:color="000000" w:sz="4" w:val="single"/>
              <w:right w:color="000000" w:sz="4" w:val="single"/>
            </w:tcBorders>
            <w:tcMar>
              <w:left w:type="dxa" w:w="40"/>
              <w:right w:type="dxa" w:w="40"/>
            </w:tcMar>
            <w:vAlign w:val="center"/>
          </w:tcPr>
          <w:p w14:paraId="07090000">
            <w:pPr>
              <w:ind/>
              <w:jc w:val="center"/>
              <w:rPr>
                <w:sz w:val="20"/>
              </w:rPr>
            </w:pPr>
            <w:r>
              <w:rPr>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left w:type="dxa" w:w="40"/>
              <w:right w:type="dxa" w:w="40"/>
            </w:tcMar>
            <w:vAlign w:val="center"/>
          </w:tcPr>
          <w:p w14:paraId="08090000">
            <w:pPr>
              <w:ind/>
              <w:jc w:val="center"/>
              <w:rPr>
                <w:sz w:val="20"/>
              </w:rPr>
            </w:pPr>
            <w:r>
              <w:rPr>
                <w:sz w:val="20"/>
              </w:rPr>
              <w:t>47,764</w:t>
            </w:r>
          </w:p>
        </w:tc>
      </w:tr>
      <w:tr>
        <w:trPr>
          <w:trHeight w:hRule="exact" w:val="256"/>
        </w:trPr>
        <w:tc>
          <w:tcPr>
            <w:tcW w:type="dxa" w:w="5711"/>
            <w:tcBorders>
              <w:top w:sz="4" w:val="nil"/>
              <w:left w:color="000000" w:sz="4" w:val="single"/>
              <w:bottom w:color="000000" w:sz="4" w:val="single"/>
              <w:right w:color="000000" w:sz="4" w:val="single"/>
            </w:tcBorders>
            <w:tcMar>
              <w:left w:type="dxa" w:w="40"/>
              <w:right w:type="dxa" w:w="40"/>
            </w:tcMar>
            <w:vAlign w:val="center"/>
          </w:tcPr>
          <w:p w14:paraId="09090000">
            <w:pPr>
              <w:ind/>
              <w:jc w:val="center"/>
              <w:rPr>
                <w:sz w:val="20"/>
              </w:rPr>
            </w:pPr>
            <w:r>
              <w:rPr>
                <w:sz w:val="20"/>
              </w:rPr>
              <w:t>с.</w:t>
            </w:r>
            <w:r>
              <w:rPr>
                <w:sz w:val="20"/>
              </w:rPr>
              <w:t xml:space="preserve"> Куйбышево, ул. Миусская, 3</w:t>
            </w:r>
          </w:p>
        </w:tc>
        <w:tc>
          <w:tcPr>
            <w:tcW w:type="dxa" w:w="3927"/>
            <w:tcBorders>
              <w:top w:color="000000" w:sz="4" w:val="single"/>
              <w:left w:color="000000" w:sz="4" w:val="single"/>
              <w:bottom w:color="000000" w:sz="4" w:val="single"/>
              <w:right w:color="000000" w:sz="4" w:val="single"/>
            </w:tcBorders>
            <w:tcMar>
              <w:left w:type="dxa" w:w="40"/>
              <w:right w:type="dxa" w:w="40"/>
            </w:tcMar>
            <w:vAlign w:val="center"/>
          </w:tcPr>
          <w:p w14:paraId="0A090000">
            <w:pPr>
              <w:ind/>
              <w:jc w:val="center"/>
              <w:rPr>
                <w:sz w:val="20"/>
              </w:rPr>
            </w:pPr>
            <w:r>
              <w:rPr>
                <w:sz w:val="20"/>
              </w:rPr>
              <w:t>34,579</w:t>
            </w:r>
          </w:p>
        </w:tc>
      </w:tr>
      <w:tr>
        <w:trPr>
          <w:trHeight w:hRule="exact" w:val="286"/>
        </w:trPr>
        <w:tc>
          <w:tcPr>
            <w:tcW w:type="dxa" w:w="5711"/>
            <w:tcBorders>
              <w:top w:sz="4" w:val="nil"/>
              <w:left w:color="000000" w:sz="4" w:val="single"/>
              <w:bottom w:color="000000" w:sz="4" w:val="single"/>
              <w:right w:color="000000" w:sz="4" w:val="single"/>
            </w:tcBorders>
            <w:tcMar>
              <w:left w:type="dxa" w:w="40"/>
              <w:right w:type="dxa" w:w="40"/>
            </w:tcMar>
            <w:vAlign w:val="center"/>
          </w:tcPr>
          <w:p w14:paraId="0B090000">
            <w:pPr>
              <w:ind/>
              <w:jc w:val="center"/>
              <w:rPr>
                <w:sz w:val="20"/>
              </w:rPr>
            </w:pPr>
            <w:r>
              <w:rPr>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left w:type="dxa" w:w="40"/>
              <w:right w:type="dxa" w:w="40"/>
            </w:tcMar>
            <w:vAlign w:val="center"/>
          </w:tcPr>
          <w:p w14:paraId="0C090000">
            <w:pPr>
              <w:ind/>
              <w:jc w:val="center"/>
              <w:rPr>
                <w:sz w:val="20"/>
              </w:rPr>
            </w:pPr>
            <w:r>
              <w:rPr>
                <w:sz w:val="20"/>
              </w:rPr>
              <w:t>31,487</w:t>
            </w:r>
          </w:p>
        </w:tc>
      </w:tr>
      <w:tr>
        <w:trPr>
          <w:trHeight w:hRule="exact" w:val="256"/>
        </w:trPr>
        <w:tc>
          <w:tcPr>
            <w:tcW w:type="dxa" w:w="5711"/>
            <w:tcBorders>
              <w:top w:sz="4" w:val="nil"/>
              <w:left w:color="000000" w:sz="4" w:val="single"/>
              <w:bottom w:color="000000" w:sz="4" w:val="single"/>
              <w:right w:color="000000" w:sz="4" w:val="single"/>
            </w:tcBorders>
            <w:tcMar>
              <w:left w:type="dxa" w:w="40"/>
              <w:right w:type="dxa" w:w="40"/>
            </w:tcMar>
            <w:vAlign w:val="center"/>
          </w:tcPr>
          <w:p w14:paraId="0D090000">
            <w:pPr>
              <w:ind/>
              <w:jc w:val="center"/>
              <w:rPr>
                <w:sz w:val="20"/>
              </w:rPr>
            </w:pPr>
            <w:r>
              <w:rPr>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left w:type="dxa" w:w="40"/>
              <w:right w:type="dxa" w:w="40"/>
            </w:tcMar>
            <w:vAlign w:val="center"/>
          </w:tcPr>
          <w:p w14:paraId="0E090000">
            <w:pPr>
              <w:ind/>
              <w:jc w:val="center"/>
              <w:rPr>
                <w:sz w:val="20"/>
              </w:rPr>
            </w:pPr>
            <w:r>
              <w:rPr>
                <w:sz w:val="20"/>
              </w:rPr>
              <w:t>97,575</w:t>
            </w:r>
          </w:p>
        </w:tc>
      </w:tr>
      <w:tr>
        <w:trPr>
          <w:trHeight w:hRule="exact" w:val="271"/>
        </w:trPr>
        <w:tc>
          <w:tcPr>
            <w:tcW w:type="dxa" w:w="5711"/>
            <w:tcBorders>
              <w:top w:sz="4" w:val="nil"/>
              <w:left w:color="000000" w:sz="4" w:val="single"/>
              <w:bottom w:color="000000" w:sz="4" w:val="single"/>
              <w:right w:color="000000" w:sz="4" w:val="single"/>
            </w:tcBorders>
            <w:tcMar>
              <w:left w:type="dxa" w:w="40"/>
              <w:right w:type="dxa" w:w="40"/>
            </w:tcMar>
            <w:vAlign w:val="center"/>
          </w:tcPr>
          <w:p w14:paraId="0F090000">
            <w:pPr>
              <w:ind/>
              <w:jc w:val="center"/>
              <w:rPr>
                <w:sz w:val="20"/>
              </w:rPr>
            </w:pPr>
            <w:r>
              <w:rPr>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left w:type="dxa" w:w="40"/>
              <w:right w:type="dxa" w:w="40"/>
            </w:tcMar>
            <w:vAlign w:val="center"/>
          </w:tcPr>
          <w:p w14:paraId="10090000">
            <w:pPr>
              <w:ind/>
              <w:jc w:val="center"/>
              <w:rPr>
                <w:sz w:val="20"/>
              </w:rPr>
            </w:pPr>
            <w:r>
              <w:rPr>
                <w:sz w:val="20"/>
              </w:rPr>
              <w:t>8,046</w:t>
            </w:r>
          </w:p>
        </w:tc>
      </w:tr>
      <w:tr>
        <w:trPr>
          <w:trHeight w:hRule="exact" w:val="271"/>
        </w:trPr>
        <w:tc>
          <w:tcPr>
            <w:tcW w:type="dxa" w:w="5711"/>
            <w:tcBorders>
              <w:top w:sz="4" w:val="nil"/>
              <w:left w:color="000000" w:sz="4" w:val="single"/>
              <w:bottom w:color="000000" w:sz="4" w:val="single"/>
              <w:right w:color="000000" w:sz="4" w:val="single"/>
            </w:tcBorders>
            <w:tcMar>
              <w:left w:type="dxa" w:w="40"/>
              <w:right w:type="dxa" w:w="40"/>
            </w:tcMar>
            <w:vAlign w:val="center"/>
          </w:tcPr>
          <w:p w14:paraId="11090000">
            <w:pPr>
              <w:ind/>
              <w:jc w:val="center"/>
              <w:rPr>
                <w:sz w:val="20"/>
              </w:rPr>
            </w:pPr>
            <w:r>
              <w:rPr>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left w:type="dxa" w:w="40"/>
              <w:right w:type="dxa" w:w="40"/>
            </w:tcMar>
            <w:vAlign w:val="center"/>
          </w:tcPr>
          <w:p w14:paraId="12090000">
            <w:pPr>
              <w:ind/>
              <w:jc w:val="center"/>
              <w:rPr>
                <w:sz w:val="20"/>
              </w:rPr>
            </w:pPr>
            <w:r>
              <w:rPr>
                <w:sz w:val="20"/>
              </w:rPr>
              <w:t>41,990</w:t>
            </w:r>
          </w:p>
        </w:tc>
      </w:tr>
      <w:tr>
        <w:trPr>
          <w:trHeight w:hRule="exact" w:val="273"/>
        </w:trPr>
        <w:tc>
          <w:tcPr>
            <w:tcW w:type="dxa" w:w="5711"/>
            <w:tcBorders>
              <w:top w:sz="4" w:val="nil"/>
              <w:left w:color="000000" w:sz="4" w:val="single"/>
              <w:bottom w:color="000000" w:sz="4" w:val="single"/>
              <w:right w:color="000000" w:sz="4" w:val="single"/>
            </w:tcBorders>
            <w:tcMar>
              <w:left w:type="dxa" w:w="40"/>
              <w:right w:type="dxa" w:w="40"/>
            </w:tcMar>
            <w:vAlign w:val="center"/>
          </w:tcPr>
          <w:p w14:paraId="13090000">
            <w:pPr>
              <w:ind/>
              <w:jc w:val="center"/>
              <w:rPr>
                <w:sz w:val="20"/>
              </w:rPr>
            </w:pPr>
            <w:r>
              <w:rPr>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left w:type="dxa" w:w="40"/>
              <w:right w:type="dxa" w:w="40"/>
            </w:tcMar>
            <w:vAlign w:val="center"/>
          </w:tcPr>
          <w:p w14:paraId="14090000">
            <w:pPr>
              <w:ind/>
              <w:jc w:val="center"/>
              <w:rPr>
                <w:sz w:val="20"/>
              </w:rPr>
            </w:pPr>
            <w:r>
              <w:rPr>
                <w:sz w:val="20"/>
              </w:rPr>
              <w:t>88,609</w:t>
            </w:r>
          </w:p>
        </w:tc>
      </w:tr>
      <w:tr>
        <w:trPr>
          <w:trHeight w:hRule="exact" w:val="322"/>
        </w:trPr>
        <w:tc>
          <w:tcPr>
            <w:tcW w:type="dxa" w:w="5711"/>
            <w:tcBorders>
              <w:top w:sz="4" w:val="nil"/>
              <w:left w:color="000000" w:sz="4" w:val="single"/>
              <w:bottom w:color="000000" w:sz="4" w:val="single"/>
              <w:right w:color="000000" w:sz="4" w:val="single"/>
            </w:tcBorders>
            <w:tcMar>
              <w:left w:type="dxa" w:w="40"/>
              <w:right w:type="dxa" w:w="40"/>
            </w:tcMar>
            <w:vAlign w:val="center"/>
          </w:tcPr>
          <w:p w14:paraId="15090000">
            <w:pPr>
              <w:ind/>
              <w:jc w:val="center"/>
              <w:rPr>
                <w:sz w:val="20"/>
              </w:rPr>
            </w:pPr>
            <w:r>
              <w:rPr>
                <w:sz w:val="20"/>
              </w:rPr>
              <w:t>с. Куйбышево, ул. Миусская, 3</w:t>
            </w:r>
          </w:p>
        </w:tc>
        <w:tc>
          <w:tcPr>
            <w:tcW w:type="dxa" w:w="3927"/>
            <w:tcBorders>
              <w:top w:color="000000" w:sz="4" w:val="single"/>
              <w:left w:color="000000" w:sz="4" w:val="single"/>
              <w:bottom w:color="000000" w:sz="4" w:val="single"/>
              <w:right w:color="000000" w:sz="4" w:val="single"/>
            </w:tcBorders>
            <w:tcMar>
              <w:left w:type="dxa" w:w="40"/>
              <w:right w:type="dxa" w:w="40"/>
            </w:tcMar>
            <w:vAlign w:val="center"/>
          </w:tcPr>
          <w:p w14:paraId="16090000">
            <w:pPr>
              <w:ind/>
              <w:jc w:val="center"/>
              <w:rPr>
                <w:sz w:val="20"/>
              </w:rPr>
            </w:pPr>
            <w:r>
              <w:rPr>
                <w:sz w:val="20"/>
              </w:rPr>
              <w:t>61,918</w:t>
            </w:r>
          </w:p>
        </w:tc>
      </w:tr>
      <w:tr>
        <w:trPr>
          <w:trHeight w:hRule="exact" w:val="371"/>
        </w:trPr>
        <w:tc>
          <w:tcPr>
            <w:tcW w:type="dxa" w:w="5711"/>
            <w:tcBorders>
              <w:top w:sz="4" w:val="nil"/>
              <w:left w:color="000000" w:sz="4" w:val="single"/>
              <w:bottom w:color="000000" w:sz="4" w:val="single"/>
              <w:right w:color="000000" w:sz="4" w:val="single"/>
            </w:tcBorders>
            <w:tcMar>
              <w:left w:type="dxa" w:w="40"/>
              <w:right w:type="dxa" w:w="40"/>
            </w:tcMar>
            <w:vAlign w:val="center"/>
          </w:tcPr>
          <w:p w14:paraId="17090000">
            <w:pPr>
              <w:ind/>
              <w:jc w:val="center"/>
              <w:rPr>
                <w:sz w:val="20"/>
              </w:rPr>
            </w:pPr>
            <w:r>
              <w:rPr>
                <w:sz w:val="20"/>
              </w:rPr>
              <w:t>Итого</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18090000">
            <w:pPr>
              <w:ind/>
              <w:jc w:val="center"/>
              <w:rPr>
                <w:sz w:val="20"/>
              </w:rPr>
            </w:pPr>
            <w:r>
              <w:rPr>
                <w:sz w:val="20"/>
              </w:rPr>
              <w:t>3540,434</w:t>
            </w:r>
          </w:p>
        </w:tc>
      </w:tr>
    </w:tbl>
    <w:p w14:paraId="19090000">
      <w:pPr>
        <w:spacing w:before="200" w:line="240" w:lineRule="auto"/>
        <w:ind w:firstLine="709" w:left="0"/>
        <w:jc w:val="both"/>
        <w:rPr>
          <w:sz w:val="28"/>
        </w:rPr>
      </w:pPr>
      <w:r>
        <w:rPr>
          <w:sz w:val="28"/>
        </w:rPr>
        <w:t xml:space="preserve">е) Описание сравнения величины договорной и расчетной тепловой нагрузки по зоне действия каждого источника тепловой энергии. </w:t>
      </w:r>
    </w:p>
    <w:p w14:paraId="1A090000">
      <w:pPr>
        <w:spacing w:line="240" w:lineRule="auto"/>
        <w:ind/>
        <w:jc w:val="both"/>
        <w:rPr>
          <w:sz w:val="28"/>
        </w:rPr>
      </w:pPr>
      <w:r>
        <w:rPr>
          <w:sz w:val="28"/>
        </w:rPr>
        <w:t xml:space="preserve">Таблица 25 Описание сравнения величины договорной и расчетной тепловой нагрузки по зоне действия каждого </w:t>
      </w:r>
      <w:r>
        <w:rPr>
          <w:sz w:val="28"/>
        </w:rPr>
        <w:t>источника тепловой энергии</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40"/>
          <w:right w:type="dxa" w:w="40"/>
        </w:tblCellMar>
      </w:tblPr>
      <w:tblGrid>
        <w:gridCol w:w="5711"/>
        <w:gridCol w:w="3927"/>
      </w:tblGrid>
      <w:tr>
        <w:trPr>
          <w:trHeight w:hRule="exact" w:val="345"/>
        </w:trPr>
        <w:tc>
          <w:tcPr>
            <w:tcW w:type="dxa" w:w="5711"/>
            <w:vMerge w:val="restart"/>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B090000">
            <w:pPr>
              <w:ind/>
              <w:jc w:val="center"/>
              <w:rPr>
                <w:sz w:val="20"/>
              </w:rPr>
            </w:pPr>
            <w:r>
              <w:rPr>
                <w:sz w:val="20"/>
              </w:rPr>
              <w:t>Наименование абонента</w:t>
            </w:r>
          </w:p>
        </w:tc>
        <w:tc>
          <w:tcPr>
            <w:tcW w:type="dxa" w:w="3927"/>
            <w:tcBorders>
              <w:top w:color="000000" w:sz="4" w:val="single"/>
              <w:left w:color="000000" w:sz="4" w:val="single"/>
              <w:bottom w:color="000000" w:sz="4" w:val="single"/>
              <w:right w:color="000000" w:sz="4" w:val="single"/>
            </w:tcBorders>
            <w:tcMar>
              <w:left w:type="dxa" w:w="40"/>
              <w:right w:type="dxa" w:w="40"/>
            </w:tcMar>
            <w:vAlign w:val="center"/>
          </w:tcPr>
          <w:p w14:paraId="1C090000">
            <w:pPr>
              <w:ind/>
              <w:jc w:val="center"/>
              <w:rPr>
                <w:sz w:val="20"/>
              </w:rPr>
            </w:pPr>
            <w:r>
              <w:rPr>
                <w:sz w:val="20"/>
              </w:rPr>
              <w:t>Тепловая нагрузка, Гкал/ч</w:t>
            </w:r>
          </w:p>
        </w:tc>
      </w:tr>
      <w:tr>
        <w:trPr>
          <w:trHeight w:hRule="exact" w:val="296"/>
        </w:trPr>
        <w:tc>
          <w:tcPr>
            <w:tcW w:type="dxa" w:w="5711"/>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vAlign w:val="center"/>
          </w:tcPr>
          <w:p/>
        </w:tc>
        <w:tc>
          <w:tcPr>
            <w:tcW w:type="dxa" w:w="3927"/>
            <w:tcBorders>
              <w:top w:color="000000" w:sz="4" w:val="single"/>
              <w:left w:color="000000" w:sz="4" w:val="single"/>
              <w:bottom w:color="000000" w:sz="4" w:val="single"/>
              <w:right w:color="000000" w:sz="4" w:val="single"/>
            </w:tcBorders>
            <w:tcMar>
              <w:left w:type="dxa" w:w="40"/>
              <w:right w:type="dxa" w:w="40"/>
            </w:tcMar>
            <w:vAlign w:val="bottom"/>
          </w:tcPr>
          <w:p w14:paraId="1D090000">
            <w:pPr>
              <w:ind/>
              <w:jc w:val="center"/>
              <w:rPr>
                <w:sz w:val="20"/>
              </w:rPr>
            </w:pPr>
            <w:r>
              <w:rPr>
                <w:sz w:val="20"/>
              </w:rPr>
              <w:t>Договорная (расчетная)</w:t>
            </w:r>
          </w:p>
          <w:p w14:paraId="1E090000">
            <w:pPr>
              <w:ind/>
              <w:jc w:val="center"/>
              <w:rPr>
                <w:sz w:val="20"/>
              </w:rPr>
            </w:pPr>
            <w:r>
              <w:rPr>
                <w:sz w:val="20"/>
              </w:rPr>
              <w:t>Расчетная</w:t>
            </w:r>
          </w:p>
        </w:tc>
      </w:tr>
      <w:tr>
        <w:trPr>
          <w:trHeight w:hRule="exact" w:val="283"/>
        </w:trPr>
        <w:tc>
          <w:tcPr>
            <w:tcW w:type="dxa" w:w="5711"/>
            <w:tcBorders>
              <w:top w:color="000000" w:sz="4" w:val="single"/>
              <w:left w:color="000000" w:sz="4" w:val="single"/>
              <w:bottom w:color="000000" w:sz="4" w:val="single"/>
              <w:right w:color="000000" w:sz="4" w:val="single"/>
            </w:tcBorders>
            <w:tcMar>
              <w:left w:type="dxa" w:w="40"/>
              <w:right w:type="dxa" w:w="40"/>
            </w:tcMar>
            <w:vAlign w:val="center"/>
          </w:tcPr>
          <w:p w14:paraId="1F090000">
            <w:pPr>
              <w:ind/>
              <w:jc w:val="center"/>
              <w:rPr>
                <w:sz w:val="20"/>
              </w:rPr>
            </w:pPr>
            <w:r>
              <w:rPr>
                <w:sz w:val="20"/>
              </w:rPr>
              <w:t>Куйбышевский район, с. Куйбышево, ул. Пролетарская, 7</w:t>
            </w:r>
          </w:p>
        </w:tc>
        <w:tc>
          <w:tcPr>
            <w:tcW w:type="dxa" w:w="3927"/>
            <w:tcBorders>
              <w:top w:color="000000" w:sz="4" w:val="single"/>
              <w:left w:sz="4" w:val="nil"/>
              <w:bottom w:color="000000" w:sz="4" w:val="single"/>
              <w:right w:color="000000" w:sz="4" w:val="single"/>
            </w:tcBorders>
            <w:tcMar>
              <w:left w:type="dxa" w:w="40"/>
              <w:right w:type="dxa" w:w="40"/>
            </w:tcMar>
            <w:vAlign w:val="center"/>
          </w:tcPr>
          <w:p w14:paraId="20090000">
            <w:pPr>
              <w:ind/>
              <w:jc w:val="center"/>
              <w:rPr>
                <w:sz w:val="20"/>
              </w:rPr>
            </w:pPr>
            <w:r>
              <w:rPr>
                <w:sz w:val="20"/>
              </w:rPr>
              <w:t>0,818</w:t>
            </w:r>
          </w:p>
        </w:tc>
      </w:tr>
      <w:tr>
        <w:trPr>
          <w:trHeight w:hRule="exact" w:val="275"/>
        </w:trPr>
        <w:tc>
          <w:tcPr>
            <w:tcW w:type="dxa" w:w="5711"/>
            <w:tcBorders>
              <w:top w:sz="4" w:val="nil"/>
              <w:left w:color="000000" w:sz="4" w:val="single"/>
              <w:bottom w:color="000000" w:sz="4" w:val="single"/>
              <w:right w:color="000000" w:sz="4" w:val="single"/>
            </w:tcBorders>
            <w:tcMar>
              <w:left w:type="dxa" w:w="40"/>
              <w:right w:type="dxa" w:w="40"/>
            </w:tcMar>
            <w:vAlign w:val="center"/>
          </w:tcPr>
          <w:p w14:paraId="21090000">
            <w:pPr>
              <w:ind/>
              <w:jc w:val="center"/>
              <w:rPr>
                <w:sz w:val="20"/>
              </w:rPr>
            </w:pPr>
            <w:r>
              <w:rPr>
                <w:sz w:val="20"/>
              </w:rPr>
              <w:t>Куйбышевский район, с. Куйбышево, пер. Овчаренко, 3</w:t>
            </w:r>
          </w:p>
        </w:tc>
        <w:tc>
          <w:tcPr>
            <w:tcW w:type="dxa" w:w="3927"/>
            <w:tcBorders>
              <w:top w:color="000000" w:sz="4" w:val="single"/>
              <w:left w:color="000000" w:sz="4" w:val="single"/>
              <w:bottom w:color="000000" w:sz="4" w:val="single"/>
              <w:right w:color="000000" w:sz="4" w:val="single"/>
            </w:tcBorders>
            <w:tcMar>
              <w:left w:type="dxa" w:w="40"/>
              <w:right w:type="dxa" w:w="40"/>
            </w:tcMar>
            <w:vAlign w:val="bottom"/>
          </w:tcPr>
          <w:p w14:paraId="22090000">
            <w:pPr>
              <w:ind/>
              <w:jc w:val="center"/>
              <w:rPr>
                <w:sz w:val="20"/>
              </w:rPr>
            </w:pPr>
            <w:r>
              <w:rPr>
                <w:sz w:val="20"/>
              </w:rPr>
              <w:t>0,165</w:t>
            </w:r>
          </w:p>
        </w:tc>
      </w:tr>
      <w:tr>
        <w:trPr>
          <w:trHeight w:hRule="exact" w:val="291"/>
        </w:trPr>
        <w:tc>
          <w:tcPr>
            <w:tcW w:type="dxa" w:w="5711"/>
            <w:tcBorders>
              <w:top w:sz="4" w:val="nil"/>
              <w:left w:color="000000" w:sz="4" w:val="single"/>
              <w:bottom w:color="000000" w:sz="4" w:val="single"/>
              <w:right w:color="000000" w:sz="4" w:val="single"/>
            </w:tcBorders>
            <w:tcMar>
              <w:left w:type="dxa" w:w="40"/>
              <w:right w:type="dxa" w:w="40"/>
            </w:tcMar>
            <w:vAlign w:val="center"/>
          </w:tcPr>
          <w:p w14:paraId="23090000">
            <w:pPr>
              <w:ind/>
              <w:jc w:val="center"/>
              <w:rPr>
                <w:sz w:val="20"/>
              </w:rPr>
            </w:pPr>
            <w:r>
              <w:rPr>
                <w:sz w:val="20"/>
              </w:rPr>
              <w:t xml:space="preserve">Куйбышевский район, с. </w:t>
            </w:r>
            <w:r>
              <w:rPr>
                <w:sz w:val="20"/>
              </w:rPr>
              <w:t>Куйбышево, ул. Пролетарская, 2 б</w:t>
            </w:r>
          </w:p>
        </w:tc>
        <w:tc>
          <w:tcPr>
            <w:tcW w:type="dxa" w:w="3927"/>
            <w:tcBorders>
              <w:top w:sz="4" w:val="nil"/>
              <w:left w:color="000000" w:sz="4" w:val="single"/>
              <w:bottom w:color="000000" w:sz="4" w:val="single"/>
              <w:right w:color="000000" w:sz="4" w:val="single"/>
            </w:tcBorders>
            <w:tcMar>
              <w:left w:type="dxa" w:w="40"/>
              <w:right w:type="dxa" w:w="40"/>
            </w:tcMar>
            <w:vAlign w:val="bottom"/>
          </w:tcPr>
          <w:p w14:paraId="24090000">
            <w:pPr>
              <w:ind/>
              <w:jc w:val="center"/>
              <w:rPr>
                <w:sz w:val="20"/>
              </w:rPr>
            </w:pPr>
            <w:r>
              <w:rPr>
                <w:sz w:val="20"/>
              </w:rPr>
              <w:t>0,029</w:t>
            </w:r>
          </w:p>
        </w:tc>
      </w:tr>
      <w:tr>
        <w:trPr>
          <w:trHeight w:hRule="exact" w:val="269"/>
        </w:trPr>
        <w:tc>
          <w:tcPr>
            <w:tcW w:type="dxa" w:w="5711"/>
            <w:tcBorders>
              <w:top w:sz="4" w:val="nil"/>
              <w:left w:color="000000" w:sz="4" w:val="single"/>
              <w:bottom w:color="000000" w:sz="4" w:val="single"/>
              <w:right w:color="000000" w:sz="4" w:val="single"/>
            </w:tcBorders>
            <w:tcMar>
              <w:left w:type="dxa" w:w="40"/>
              <w:right w:type="dxa" w:w="40"/>
            </w:tcMar>
            <w:vAlign w:val="center"/>
          </w:tcPr>
          <w:p w14:paraId="25090000">
            <w:pPr>
              <w:ind/>
              <w:jc w:val="center"/>
              <w:rPr>
                <w:sz w:val="20"/>
              </w:rPr>
            </w:pPr>
            <w:r>
              <w:rPr>
                <w:sz w:val="20"/>
              </w:rPr>
              <w:t>Куйбышевский район, с. Куйбышево, ул. Пролетарская, 2 б</w:t>
            </w:r>
          </w:p>
        </w:tc>
        <w:tc>
          <w:tcPr>
            <w:tcW w:type="dxa" w:w="3927"/>
            <w:tcBorders>
              <w:top w:sz="4" w:val="nil"/>
              <w:left w:color="000000" w:sz="4" w:val="single"/>
              <w:bottom w:color="000000" w:sz="4" w:val="single"/>
              <w:right w:color="000000" w:sz="4" w:val="single"/>
            </w:tcBorders>
            <w:tcMar>
              <w:left w:type="dxa" w:w="40"/>
              <w:right w:type="dxa" w:w="40"/>
            </w:tcMar>
            <w:vAlign w:val="bottom"/>
          </w:tcPr>
          <w:p w14:paraId="26090000">
            <w:pPr>
              <w:ind/>
              <w:jc w:val="center"/>
              <w:rPr>
                <w:sz w:val="20"/>
              </w:rPr>
            </w:pPr>
            <w:r>
              <w:rPr>
                <w:sz w:val="20"/>
              </w:rPr>
              <w:t>0,028</w:t>
            </w:r>
          </w:p>
        </w:tc>
      </w:tr>
      <w:tr>
        <w:trPr>
          <w:trHeight w:hRule="exact" w:val="286"/>
        </w:trPr>
        <w:tc>
          <w:tcPr>
            <w:tcW w:type="dxa" w:w="5711"/>
            <w:tcBorders>
              <w:top w:sz="4" w:val="nil"/>
              <w:left w:color="000000" w:sz="4" w:val="single"/>
              <w:bottom w:color="000000" w:sz="4" w:val="single"/>
              <w:right w:color="000000" w:sz="4" w:val="single"/>
            </w:tcBorders>
            <w:tcMar>
              <w:left w:type="dxa" w:w="40"/>
              <w:right w:type="dxa" w:w="40"/>
            </w:tcMar>
            <w:vAlign w:val="center"/>
          </w:tcPr>
          <w:p w14:paraId="27090000">
            <w:pPr>
              <w:ind/>
              <w:jc w:val="center"/>
              <w:rPr>
                <w:sz w:val="20"/>
              </w:rPr>
            </w:pPr>
            <w:r>
              <w:rPr>
                <w:sz w:val="20"/>
              </w:rPr>
              <w:t>Куйбышевский район, с. Куйбышево, ул. Пролетарская, 2 б</w:t>
            </w:r>
          </w:p>
        </w:tc>
        <w:tc>
          <w:tcPr>
            <w:tcW w:type="dxa" w:w="3927"/>
            <w:tcBorders>
              <w:top w:sz="4" w:val="nil"/>
              <w:left w:color="000000" w:sz="4" w:val="single"/>
              <w:bottom w:color="000000" w:sz="4" w:val="single"/>
              <w:right w:color="000000" w:sz="4" w:val="single"/>
            </w:tcBorders>
            <w:tcMar>
              <w:left w:type="dxa" w:w="40"/>
              <w:right w:type="dxa" w:w="40"/>
            </w:tcMar>
            <w:vAlign w:val="bottom"/>
          </w:tcPr>
          <w:p w14:paraId="28090000">
            <w:pPr>
              <w:ind/>
              <w:jc w:val="center"/>
              <w:rPr>
                <w:sz w:val="20"/>
              </w:rPr>
            </w:pPr>
            <w:r>
              <w:rPr>
                <w:sz w:val="20"/>
              </w:rPr>
              <w:t>0,086</w:t>
            </w:r>
          </w:p>
        </w:tc>
      </w:tr>
      <w:tr>
        <w:trPr>
          <w:trHeight w:hRule="exact" w:val="279"/>
        </w:trPr>
        <w:tc>
          <w:tcPr>
            <w:tcW w:type="dxa" w:w="5711"/>
            <w:tcBorders>
              <w:top w:sz="4" w:val="nil"/>
              <w:left w:color="000000" w:sz="4" w:val="single"/>
              <w:bottom w:color="000000" w:sz="4" w:val="single"/>
              <w:right w:color="000000" w:sz="4" w:val="single"/>
            </w:tcBorders>
            <w:tcMar>
              <w:left w:type="dxa" w:w="40"/>
              <w:right w:type="dxa" w:w="40"/>
            </w:tcMar>
            <w:vAlign w:val="center"/>
          </w:tcPr>
          <w:p w14:paraId="29090000">
            <w:pPr>
              <w:ind/>
              <w:jc w:val="center"/>
              <w:rPr>
                <w:sz w:val="20"/>
              </w:rPr>
            </w:pPr>
            <w:r>
              <w:rPr>
                <w:sz w:val="20"/>
              </w:rPr>
              <w:t>Куйбышевский район, с. Куйбышево, ул. Пролетарская, 7 а</w:t>
            </w:r>
          </w:p>
        </w:tc>
        <w:tc>
          <w:tcPr>
            <w:tcW w:type="dxa" w:w="3927"/>
            <w:tcBorders>
              <w:top w:sz="4" w:val="nil"/>
              <w:left w:color="000000" w:sz="4" w:val="single"/>
              <w:bottom w:color="000000" w:sz="4" w:val="single"/>
              <w:right w:color="000000" w:sz="4" w:val="single"/>
            </w:tcBorders>
            <w:tcMar>
              <w:left w:type="dxa" w:w="40"/>
              <w:right w:type="dxa" w:w="40"/>
            </w:tcMar>
            <w:vAlign w:val="bottom"/>
          </w:tcPr>
          <w:p w14:paraId="2A090000">
            <w:pPr>
              <w:ind/>
              <w:jc w:val="center"/>
              <w:rPr>
                <w:sz w:val="20"/>
              </w:rPr>
            </w:pPr>
            <w:r>
              <w:rPr>
                <w:sz w:val="20"/>
              </w:rPr>
              <w:t>0,105</w:t>
            </w:r>
          </w:p>
        </w:tc>
      </w:tr>
      <w:tr>
        <w:trPr>
          <w:trHeight w:hRule="exact" w:val="285"/>
        </w:trPr>
        <w:tc>
          <w:tcPr>
            <w:tcW w:type="dxa" w:w="5711"/>
            <w:tcBorders>
              <w:top w:sz="4" w:val="nil"/>
              <w:left w:color="000000" w:sz="4" w:val="single"/>
              <w:bottom w:color="000000" w:sz="4" w:val="single"/>
              <w:right w:color="000000" w:sz="4" w:val="single"/>
            </w:tcBorders>
            <w:tcMar>
              <w:left w:type="dxa" w:w="40"/>
              <w:right w:type="dxa" w:w="40"/>
            </w:tcMar>
            <w:vAlign w:val="center"/>
          </w:tcPr>
          <w:p w14:paraId="2B090000">
            <w:pPr>
              <w:ind/>
              <w:jc w:val="center"/>
              <w:rPr>
                <w:sz w:val="20"/>
              </w:rPr>
            </w:pPr>
            <w:r>
              <w:rPr>
                <w:sz w:val="20"/>
              </w:rPr>
              <w:t xml:space="preserve">Куйбышевский район, ул. </w:t>
            </w:r>
            <w:r>
              <w:rPr>
                <w:sz w:val="20"/>
              </w:rPr>
              <w:t>Куйбышевская, 1 л</w:t>
            </w:r>
          </w:p>
        </w:tc>
        <w:tc>
          <w:tcPr>
            <w:tcW w:type="dxa" w:w="3927"/>
            <w:tcBorders>
              <w:top w:sz="4" w:val="nil"/>
              <w:left w:color="000000" w:sz="4" w:val="single"/>
              <w:bottom w:color="000000" w:sz="4" w:val="single"/>
              <w:right w:color="000000" w:sz="4" w:val="single"/>
            </w:tcBorders>
            <w:tcMar>
              <w:left w:type="dxa" w:w="40"/>
              <w:right w:type="dxa" w:w="40"/>
            </w:tcMar>
            <w:vAlign w:val="bottom"/>
          </w:tcPr>
          <w:p w14:paraId="2C090000">
            <w:pPr>
              <w:ind/>
              <w:jc w:val="center"/>
              <w:rPr>
                <w:sz w:val="20"/>
              </w:rPr>
            </w:pPr>
            <w:r>
              <w:rPr>
                <w:sz w:val="20"/>
              </w:rPr>
              <w:t>0,045</w:t>
            </w:r>
          </w:p>
        </w:tc>
      </w:tr>
      <w:tr>
        <w:trPr>
          <w:trHeight w:hRule="exact" w:val="296"/>
        </w:trPr>
        <w:tc>
          <w:tcPr>
            <w:tcW w:type="dxa" w:w="5711"/>
            <w:tcBorders>
              <w:top w:sz="4" w:val="nil"/>
              <w:left w:color="000000" w:sz="4" w:val="single"/>
              <w:bottom w:color="000000" w:sz="4" w:val="single"/>
              <w:right w:color="000000" w:sz="4" w:val="single"/>
            </w:tcBorders>
            <w:tcMar>
              <w:left w:type="dxa" w:w="40"/>
              <w:right w:type="dxa" w:w="40"/>
            </w:tcMar>
            <w:vAlign w:val="center"/>
          </w:tcPr>
          <w:p w14:paraId="2D090000">
            <w:pPr>
              <w:ind/>
              <w:jc w:val="center"/>
              <w:rPr>
                <w:sz w:val="20"/>
              </w:rPr>
            </w:pPr>
            <w:r>
              <w:rPr>
                <w:sz w:val="20"/>
              </w:rPr>
              <w:t>Куйбышевский район, с. Куйбышево, ул. Пролетарская, 2 б</w:t>
            </w:r>
          </w:p>
        </w:tc>
        <w:tc>
          <w:tcPr>
            <w:tcW w:type="dxa" w:w="3927"/>
            <w:tcBorders>
              <w:top w:sz="4" w:val="nil"/>
              <w:left w:color="000000" w:sz="4" w:val="single"/>
              <w:bottom w:color="000000" w:sz="4" w:val="single"/>
              <w:right w:color="000000" w:sz="4" w:val="single"/>
            </w:tcBorders>
            <w:tcMar>
              <w:left w:type="dxa" w:w="40"/>
              <w:right w:type="dxa" w:w="40"/>
            </w:tcMar>
            <w:vAlign w:val="bottom"/>
          </w:tcPr>
          <w:p w14:paraId="2E090000">
            <w:pPr>
              <w:ind/>
              <w:jc w:val="center"/>
              <w:rPr>
                <w:sz w:val="20"/>
              </w:rPr>
            </w:pPr>
            <w:r>
              <w:rPr>
                <w:sz w:val="20"/>
              </w:rPr>
              <w:t>0,026</w:t>
            </w:r>
          </w:p>
        </w:tc>
      </w:tr>
      <w:tr>
        <w:trPr>
          <w:trHeight w:hRule="exact" w:val="276"/>
        </w:trPr>
        <w:tc>
          <w:tcPr>
            <w:tcW w:type="dxa" w:w="5711"/>
            <w:tcBorders>
              <w:top w:sz="4" w:val="nil"/>
              <w:left w:color="000000" w:sz="4" w:val="single"/>
              <w:bottom w:color="000000" w:sz="4" w:val="single"/>
              <w:right w:color="000000" w:sz="4" w:val="single"/>
            </w:tcBorders>
            <w:tcMar>
              <w:left w:type="dxa" w:w="40"/>
              <w:right w:type="dxa" w:w="40"/>
            </w:tcMar>
            <w:vAlign w:val="center"/>
          </w:tcPr>
          <w:p w14:paraId="2F090000">
            <w:pPr>
              <w:ind/>
              <w:jc w:val="center"/>
              <w:rPr>
                <w:sz w:val="20"/>
              </w:rPr>
            </w:pPr>
            <w:r>
              <w:rPr>
                <w:sz w:val="20"/>
              </w:rPr>
              <w:t>Куйбышевский район, с. Куйбышево, ул. Пролетарская, 2 б</w:t>
            </w:r>
          </w:p>
        </w:tc>
        <w:tc>
          <w:tcPr>
            <w:tcW w:type="dxa" w:w="3927"/>
            <w:tcBorders>
              <w:top w:sz="4" w:val="nil"/>
              <w:left w:color="000000" w:sz="4" w:val="single"/>
              <w:bottom w:color="000000" w:sz="4" w:val="single"/>
              <w:right w:color="000000" w:sz="4" w:val="single"/>
            </w:tcBorders>
            <w:tcMar>
              <w:left w:type="dxa" w:w="40"/>
              <w:right w:type="dxa" w:w="40"/>
            </w:tcMar>
            <w:vAlign w:val="bottom"/>
          </w:tcPr>
          <w:p w14:paraId="30090000">
            <w:pPr>
              <w:ind/>
              <w:jc w:val="center"/>
              <w:rPr>
                <w:sz w:val="20"/>
              </w:rPr>
            </w:pPr>
            <w:r>
              <w:rPr>
                <w:sz w:val="20"/>
              </w:rPr>
              <w:t>0,034</w:t>
            </w:r>
          </w:p>
        </w:tc>
      </w:tr>
      <w:tr>
        <w:trPr>
          <w:trHeight w:hRule="exact" w:val="248"/>
        </w:trPr>
        <w:tc>
          <w:tcPr>
            <w:tcW w:type="dxa" w:w="5711"/>
            <w:tcBorders>
              <w:top w:sz="4" w:val="nil"/>
              <w:left w:color="000000" w:sz="4" w:val="single"/>
              <w:bottom w:color="000000" w:sz="4" w:val="single"/>
              <w:right w:color="000000" w:sz="4" w:val="single"/>
            </w:tcBorders>
            <w:tcMar>
              <w:left w:type="dxa" w:w="40"/>
              <w:right w:type="dxa" w:w="40"/>
            </w:tcMar>
            <w:vAlign w:val="center"/>
          </w:tcPr>
          <w:p w14:paraId="31090000">
            <w:pPr>
              <w:ind/>
              <w:jc w:val="center"/>
              <w:rPr>
                <w:sz w:val="20"/>
              </w:rPr>
            </w:pPr>
            <w:r>
              <w:rPr>
                <w:sz w:val="20"/>
              </w:rPr>
              <w:t>Куйбышевский район, с. Русское, ул. Красноармейская,8-а</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32090000">
            <w:pPr>
              <w:widowControl w:val="0"/>
              <w:spacing w:after="0" w:line="240" w:lineRule="auto"/>
              <w:ind/>
              <w:jc w:val="center"/>
              <w:rPr>
                <w:sz w:val="20"/>
              </w:rPr>
            </w:pPr>
            <w:r>
              <w:rPr>
                <w:sz w:val="20"/>
              </w:rPr>
              <w:t>0,165</w:t>
            </w:r>
          </w:p>
        </w:tc>
      </w:tr>
      <w:tr>
        <w:trPr>
          <w:trHeight w:hRule="exact" w:val="274"/>
        </w:trPr>
        <w:tc>
          <w:tcPr>
            <w:tcW w:type="dxa" w:w="5711"/>
            <w:tcBorders>
              <w:top w:sz="4" w:val="nil"/>
              <w:left w:color="000000" w:sz="4" w:val="single"/>
              <w:bottom w:color="000000" w:sz="4" w:val="single"/>
              <w:right w:color="000000" w:sz="4" w:val="single"/>
            </w:tcBorders>
            <w:tcMar>
              <w:left w:type="dxa" w:w="40"/>
              <w:right w:type="dxa" w:w="40"/>
            </w:tcMar>
            <w:vAlign w:val="center"/>
          </w:tcPr>
          <w:p w14:paraId="33090000">
            <w:pPr>
              <w:ind/>
              <w:jc w:val="center"/>
              <w:rPr>
                <w:sz w:val="20"/>
              </w:rPr>
            </w:pPr>
            <w:r>
              <w:rPr>
                <w:sz w:val="20"/>
              </w:rPr>
              <w:t xml:space="preserve">Куйбышевский район, с. Русское, ул. Героя </w:t>
            </w:r>
            <w:r>
              <w:rPr>
                <w:sz w:val="20"/>
              </w:rPr>
              <w:t>Советского Союза М.П.Алексеева, 8</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34090000">
            <w:pPr>
              <w:ind/>
              <w:jc w:val="center"/>
              <w:rPr>
                <w:sz w:val="20"/>
              </w:rPr>
            </w:pPr>
            <w:r>
              <w:rPr>
                <w:sz w:val="20"/>
              </w:rPr>
              <w:t>0,029</w:t>
            </w:r>
          </w:p>
        </w:tc>
      </w:tr>
      <w:tr>
        <w:trPr>
          <w:trHeight w:hRule="exact" w:val="223"/>
        </w:trPr>
        <w:tc>
          <w:tcPr>
            <w:tcW w:type="dxa" w:w="5711"/>
            <w:tcBorders>
              <w:top w:sz="4" w:val="nil"/>
              <w:left w:color="000000" w:sz="4" w:val="single"/>
              <w:bottom w:color="000000" w:sz="4" w:val="single"/>
              <w:right w:color="000000" w:sz="4" w:val="single"/>
            </w:tcBorders>
            <w:tcMar>
              <w:left w:type="dxa" w:w="40"/>
              <w:right w:type="dxa" w:w="40"/>
            </w:tcMar>
            <w:vAlign w:val="center"/>
          </w:tcPr>
          <w:p w14:paraId="35090000">
            <w:pPr>
              <w:ind/>
              <w:jc w:val="center"/>
              <w:rPr>
                <w:sz w:val="20"/>
              </w:rPr>
            </w:pPr>
            <w:r>
              <w:rPr>
                <w:sz w:val="20"/>
              </w:rPr>
              <w:t>Куйбышевский район, с. Куйбышево, ул. Театральная, 72</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36090000">
            <w:pPr>
              <w:ind/>
              <w:jc w:val="center"/>
              <w:rPr>
                <w:sz w:val="20"/>
              </w:rPr>
            </w:pPr>
            <w:r>
              <w:rPr>
                <w:sz w:val="20"/>
              </w:rPr>
              <w:t>0,028</w:t>
            </w:r>
          </w:p>
        </w:tc>
      </w:tr>
      <w:tr>
        <w:trPr>
          <w:trHeight w:hRule="exact" w:val="283"/>
        </w:trPr>
        <w:tc>
          <w:tcPr>
            <w:tcW w:type="dxa" w:w="5711"/>
            <w:tcBorders>
              <w:top w:sz="4" w:val="nil"/>
              <w:left w:color="000000" w:sz="4" w:val="single"/>
              <w:bottom w:color="000000" w:sz="4" w:val="single"/>
              <w:right w:color="000000" w:sz="4" w:val="single"/>
            </w:tcBorders>
            <w:tcMar>
              <w:left w:type="dxa" w:w="40"/>
              <w:right w:type="dxa" w:w="40"/>
            </w:tcMar>
            <w:vAlign w:val="center"/>
          </w:tcPr>
          <w:p w14:paraId="37090000">
            <w:pPr>
              <w:ind/>
              <w:jc w:val="center"/>
              <w:rPr>
                <w:sz w:val="20"/>
              </w:rPr>
            </w:pPr>
            <w:r>
              <w:rPr>
                <w:sz w:val="20"/>
              </w:rPr>
              <w:t>Куйбышевский район, с. Куйбышево, ул. Пролетарская, 2 а</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38090000">
            <w:pPr>
              <w:widowControl w:val="0"/>
              <w:spacing w:after="0" w:line="240" w:lineRule="auto"/>
              <w:ind/>
              <w:jc w:val="center"/>
              <w:rPr>
                <w:sz w:val="20"/>
              </w:rPr>
            </w:pPr>
            <w:r>
              <w:rPr>
                <w:sz w:val="20"/>
              </w:rPr>
              <w:t>0,086</w:t>
            </w:r>
          </w:p>
        </w:tc>
      </w:tr>
      <w:tr>
        <w:trPr>
          <w:trHeight w:hRule="exact" w:val="283"/>
        </w:trPr>
        <w:tc>
          <w:tcPr>
            <w:tcW w:type="dxa" w:w="5711"/>
            <w:tcBorders>
              <w:top w:sz="4" w:val="nil"/>
              <w:left w:color="000000" w:sz="4" w:val="single"/>
              <w:bottom w:color="000000" w:sz="4" w:val="single"/>
              <w:right w:color="000000" w:sz="4" w:val="single"/>
            </w:tcBorders>
            <w:tcMar>
              <w:left w:type="dxa" w:w="40"/>
              <w:right w:type="dxa" w:w="40"/>
            </w:tcMar>
            <w:vAlign w:val="center"/>
          </w:tcPr>
          <w:p w14:paraId="39090000">
            <w:pPr>
              <w:ind/>
              <w:jc w:val="center"/>
              <w:rPr>
                <w:sz w:val="20"/>
              </w:rPr>
            </w:pPr>
            <w:r>
              <w:rPr>
                <w:sz w:val="20"/>
              </w:rPr>
              <w:t>Куйбышевский район, с. Куйбышево, ул. Кузьменко, 3 а</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3A090000">
            <w:pPr>
              <w:widowControl w:val="0"/>
              <w:spacing w:after="0" w:line="240" w:lineRule="auto"/>
              <w:ind/>
              <w:jc w:val="center"/>
              <w:rPr>
                <w:sz w:val="20"/>
              </w:rPr>
            </w:pPr>
            <w:r>
              <w:rPr>
                <w:sz w:val="20"/>
              </w:rPr>
              <w:t>0,105</w:t>
            </w:r>
          </w:p>
        </w:tc>
      </w:tr>
      <w:tr>
        <w:trPr>
          <w:trHeight w:hRule="exact" w:val="301"/>
        </w:trPr>
        <w:tc>
          <w:tcPr>
            <w:tcW w:type="dxa" w:w="5711"/>
            <w:tcBorders>
              <w:top w:sz="4" w:val="nil"/>
              <w:left w:color="000000" w:sz="4" w:val="single"/>
              <w:bottom w:color="000000" w:sz="4" w:val="single"/>
              <w:right w:color="000000" w:sz="4" w:val="single"/>
            </w:tcBorders>
            <w:tcMar>
              <w:left w:type="dxa" w:w="40"/>
              <w:right w:type="dxa" w:w="40"/>
            </w:tcMar>
            <w:vAlign w:val="center"/>
          </w:tcPr>
          <w:p w14:paraId="3B090000">
            <w:pPr>
              <w:ind/>
              <w:jc w:val="center"/>
              <w:rPr>
                <w:sz w:val="20"/>
              </w:rPr>
            </w:pPr>
            <w:r>
              <w:rPr>
                <w:sz w:val="20"/>
              </w:rPr>
              <w:t xml:space="preserve">Куйбышевский район, х. </w:t>
            </w:r>
            <w:r>
              <w:rPr>
                <w:sz w:val="20"/>
              </w:rPr>
              <w:t>Свободный, ул. Молодёжная, 8</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3C090000">
            <w:pPr>
              <w:widowControl w:val="0"/>
              <w:spacing w:after="0" w:line="240" w:lineRule="auto"/>
              <w:ind/>
              <w:jc w:val="center"/>
              <w:rPr>
                <w:sz w:val="20"/>
              </w:rPr>
            </w:pPr>
            <w:r>
              <w:rPr>
                <w:sz w:val="20"/>
              </w:rPr>
              <w:t>0,045</w:t>
            </w:r>
          </w:p>
        </w:tc>
      </w:tr>
      <w:tr>
        <w:trPr>
          <w:trHeight w:hRule="exact" w:val="247"/>
        </w:trPr>
        <w:tc>
          <w:tcPr>
            <w:tcW w:type="dxa" w:w="5711"/>
            <w:tcBorders>
              <w:top w:sz="4" w:val="nil"/>
              <w:left w:color="000000" w:sz="4" w:val="single"/>
              <w:bottom w:color="000000" w:sz="4" w:val="single"/>
              <w:right w:color="000000" w:sz="4" w:val="single"/>
            </w:tcBorders>
            <w:tcMar>
              <w:left w:type="dxa" w:w="40"/>
              <w:right w:type="dxa" w:w="40"/>
            </w:tcMar>
            <w:vAlign w:val="center"/>
          </w:tcPr>
          <w:p w14:paraId="3D090000">
            <w:pPr>
              <w:ind/>
              <w:jc w:val="center"/>
              <w:rPr>
                <w:sz w:val="20"/>
              </w:rPr>
            </w:pPr>
            <w:r>
              <w:rPr>
                <w:sz w:val="20"/>
              </w:rPr>
              <w:t>Куйбышевский район, х. Ольховский, ул. Центральная, 3 а</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3E090000">
            <w:pPr>
              <w:widowControl w:val="0"/>
              <w:spacing w:after="0" w:line="240" w:lineRule="auto"/>
              <w:ind/>
              <w:jc w:val="center"/>
              <w:rPr>
                <w:sz w:val="20"/>
              </w:rPr>
            </w:pPr>
            <w:r>
              <w:rPr>
                <w:sz w:val="20"/>
              </w:rPr>
              <w:t>0,026</w:t>
            </w:r>
          </w:p>
        </w:tc>
      </w:tr>
      <w:tr>
        <w:trPr>
          <w:trHeight w:hRule="exact" w:val="271"/>
        </w:trPr>
        <w:tc>
          <w:tcPr>
            <w:tcW w:type="dxa" w:w="5711"/>
            <w:tcBorders>
              <w:top w:sz="4" w:val="nil"/>
              <w:left w:color="000000" w:sz="4" w:val="single"/>
              <w:bottom w:color="000000" w:sz="4" w:val="single"/>
              <w:right w:color="000000" w:sz="4" w:val="single"/>
            </w:tcBorders>
            <w:tcMar>
              <w:left w:type="dxa" w:w="40"/>
              <w:right w:type="dxa" w:w="40"/>
            </w:tcMar>
            <w:vAlign w:val="center"/>
          </w:tcPr>
          <w:p w14:paraId="3F090000">
            <w:pPr>
              <w:ind/>
              <w:jc w:val="center"/>
              <w:rPr>
                <w:sz w:val="20"/>
              </w:rPr>
            </w:pPr>
            <w:r>
              <w:rPr>
                <w:sz w:val="20"/>
              </w:rPr>
              <w:t>Куйбышевский район, с. Куйбышево, ул. Пролетарская, 5</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40090000">
            <w:pPr>
              <w:widowControl w:val="0"/>
              <w:spacing w:after="0" w:line="240" w:lineRule="auto"/>
              <w:ind/>
              <w:jc w:val="center"/>
              <w:rPr>
                <w:sz w:val="20"/>
              </w:rPr>
            </w:pPr>
            <w:r>
              <w:rPr>
                <w:sz w:val="20"/>
              </w:rPr>
              <w:t>0,034</w:t>
            </w:r>
          </w:p>
        </w:tc>
      </w:tr>
      <w:tr>
        <w:trPr>
          <w:trHeight w:hRule="exact" w:val="276"/>
        </w:trPr>
        <w:tc>
          <w:tcPr>
            <w:tcW w:type="dxa" w:w="5711"/>
            <w:tcBorders>
              <w:top w:sz="4" w:val="nil"/>
              <w:left w:color="000000" w:sz="4" w:val="single"/>
              <w:bottom w:color="000000" w:sz="4" w:val="single"/>
              <w:right w:color="000000" w:sz="4" w:val="single"/>
            </w:tcBorders>
            <w:tcMar>
              <w:left w:type="dxa" w:w="40"/>
              <w:right w:type="dxa" w:w="40"/>
            </w:tcMar>
            <w:vAlign w:val="center"/>
          </w:tcPr>
          <w:p w14:paraId="41090000">
            <w:pPr>
              <w:ind/>
              <w:jc w:val="center"/>
              <w:rPr>
                <w:sz w:val="20"/>
              </w:rPr>
            </w:pPr>
            <w:r>
              <w:rPr>
                <w:sz w:val="20"/>
              </w:rPr>
              <w:t>Куйбышевский район, с. Куйбышево, ул. Театральная, 22</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42090000">
            <w:pPr>
              <w:widowControl w:val="0"/>
              <w:spacing w:after="0" w:line="240" w:lineRule="auto"/>
              <w:ind/>
              <w:jc w:val="center"/>
              <w:rPr>
                <w:sz w:val="20"/>
              </w:rPr>
            </w:pPr>
            <w:r>
              <w:rPr>
                <w:sz w:val="20"/>
              </w:rPr>
              <w:t>0,141</w:t>
            </w:r>
          </w:p>
        </w:tc>
      </w:tr>
      <w:tr>
        <w:trPr>
          <w:trHeight w:hRule="exact" w:val="307"/>
        </w:trPr>
        <w:tc>
          <w:tcPr>
            <w:tcW w:type="dxa" w:w="5711"/>
            <w:tcBorders>
              <w:top w:sz="4" w:val="nil"/>
              <w:left w:color="000000" w:sz="4" w:val="single"/>
              <w:bottom w:color="000000" w:sz="4" w:val="single"/>
              <w:right w:color="000000" w:sz="4" w:val="single"/>
            </w:tcBorders>
            <w:tcMar>
              <w:left w:type="dxa" w:w="40"/>
              <w:right w:type="dxa" w:w="40"/>
            </w:tcMar>
            <w:vAlign w:val="center"/>
          </w:tcPr>
          <w:p w14:paraId="43090000">
            <w:pPr>
              <w:ind/>
              <w:jc w:val="center"/>
              <w:rPr>
                <w:sz w:val="20"/>
              </w:rPr>
            </w:pPr>
            <w:r>
              <w:rPr>
                <w:sz w:val="20"/>
              </w:rPr>
              <w:t xml:space="preserve">Куйбышевский район, х. Свободный, </w:t>
            </w:r>
            <w:r>
              <w:rPr>
                <w:sz w:val="20"/>
              </w:rPr>
              <w:t>ул. Победы, 29</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44090000">
            <w:pPr>
              <w:widowControl w:val="0"/>
              <w:spacing w:after="0" w:line="240" w:lineRule="auto"/>
              <w:ind/>
              <w:jc w:val="center"/>
              <w:rPr>
                <w:sz w:val="20"/>
              </w:rPr>
            </w:pPr>
            <w:r>
              <w:rPr>
                <w:sz w:val="20"/>
              </w:rPr>
              <w:t>0,013</w:t>
            </w:r>
          </w:p>
        </w:tc>
      </w:tr>
      <w:tr>
        <w:trPr>
          <w:trHeight w:hRule="exact" w:val="270"/>
        </w:trPr>
        <w:tc>
          <w:tcPr>
            <w:tcW w:type="dxa" w:w="5711"/>
            <w:tcBorders>
              <w:top w:sz="4" w:val="nil"/>
              <w:left w:color="000000" w:sz="4" w:val="single"/>
              <w:bottom w:color="000000" w:sz="4" w:val="single"/>
              <w:right w:color="000000" w:sz="4" w:val="single"/>
            </w:tcBorders>
            <w:tcMar>
              <w:left w:type="dxa" w:w="40"/>
              <w:right w:type="dxa" w:w="40"/>
            </w:tcMar>
            <w:vAlign w:val="center"/>
          </w:tcPr>
          <w:p w14:paraId="45090000">
            <w:pPr>
              <w:ind/>
              <w:jc w:val="center"/>
              <w:rPr>
                <w:sz w:val="20"/>
              </w:rPr>
            </w:pPr>
            <w:r>
              <w:rPr>
                <w:sz w:val="20"/>
              </w:rPr>
              <w:t>Куйбышевский район, х. Новобахмутский, ул. Широкая, 89 а</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46090000">
            <w:pPr>
              <w:widowControl w:val="0"/>
              <w:spacing w:after="0" w:line="240" w:lineRule="auto"/>
              <w:ind/>
              <w:jc w:val="center"/>
              <w:rPr>
                <w:sz w:val="20"/>
              </w:rPr>
            </w:pPr>
            <w:r>
              <w:rPr>
                <w:sz w:val="20"/>
              </w:rPr>
              <w:t>0,014</w:t>
            </w:r>
          </w:p>
        </w:tc>
      </w:tr>
      <w:tr>
        <w:trPr>
          <w:trHeight w:hRule="exact" w:val="262"/>
        </w:trPr>
        <w:tc>
          <w:tcPr>
            <w:tcW w:type="dxa" w:w="5711"/>
            <w:tcBorders>
              <w:top w:sz="4" w:val="nil"/>
              <w:left w:color="000000" w:sz="4" w:val="single"/>
              <w:bottom w:color="000000" w:sz="4" w:val="single"/>
              <w:right w:color="000000" w:sz="4" w:val="single"/>
            </w:tcBorders>
            <w:tcMar>
              <w:left w:type="dxa" w:w="40"/>
              <w:right w:type="dxa" w:w="40"/>
            </w:tcMar>
            <w:vAlign w:val="center"/>
          </w:tcPr>
          <w:p w14:paraId="47090000">
            <w:pPr>
              <w:ind/>
              <w:jc w:val="center"/>
              <w:rPr>
                <w:sz w:val="20"/>
              </w:rPr>
            </w:pPr>
            <w:r>
              <w:rPr>
                <w:sz w:val="20"/>
              </w:rPr>
              <w:t>Куйбышевский район, с. Русское, ул. Красноармейская, 1</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48090000">
            <w:pPr>
              <w:widowControl w:val="0"/>
              <w:spacing w:after="0" w:line="240" w:lineRule="auto"/>
              <w:ind/>
              <w:jc w:val="center"/>
              <w:rPr>
                <w:sz w:val="20"/>
              </w:rPr>
            </w:pPr>
            <w:r>
              <w:rPr>
                <w:sz w:val="20"/>
              </w:rPr>
              <w:t>0,051</w:t>
            </w:r>
          </w:p>
        </w:tc>
      </w:tr>
      <w:tr>
        <w:trPr>
          <w:trHeight w:hRule="exact" w:val="268"/>
        </w:trPr>
        <w:tc>
          <w:tcPr>
            <w:tcW w:type="dxa" w:w="5711"/>
            <w:tcBorders>
              <w:top w:sz="4" w:val="nil"/>
              <w:left w:color="000000" w:sz="4" w:val="single"/>
              <w:bottom w:color="000000" w:sz="4" w:val="single"/>
              <w:right w:color="000000" w:sz="4" w:val="single"/>
            </w:tcBorders>
            <w:tcMar>
              <w:left w:type="dxa" w:w="40"/>
              <w:right w:type="dxa" w:w="40"/>
            </w:tcMar>
            <w:vAlign w:val="center"/>
          </w:tcPr>
          <w:p w14:paraId="49090000">
            <w:pPr>
              <w:ind/>
              <w:jc w:val="center"/>
              <w:rPr>
                <w:sz w:val="20"/>
              </w:rPr>
            </w:pPr>
            <w:r>
              <w:rPr>
                <w:sz w:val="20"/>
              </w:rPr>
              <w:t>Куйбышевский район, с. Куйбышево, ул. Цветаева, 31</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4A090000">
            <w:pPr>
              <w:widowControl w:val="0"/>
              <w:spacing w:after="0" w:line="240" w:lineRule="auto"/>
              <w:ind/>
              <w:jc w:val="center"/>
              <w:rPr>
                <w:sz w:val="20"/>
              </w:rPr>
            </w:pPr>
            <w:r>
              <w:rPr>
                <w:sz w:val="20"/>
              </w:rPr>
              <w:t>0,012</w:t>
            </w:r>
          </w:p>
        </w:tc>
      </w:tr>
      <w:tr>
        <w:trPr>
          <w:trHeight w:hRule="exact" w:val="244"/>
        </w:trPr>
        <w:tc>
          <w:tcPr>
            <w:tcW w:type="dxa" w:w="5711"/>
            <w:tcBorders>
              <w:top w:sz="4" w:val="nil"/>
              <w:left w:color="000000" w:sz="4" w:val="single"/>
              <w:bottom w:color="000000" w:sz="4" w:val="single"/>
              <w:right w:color="000000" w:sz="4" w:val="single"/>
            </w:tcBorders>
            <w:tcMar>
              <w:left w:type="dxa" w:w="40"/>
              <w:right w:type="dxa" w:w="40"/>
            </w:tcMar>
            <w:vAlign w:val="center"/>
          </w:tcPr>
          <w:p w14:paraId="4B090000">
            <w:pPr>
              <w:ind/>
              <w:jc w:val="center"/>
              <w:rPr>
                <w:sz w:val="20"/>
              </w:rPr>
            </w:pPr>
            <w:r>
              <w:rPr>
                <w:sz w:val="20"/>
              </w:rPr>
              <w:t xml:space="preserve">Куйбышевский район, с. Куйбышево, ул. </w:t>
            </w:r>
            <w:r>
              <w:rPr>
                <w:sz w:val="20"/>
              </w:rPr>
              <w:t>Куйбышевская, 24</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4C090000">
            <w:pPr>
              <w:widowControl w:val="0"/>
              <w:spacing w:after="0" w:line="240" w:lineRule="auto"/>
              <w:ind/>
              <w:jc w:val="center"/>
              <w:rPr>
                <w:sz w:val="20"/>
              </w:rPr>
            </w:pPr>
            <w:r>
              <w:rPr>
                <w:sz w:val="20"/>
              </w:rPr>
              <w:t>0,153</w:t>
            </w:r>
          </w:p>
        </w:tc>
      </w:tr>
      <w:tr>
        <w:trPr>
          <w:trHeight w:hRule="exact" w:val="273"/>
        </w:trPr>
        <w:tc>
          <w:tcPr>
            <w:tcW w:type="dxa" w:w="5711"/>
            <w:tcBorders>
              <w:top w:sz="4" w:val="nil"/>
              <w:left w:color="000000" w:sz="4" w:val="single"/>
              <w:bottom w:color="000000" w:sz="4" w:val="single"/>
              <w:right w:color="000000" w:sz="4" w:val="single"/>
            </w:tcBorders>
            <w:tcMar>
              <w:left w:type="dxa" w:w="40"/>
              <w:right w:type="dxa" w:w="40"/>
            </w:tcMar>
            <w:vAlign w:val="center"/>
          </w:tcPr>
          <w:p w14:paraId="4D090000">
            <w:pPr>
              <w:ind/>
              <w:jc w:val="center"/>
              <w:rPr>
                <w:sz w:val="20"/>
              </w:rPr>
            </w:pPr>
            <w:r>
              <w:rPr>
                <w:sz w:val="20"/>
              </w:rPr>
              <w:t>Куйбышевский район, с. Куйбышево, ул. Куйбышевская, 20</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4E090000">
            <w:pPr>
              <w:widowControl w:val="0"/>
              <w:spacing w:after="0" w:line="240" w:lineRule="auto"/>
              <w:ind/>
              <w:jc w:val="center"/>
              <w:rPr>
                <w:sz w:val="20"/>
              </w:rPr>
            </w:pPr>
            <w:r>
              <w:rPr>
                <w:sz w:val="20"/>
              </w:rPr>
              <w:t>0,021</w:t>
            </w:r>
          </w:p>
        </w:tc>
      </w:tr>
      <w:tr>
        <w:trPr>
          <w:trHeight w:hRule="exact" w:val="237"/>
        </w:trPr>
        <w:tc>
          <w:tcPr>
            <w:tcW w:type="dxa" w:w="5711"/>
            <w:tcBorders>
              <w:top w:sz="4" w:val="nil"/>
              <w:left w:color="000000" w:sz="4" w:val="single"/>
              <w:bottom w:color="000000" w:sz="4" w:val="single"/>
              <w:right w:color="000000" w:sz="4" w:val="single"/>
            </w:tcBorders>
            <w:tcMar>
              <w:left w:type="dxa" w:w="40"/>
              <w:right w:type="dxa" w:w="40"/>
            </w:tcMar>
            <w:vAlign w:val="center"/>
          </w:tcPr>
          <w:p w14:paraId="4F090000">
            <w:pPr>
              <w:ind/>
              <w:jc w:val="center"/>
              <w:rPr>
                <w:sz w:val="20"/>
              </w:rPr>
            </w:pPr>
            <w:r>
              <w:rPr>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50090000">
            <w:pPr>
              <w:widowControl w:val="0"/>
              <w:spacing w:after="0" w:line="240" w:lineRule="auto"/>
              <w:ind/>
              <w:jc w:val="center"/>
              <w:rPr>
                <w:sz w:val="20"/>
              </w:rPr>
            </w:pPr>
            <w:r>
              <w:rPr>
                <w:sz w:val="20"/>
              </w:rPr>
              <w:t>0,105</w:t>
            </w:r>
          </w:p>
        </w:tc>
      </w:tr>
      <w:tr>
        <w:trPr>
          <w:trHeight w:hRule="exact" w:val="280"/>
        </w:trPr>
        <w:tc>
          <w:tcPr>
            <w:tcW w:type="dxa" w:w="5711"/>
            <w:tcBorders>
              <w:top w:sz="4" w:val="nil"/>
              <w:left w:color="000000" w:sz="4" w:val="single"/>
              <w:bottom w:color="000000" w:sz="4" w:val="single"/>
              <w:right w:color="000000" w:sz="4" w:val="single"/>
            </w:tcBorders>
            <w:tcMar>
              <w:left w:type="dxa" w:w="40"/>
              <w:right w:type="dxa" w:w="40"/>
            </w:tcMar>
            <w:vAlign w:val="center"/>
          </w:tcPr>
          <w:p w14:paraId="51090000">
            <w:pPr>
              <w:ind/>
              <w:jc w:val="center"/>
              <w:rPr>
                <w:sz w:val="20"/>
              </w:rPr>
            </w:pPr>
            <w:r>
              <w:rPr>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52090000">
            <w:pPr>
              <w:widowControl w:val="0"/>
              <w:spacing w:after="0" w:line="240" w:lineRule="auto"/>
              <w:ind/>
              <w:jc w:val="center"/>
              <w:rPr>
                <w:sz w:val="20"/>
              </w:rPr>
            </w:pPr>
            <w:r>
              <w:rPr>
                <w:sz w:val="20"/>
              </w:rPr>
              <w:t>0,060</w:t>
            </w:r>
          </w:p>
        </w:tc>
      </w:tr>
      <w:tr>
        <w:trPr>
          <w:trHeight w:hRule="exact" w:val="241"/>
        </w:trPr>
        <w:tc>
          <w:tcPr>
            <w:tcW w:type="dxa" w:w="5711"/>
            <w:tcBorders>
              <w:top w:sz="4" w:val="nil"/>
              <w:left w:color="000000" w:sz="4" w:val="single"/>
              <w:bottom w:color="000000" w:sz="4" w:val="single"/>
              <w:right w:color="000000" w:sz="4" w:val="single"/>
            </w:tcBorders>
            <w:tcMar>
              <w:left w:type="dxa" w:w="40"/>
              <w:right w:type="dxa" w:w="40"/>
            </w:tcMar>
            <w:vAlign w:val="center"/>
          </w:tcPr>
          <w:p w14:paraId="53090000">
            <w:pPr>
              <w:ind/>
              <w:jc w:val="center"/>
              <w:rPr>
                <w:sz w:val="20"/>
              </w:rPr>
            </w:pPr>
            <w:r>
              <w:rPr>
                <w:sz w:val="20"/>
              </w:rPr>
              <w:t>Куйбышевский район, с. Куйбышево, ул. Миусская, 3</w:t>
            </w:r>
          </w:p>
        </w:tc>
        <w:tc>
          <w:tcPr>
            <w:tcW w:type="dxa" w:w="3927"/>
            <w:tcBorders>
              <w:top w:color="000000" w:sz="4" w:val="single"/>
              <w:left w:color="000000" w:sz="4" w:val="single"/>
              <w:bottom w:color="000000" w:sz="4" w:val="single"/>
              <w:right w:color="000000" w:sz="4" w:val="single"/>
            </w:tcBorders>
            <w:tcMar>
              <w:left w:type="dxa" w:w="40"/>
              <w:right w:type="dxa" w:w="40"/>
            </w:tcMar>
            <w:vAlign w:val="center"/>
          </w:tcPr>
          <w:p w14:paraId="54090000">
            <w:pPr>
              <w:widowControl w:val="0"/>
              <w:spacing w:after="0" w:line="240" w:lineRule="auto"/>
              <w:ind/>
              <w:jc w:val="center"/>
              <w:rPr>
                <w:sz w:val="20"/>
              </w:rPr>
            </w:pPr>
            <w:r>
              <w:rPr>
                <w:sz w:val="20"/>
              </w:rPr>
              <w:t>0,025</w:t>
            </w:r>
          </w:p>
        </w:tc>
      </w:tr>
      <w:tr>
        <w:trPr>
          <w:trHeight w:hRule="exact" w:val="256"/>
        </w:trPr>
        <w:tc>
          <w:tcPr>
            <w:tcW w:type="dxa" w:w="5711"/>
            <w:tcBorders>
              <w:top w:sz="4" w:val="nil"/>
              <w:left w:color="000000" w:sz="4" w:val="single"/>
              <w:bottom w:color="000000" w:sz="4" w:val="single"/>
              <w:right w:color="000000" w:sz="4" w:val="single"/>
            </w:tcBorders>
            <w:tcMar>
              <w:left w:type="dxa" w:w="40"/>
              <w:right w:type="dxa" w:w="40"/>
            </w:tcMar>
            <w:vAlign w:val="center"/>
          </w:tcPr>
          <w:p w14:paraId="55090000">
            <w:pPr>
              <w:ind/>
              <w:jc w:val="center"/>
              <w:rPr>
                <w:sz w:val="20"/>
              </w:rPr>
            </w:pPr>
            <w:r>
              <w:rPr>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56090000">
            <w:pPr>
              <w:widowControl w:val="0"/>
              <w:spacing w:after="0" w:line="240" w:lineRule="auto"/>
              <w:ind/>
              <w:jc w:val="center"/>
              <w:rPr>
                <w:sz w:val="20"/>
              </w:rPr>
            </w:pPr>
            <w:r>
              <w:rPr>
                <w:sz w:val="20"/>
              </w:rPr>
              <w:t>0,019</w:t>
            </w:r>
          </w:p>
        </w:tc>
      </w:tr>
      <w:tr>
        <w:trPr>
          <w:trHeight w:hRule="exact" w:val="286"/>
        </w:trPr>
        <w:tc>
          <w:tcPr>
            <w:tcW w:type="dxa" w:w="5711"/>
            <w:tcBorders>
              <w:top w:sz="4" w:val="nil"/>
              <w:left w:color="000000" w:sz="4" w:val="single"/>
              <w:bottom w:color="000000" w:sz="4" w:val="single"/>
              <w:right w:color="000000" w:sz="4" w:val="single"/>
            </w:tcBorders>
            <w:tcMar>
              <w:left w:type="dxa" w:w="40"/>
              <w:right w:type="dxa" w:w="40"/>
            </w:tcMar>
            <w:vAlign w:val="center"/>
          </w:tcPr>
          <w:p w14:paraId="57090000">
            <w:pPr>
              <w:ind/>
              <w:jc w:val="center"/>
              <w:rPr>
                <w:sz w:val="20"/>
              </w:rPr>
            </w:pPr>
            <w:r>
              <w:rPr>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58090000">
            <w:pPr>
              <w:widowControl w:val="0"/>
              <w:spacing w:after="0" w:line="240" w:lineRule="auto"/>
              <w:ind/>
              <w:jc w:val="center"/>
              <w:rPr>
                <w:sz w:val="20"/>
              </w:rPr>
            </w:pPr>
            <w:r>
              <w:rPr>
                <w:sz w:val="20"/>
              </w:rPr>
              <w:t>0,017</w:t>
            </w:r>
          </w:p>
        </w:tc>
      </w:tr>
      <w:tr>
        <w:trPr>
          <w:trHeight w:hRule="exact" w:val="286"/>
        </w:trPr>
        <w:tc>
          <w:tcPr>
            <w:tcW w:type="dxa" w:w="5711"/>
            <w:tcBorders>
              <w:top w:sz="4" w:val="nil"/>
              <w:left w:color="000000" w:sz="4" w:val="single"/>
              <w:bottom w:color="000000" w:sz="4" w:val="single"/>
              <w:right w:color="000000" w:sz="4" w:val="single"/>
            </w:tcBorders>
            <w:tcMar>
              <w:left w:type="dxa" w:w="40"/>
              <w:right w:type="dxa" w:w="40"/>
            </w:tcMar>
            <w:vAlign w:val="center"/>
          </w:tcPr>
          <w:p w14:paraId="59090000">
            <w:pPr>
              <w:ind/>
              <w:jc w:val="center"/>
              <w:rPr>
                <w:sz w:val="20"/>
              </w:rPr>
            </w:pPr>
            <w:r>
              <w:rPr>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5A090000">
            <w:pPr>
              <w:widowControl w:val="0"/>
              <w:spacing w:after="0" w:line="240" w:lineRule="auto"/>
              <w:ind/>
              <w:jc w:val="center"/>
              <w:rPr>
                <w:sz w:val="20"/>
              </w:rPr>
            </w:pPr>
            <w:r>
              <w:rPr>
                <w:sz w:val="20"/>
              </w:rPr>
              <w:t>0,010</w:t>
            </w:r>
          </w:p>
        </w:tc>
      </w:tr>
      <w:tr>
        <w:trPr>
          <w:trHeight w:hRule="exact" w:val="301"/>
        </w:trPr>
        <w:tc>
          <w:tcPr>
            <w:tcW w:type="dxa" w:w="5711"/>
            <w:tcBorders>
              <w:top w:sz="4" w:val="nil"/>
              <w:left w:color="000000" w:sz="4" w:val="single"/>
              <w:bottom w:color="000000" w:sz="4" w:val="single"/>
              <w:right w:color="000000" w:sz="4" w:val="single"/>
            </w:tcBorders>
            <w:tcMar>
              <w:left w:type="dxa" w:w="40"/>
              <w:right w:type="dxa" w:w="40"/>
            </w:tcMar>
            <w:vAlign w:val="center"/>
          </w:tcPr>
          <w:p w14:paraId="5B090000">
            <w:pPr>
              <w:ind/>
              <w:jc w:val="center"/>
              <w:rPr>
                <w:sz w:val="20"/>
              </w:rPr>
            </w:pPr>
            <w:r>
              <w:rPr>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5C090000">
            <w:pPr>
              <w:widowControl w:val="0"/>
              <w:spacing w:after="0" w:line="240" w:lineRule="auto"/>
              <w:ind/>
              <w:jc w:val="center"/>
              <w:rPr>
                <w:sz w:val="20"/>
              </w:rPr>
            </w:pPr>
            <w:r>
              <w:rPr>
                <w:sz w:val="20"/>
              </w:rPr>
              <w:t>0,006</w:t>
            </w:r>
          </w:p>
        </w:tc>
      </w:tr>
      <w:tr>
        <w:trPr>
          <w:trHeight w:hRule="exact" w:val="286"/>
        </w:trPr>
        <w:tc>
          <w:tcPr>
            <w:tcW w:type="dxa" w:w="5711"/>
            <w:tcBorders>
              <w:top w:sz="4" w:val="nil"/>
              <w:left w:color="000000" w:sz="4" w:val="single"/>
              <w:bottom w:color="000000" w:sz="4" w:val="single"/>
              <w:right w:color="000000" w:sz="4" w:val="single"/>
            </w:tcBorders>
            <w:tcMar>
              <w:left w:type="dxa" w:w="40"/>
              <w:right w:type="dxa" w:w="40"/>
            </w:tcMar>
            <w:vAlign w:val="center"/>
          </w:tcPr>
          <w:p w14:paraId="5D090000">
            <w:pPr>
              <w:ind/>
              <w:jc w:val="center"/>
              <w:rPr>
                <w:sz w:val="20"/>
              </w:rPr>
            </w:pPr>
            <w:r>
              <w:rPr>
                <w:sz w:val="20"/>
              </w:rPr>
              <w:t xml:space="preserve">Куйбышевский район, с. </w:t>
            </w:r>
            <w:r>
              <w:rPr>
                <w:sz w:val="20"/>
              </w:rPr>
              <w:t>Куйбышево, ул. Миусская, 3</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5E090000">
            <w:pPr>
              <w:widowControl w:val="0"/>
              <w:spacing w:after="0" w:line="240" w:lineRule="auto"/>
              <w:ind/>
              <w:jc w:val="center"/>
              <w:rPr>
                <w:sz w:val="20"/>
              </w:rPr>
            </w:pPr>
            <w:r>
              <w:rPr>
                <w:sz w:val="20"/>
              </w:rPr>
              <w:t>0,017</w:t>
            </w:r>
          </w:p>
        </w:tc>
      </w:tr>
      <w:tr>
        <w:trPr>
          <w:trHeight w:hRule="exact" w:val="301"/>
        </w:trPr>
        <w:tc>
          <w:tcPr>
            <w:tcW w:type="dxa" w:w="5711"/>
            <w:tcBorders>
              <w:top w:sz="4" w:val="nil"/>
              <w:left w:color="000000" w:sz="4" w:val="single"/>
              <w:bottom w:color="000000" w:sz="4" w:val="single"/>
              <w:right w:color="000000" w:sz="4" w:val="single"/>
            </w:tcBorders>
            <w:tcMar>
              <w:left w:type="dxa" w:w="40"/>
              <w:right w:type="dxa" w:w="40"/>
            </w:tcMar>
            <w:vAlign w:val="center"/>
          </w:tcPr>
          <w:p w14:paraId="5F090000">
            <w:pPr>
              <w:ind/>
              <w:jc w:val="center"/>
              <w:rPr>
                <w:sz w:val="20"/>
              </w:rPr>
            </w:pPr>
            <w:r>
              <w:rPr>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60090000">
            <w:pPr>
              <w:widowControl w:val="0"/>
              <w:spacing w:after="0" w:line="240" w:lineRule="auto"/>
              <w:ind/>
              <w:jc w:val="center"/>
              <w:rPr>
                <w:sz w:val="20"/>
              </w:rPr>
            </w:pPr>
            <w:r>
              <w:rPr>
                <w:sz w:val="20"/>
              </w:rPr>
              <w:t>0,036</w:t>
            </w:r>
          </w:p>
        </w:tc>
      </w:tr>
      <w:tr>
        <w:trPr>
          <w:trHeight w:hRule="exact" w:val="278"/>
        </w:trPr>
        <w:tc>
          <w:tcPr>
            <w:tcW w:type="dxa" w:w="5711"/>
            <w:tcBorders>
              <w:top w:sz="4" w:val="nil"/>
              <w:left w:color="000000" w:sz="4" w:val="single"/>
              <w:bottom w:color="000000" w:sz="4" w:val="single"/>
              <w:right w:color="000000" w:sz="4" w:val="single"/>
            </w:tcBorders>
            <w:tcMar>
              <w:left w:type="dxa" w:w="40"/>
              <w:right w:type="dxa" w:w="40"/>
            </w:tcMar>
            <w:vAlign w:val="center"/>
          </w:tcPr>
          <w:p w14:paraId="61090000">
            <w:pPr>
              <w:ind/>
              <w:jc w:val="center"/>
              <w:rPr>
                <w:sz w:val="20"/>
              </w:rPr>
            </w:pPr>
            <w:r>
              <w:rPr>
                <w:sz w:val="20"/>
              </w:rPr>
              <w:t>Куйбышевский район, с. Куйбышево, ул. Миусская, 3</w:t>
            </w:r>
          </w:p>
        </w:tc>
        <w:tc>
          <w:tcPr>
            <w:tcW w:type="dxa" w:w="3927"/>
            <w:tcBorders>
              <w:top w:sz="4" w:val="nil"/>
              <w:left w:color="000000" w:sz="4" w:val="single"/>
              <w:bottom w:color="000000" w:sz="4" w:val="single"/>
              <w:right w:color="000000" w:sz="4" w:val="single"/>
            </w:tcBorders>
            <w:tcMar>
              <w:left w:type="dxa" w:w="40"/>
              <w:right w:type="dxa" w:w="40"/>
            </w:tcMar>
            <w:vAlign w:val="center"/>
          </w:tcPr>
          <w:p w14:paraId="62090000">
            <w:pPr>
              <w:widowControl w:val="0"/>
              <w:spacing w:after="0" w:line="240" w:lineRule="auto"/>
              <w:ind/>
              <w:jc w:val="center"/>
              <w:rPr>
                <w:sz w:val="20"/>
              </w:rPr>
            </w:pPr>
            <w:r>
              <w:rPr>
                <w:sz w:val="20"/>
              </w:rPr>
              <w:t>0,030</w:t>
            </w:r>
          </w:p>
        </w:tc>
      </w:tr>
    </w:tbl>
    <w:p w14:paraId="63090000">
      <w:pPr>
        <w:pStyle w:val="Style_8"/>
        <w:spacing w:after="0" w:before="200"/>
        <w:ind w:firstLine="709" w:left="0"/>
        <w:jc w:val="center"/>
        <w:rPr>
          <w:b w:val="1"/>
          <w:sz w:val="28"/>
        </w:rPr>
      </w:pPr>
      <w:r>
        <w:rPr>
          <w:b w:val="1"/>
          <w:sz w:val="28"/>
        </w:rPr>
        <w:t xml:space="preserve">Часть 6 «Балансы тепловой мощности и тепловой нагрузки Куйбышевского сельского поселения Куйбышевского </w:t>
      </w:r>
      <w:r>
        <w:rPr>
          <w:b w:val="1"/>
          <w:sz w:val="28"/>
        </w:rPr>
        <w:t>района»</w:t>
      </w:r>
    </w:p>
    <w:p w14:paraId="64090000">
      <w:pPr>
        <w:spacing w:after="0" w:before="200" w:line="240" w:lineRule="auto"/>
        <w:ind w:firstLine="709" w:left="0"/>
        <w:jc w:val="both"/>
        <w:rPr>
          <w:sz w:val="28"/>
        </w:rPr>
      </w:pPr>
      <w:r>
        <w:rPr>
          <w:sz w:val="28"/>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w:t>
      </w:r>
      <w:r>
        <w:rPr>
          <w:sz w:val="28"/>
        </w:rPr>
        <w:t>ой системе теплоснабжения.</w:t>
      </w:r>
    </w:p>
    <w:p w14:paraId="65090000">
      <w:pPr>
        <w:spacing w:before="200" w:line="240" w:lineRule="auto"/>
        <w:ind w:firstLine="709" w:left="0"/>
        <w:jc w:val="both"/>
        <w:rPr>
          <w:sz w:val="28"/>
        </w:rPr>
      </w:pPr>
      <w:r>
        <w:rPr>
          <w:sz w:val="28"/>
        </w:rPr>
        <w:t xml:space="preserve">Таблица 26 Балансы установленной, располагаемой тепловой мощности (ТМ) и тепловой мощности нетто, потерь тепловой мощности в тепловых сетях и расчетной тепловой нагрузки (РТН), (Гкал/ч)  </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40"/>
          <w:right w:type="dxa" w:w="40"/>
        </w:tblCellMar>
      </w:tblPr>
      <w:tblGrid>
        <w:gridCol w:w="3413"/>
        <w:gridCol w:w="1405"/>
        <w:gridCol w:w="1405"/>
        <w:gridCol w:w="1056"/>
        <w:gridCol w:w="935"/>
        <w:gridCol w:w="1386"/>
      </w:tblGrid>
      <w:tr>
        <w:trPr>
          <w:trHeight w:hRule="exact" w:val="1124"/>
        </w:trPr>
        <w:tc>
          <w:tcPr>
            <w:tcW w:type="dxa" w:w="341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6090000">
            <w:pPr>
              <w:ind/>
              <w:jc w:val="center"/>
              <w:rPr>
                <w:sz w:val="20"/>
              </w:rPr>
            </w:pPr>
            <w:r>
              <w:rPr>
                <w:sz w:val="20"/>
              </w:rPr>
              <w:t>Котельная</w:t>
            </w:r>
          </w:p>
        </w:tc>
        <w:tc>
          <w:tcPr>
            <w:tcW w:type="dxa" w:w="140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7090000">
            <w:pPr>
              <w:ind/>
              <w:jc w:val="center"/>
              <w:rPr>
                <w:sz w:val="20"/>
              </w:rPr>
            </w:pPr>
            <w:r>
              <w:rPr>
                <w:sz w:val="20"/>
              </w:rPr>
              <w:t>Установленная ТМ, Гкал/ч</w:t>
            </w:r>
          </w:p>
        </w:tc>
        <w:tc>
          <w:tcPr>
            <w:tcW w:type="dxa" w:w="140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8090000">
            <w:pPr>
              <w:ind/>
              <w:jc w:val="center"/>
              <w:rPr>
                <w:sz w:val="20"/>
              </w:rPr>
            </w:pPr>
            <w:r>
              <w:rPr>
                <w:sz w:val="20"/>
              </w:rPr>
              <w:t>Распол</w:t>
            </w:r>
            <w:r>
              <w:rPr>
                <w:sz w:val="20"/>
              </w:rPr>
              <w:t>агаемая ТМ, Гкал/ч</w:t>
            </w:r>
          </w:p>
        </w:tc>
        <w:tc>
          <w:tcPr>
            <w:tcW w:type="dxa" w:w="1056"/>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9090000">
            <w:pPr>
              <w:ind/>
              <w:jc w:val="center"/>
              <w:rPr>
                <w:sz w:val="20"/>
              </w:rPr>
            </w:pPr>
            <w:r>
              <w:rPr>
                <w:sz w:val="20"/>
              </w:rPr>
              <w:t>РТН, Гкал/ч</w:t>
            </w:r>
          </w:p>
        </w:tc>
        <w:tc>
          <w:tcPr>
            <w:tcW w:type="dxa" w:w="93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A090000">
            <w:pPr>
              <w:ind/>
              <w:jc w:val="center"/>
              <w:rPr>
                <w:sz w:val="20"/>
              </w:rPr>
            </w:pPr>
            <w:r>
              <w:rPr>
                <w:sz w:val="20"/>
              </w:rPr>
              <w:t>Резерв (дефицит) ТМ, Гкал/ч</w:t>
            </w:r>
          </w:p>
        </w:tc>
        <w:tc>
          <w:tcPr>
            <w:tcW w:type="dxa" w:w="1386"/>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B090000">
            <w:pPr>
              <w:ind/>
              <w:jc w:val="center"/>
              <w:rPr>
                <w:sz w:val="20"/>
              </w:rPr>
            </w:pPr>
            <w:r>
              <w:rPr>
                <w:sz w:val="20"/>
              </w:rPr>
              <w:t>**Величина средне-взвешенной плотности ТН</w:t>
            </w:r>
          </w:p>
        </w:tc>
      </w:tr>
      <w:tr>
        <w:trPr>
          <w:trHeight w:hRule="exact" w:val="274"/>
        </w:trPr>
        <w:tc>
          <w:tcPr>
            <w:tcW w:type="dxa" w:w="3413"/>
            <w:tcBorders>
              <w:top w:sz="4" w:val="nil"/>
              <w:left w:color="000000" w:sz="4" w:val="single"/>
              <w:bottom w:color="000000" w:sz="4" w:val="single"/>
              <w:right w:color="000000" w:sz="4" w:val="single"/>
            </w:tcBorders>
            <w:shd w:fill="auto" w:val="clear"/>
            <w:tcMar>
              <w:left w:type="dxa" w:w="40"/>
              <w:right w:type="dxa" w:w="40"/>
            </w:tcMar>
            <w:vAlign w:val="center"/>
          </w:tcPr>
          <w:p w14:paraId="6C090000">
            <w:pPr>
              <w:ind/>
              <w:jc w:val="center"/>
              <w:rPr>
                <w:sz w:val="20"/>
              </w:rPr>
            </w:pPr>
            <w:r>
              <w:rPr>
                <w:sz w:val="20"/>
              </w:rPr>
              <w:t>с. Куйбышево, ул. Пролетарская, 7</w:t>
            </w:r>
          </w:p>
        </w:tc>
        <w:tc>
          <w:tcPr>
            <w:tcW w:type="dxa" w:w="1405"/>
            <w:tcBorders>
              <w:top w:sz="4" w:val="nil"/>
              <w:left w:color="000000" w:sz="4" w:val="single"/>
              <w:bottom w:color="000000" w:sz="4" w:val="single"/>
              <w:right w:color="000000" w:sz="4" w:val="single"/>
            </w:tcBorders>
            <w:shd w:fill="auto" w:val="clear"/>
            <w:tcMar>
              <w:left w:type="dxa" w:w="40"/>
              <w:right w:type="dxa" w:w="40"/>
            </w:tcMar>
            <w:vAlign w:val="center"/>
          </w:tcPr>
          <w:p w14:paraId="6D090000">
            <w:pPr>
              <w:ind/>
              <w:jc w:val="center"/>
              <w:rPr>
                <w:sz w:val="20"/>
              </w:rPr>
            </w:pPr>
            <w:r>
              <w:rPr>
                <w:sz w:val="20"/>
              </w:rPr>
              <w:t>3,44</w:t>
            </w:r>
          </w:p>
        </w:tc>
        <w:tc>
          <w:tcPr>
            <w:tcW w:type="dxa" w:w="1405"/>
            <w:tcBorders>
              <w:top w:sz="4" w:val="nil"/>
              <w:left w:color="000000" w:sz="4" w:val="single"/>
              <w:bottom w:color="000000" w:sz="4" w:val="single"/>
              <w:right w:color="000000" w:sz="4" w:val="single"/>
            </w:tcBorders>
            <w:shd w:fill="auto" w:val="clear"/>
            <w:tcMar>
              <w:left w:type="dxa" w:w="40"/>
              <w:right w:type="dxa" w:w="40"/>
            </w:tcMar>
            <w:vAlign w:val="center"/>
          </w:tcPr>
          <w:p w14:paraId="6E090000">
            <w:pPr>
              <w:ind/>
              <w:jc w:val="center"/>
              <w:rPr>
                <w:sz w:val="20"/>
              </w:rPr>
            </w:pPr>
            <w:r>
              <w:rPr>
                <w:sz w:val="20"/>
              </w:rPr>
              <w:t>3,44</w:t>
            </w:r>
          </w:p>
        </w:tc>
        <w:tc>
          <w:tcPr>
            <w:tcW w:type="dxa" w:w="1056"/>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F090000">
            <w:pPr>
              <w:ind/>
              <w:jc w:val="center"/>
              <w:rPr>
                <w:sz w:val="20"/>
              </w:rPr>
            </w:pPr>
            <w:r>
              <w:rPr>
                <w:sz w:val="20"/>
              </w:rPr>
              <w:t>0,818</w:t>
            </w:r>
          </w:p>
        </w:tc>
        <w:tc>
          <w:tcPr>
            <w:tcW w:type="dxa" w:w="935"/>
            <w:tcBorders>
              <w:top w:color="000000" w:sz="4" w:val="single"/>
              <w:left w:color="000000" w:sz="4" w:val="single"/>
              <w:bottom w:color="000000" w:sz="4" w:val="single"/>
              <w:right w:color="000000" w:sz="4" w:val="single"/>
            </w:tcBorders>
            <w:tcMar>
              <w:left w:type="dxa" w:w="40"/>
              <w:right w:type="dxa" w:w="40"/>
            </w:tcMar>
            <w:vAlign w:val="center"/>
          </w:tcPr>
          <w:p w14:paraId="70090000">
            <w:pPr>
              <w:ind/>
              <w:jc w:val="center"/>
              <w:rPr>
                <w:sz w:val="20"/>
              </w:rPr>
            </w:pPr>
            <w:r>
              <w:rPr>
                <w:sz w:val="20"/>
              </w:rPr>
              <w:t>2,622</w:t>
            </w:r>
          </w:p>
        </w:tc>
        <w:tc>
          <w:tcPr>
            <w:tcW w:type="dxa" w:w="1386"/>
            <w:tcBorders>
              <w:top w:color="000000" w:sz="4" w:val="single"/>
              <w:left w:color="000000" w:sz="4" w:val="single"/>
              <w:bottom w:color="000000" w:sz="4" w:val="single"/>
              <w:right w:color="000000" w:sz="4" w:val="single"/>
            </w:tcBorders>
            <w:tcMar>
              <w:left w:type="dxa" w:w="40"/>
              <w:right w:type="dxa" w:w="40"/>
            </w:tcMar>
            <w:vAlign w:val="center"/>
          </w:tcPr>
          <w:p w14:paraId="71090000">
            <w:pPr>
              <w:ind/>
              <w:jc w:val="center"/>
              <w:rPr>
                <w:sz w:val="20"/>
              </w:rPr>
            </w:pPr>
            <w:r>
              <w:rPr>
                <w:sz w:val="20"/>
              </w:rPr>
              <w:t>0,73</w:t>
            </w:r>
          </w:p>
        </w:tc>
      </w:tr>
      <w:tr>
        <w:trPr>
          <w:trHeight w:hRule="exact" w:val="279"/>
        </w:trPr>
        <w:tc>
          <w:tcPr>
            <w:tcW w:type="dxa" w:w="3413"/>
            <w:tcBorders>
              <w:top w:sz="4" w:val="nil"/>
              <w:left w:color="000000" w:sz="4" w:val="single"/>
              <w:bottom w:color="000000" w:sz="4" w:val="single"/>
              <w:right w:color="000000" w:sz="4" w:val="single"/>
            </w:tcBorders>
            <w:tcMar>
              <w:left w:type="dxa" w:w="40"/>
              <w:right w:type="dxa" w:w="40"/>
            </w:tcMar>
            <w:vAlign w:val="center"/>
          </w:tcPr>
          <w:p w14:paraId="72090000">
            <w:pPr>
              <w:ind/>
              <w:jc w:val="center"/>
              <w:rPr>
                <w:sz w:val="20"/>
              </w:rPr>
            </w:pPr>
            <w:r>
              <w:rPr>
                <w:sz w:val="20"/>
              </w:rPr>
              <w:t>с. Русское, ул. Красноармейская,8-а</w:t>
            </w:r>
          </w:p>
        </w:tc>
        <w:tc>
          <w:tcPr>
            <w:tcW w:type="dxa" w:w="1405"/>
            <w:tcBorders>
              <w:top w:sz="4" w:val="nil"/>
              <w:left w:sz="4" w:val="nil"/>
              <w:bottom w:color="000000" w:sz="4" w:val="single"/>
              <w:right w:color="000000" w:sz="4" w:val="single"/>
            </w:tcBorders>
            <w:tcMar>
              <w:left w:type="dxa" w:w="40"/>
              <w:right w:type="dxa" w:w="40"/>
            </w:tcMar>
            <w:vAlign w:val="center"/>
          </w:tcPr>
          <w:p w14:paraId="73090000">
            <w:pPr>
              <w:ind/>
              <w:jc w:val="center"/>
              <w:rPr>
                <w:sz w:val="20"/>
              </w:rPr>
            </w:pPr>
            <w:r>
              <w:rPr>
                <w:sz w:val="20"/>
              </w:rPr>
              <w:t>0,165</w:t>
            </w:r>
          </w:p>
        </w:tc>
        <w:tc>
          <w:tcPr>
            <w:tcW w:type="dxa" w:w="1405"/>
            <w:tcBorders>
              <w:top w:sz="4" w:val="nil"/>
              <w:left w:sz="4" w:val="nil"/>
              <w:bottom w:color="000000" w:sz="4" w:val="single"/>
              <w:right w:color="000000" w:sz="4" w:val="single"/>
            </w:tcBorders>
            <w:tcMar>
              <w:left w:type="dxa" w:w="40"/>
              <w:right w:type="dxa" w:w="40"/>
            </w:tcMar>
            <w:vAlign w:val="center"/>
          </w:tcPr>
          <w:p w14:paraId="74090000">
            <w:pPr>
              <w:ind/>
              <w:jc w:val="center"/>
              <w:rPr>
                <w:sz w:val="20"/>
              </w:rPr>
            </w:pPr>
            <w:r>
              <w:rPr>
                <w:sz w:val="20"/>
              </w:rPr>
              <w:t>0,165</w:t>
            </w:r>
          </w:p>
        </w:tc>
        <w:tc>
          <w:tcPr>
            <w:tcW w:type="dxa" w:w="1056"/>
            <w:tcBorders>
              <w:top w:color="000000" w:sz="4" w:val="single"/>
              <w:left w:color="000000" w:sz="4" w:val="single"/>
              <w:bottom w:color="000000" w:sz="4" w:val="single"/>
              <w:right w:color="000000" w:sz="4" w:val="single"/>
            </w:tcBorders>
            <w:tcMar>
              <w:left w:type="dxa" w:w="40"/>
              <w:right w:type="dxa" w:w="40"/>
            </w:tcMar>
            <w:vAlign w:val="center"/>
          </w:tcPr>
          <w:p w14:paraId="75090000">
            <w:pPr>
              <w:ind/>
              <w:jc w:val="center"/>
              <w:rPr>
                <w:sz w:val="20"/>
              </w:rPr>
            </w:pPr>
            <w:r>
              <w:rPr>
                <w:sz w:val="20"/>
              </w:rPr>
              <w:t>0,165</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76090000">
            <w:pPr>
              <w:ind/>
              <w:jc w:val="center"/>
              <w:rPr>
                <w:sz w:val="20"/>
              </w:rPr>
            </w:pPr>
            <w:r>
              <w:rPr>
                <w:sz w:val="20"/>
              </w:rPr>
              <w:t>-</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77090000">
            <w:pPr>
              <w:ind/>
              <w:jc w:val="center"/>
              <w:rPr>
                <w:sz w:val="20"/>
              </w:rPr>
            </w:pPr>
            <w:r>
              <w:rPr>
                <w:sz w:val="20"/>
              </w:rPr>
              <w:t>-</w:t>
            </w:r>
          </w:p>
        </w:tc>
      </w:tr>
      <w:tr>
        <w:trPr>
          <w:trHeight w:hRule="exact" w:val="569"/>
        </w:trPr>
        <w:tc>
          <w:tcPr>
            <w:tcW w:type="dxa" w:w="3413"/>
            <w:tcBorders>
              <w:top w:sz="4" w:val="nil"/>
              <w:left w:color="000000" w:sz="4" w:val="single"/>
              <w:bottom w:color="000000" w:sz="4" w:val="single"/>
              <w:right w:color="000000" w:sz="4" w:val="single"/>
            </w:tcBorders>
            <w:tcMar>
              <w:left w:type="dxa" w:w="40"/>
              <w:right w:type="dxa" w:w="40"/>
            </w:tcMar>
            <w:vAlign w:val="center"/>
          </w:tcPr>
          <w:p w14:paraId="78090000">
            <w:pPr>
              <w:ind/>
              <w:jc w:val="center"/>
              <w:rPr>
                <w:sz w:val="20"/>
              </w:rPr>
            </w:pPr>
            <w:r>
              <w:rPr>
                <w:sz w:val="20"/>
              </w:rPr>
              <w:t xml:space="preserve">с. Русское, ул. Героя Советского </w:t>
            </w:r>
            <w:r>
              <w:rPr>
                <w:sz w:val="20"/>
              </w:rPr>
              <w:t>Союза М.П. Алексеева, 8</w:t>
            </w:r>
          </w:p>
        </w:tc>
        <w:tc>
          <w:tcPr>
            <w:tcW w:type="dxa" w:w="1405"/>
            <w:tcBorders>
              <w:top w:sz="4" w:val="nil"/>
              <w:left w:sz="4" w:val="nil"/>
              <w:bottom w:color="000000" w:sz="4" w:val="single"/>
              <w:right w:color="000000" w:sz="4" w:val="single"/>
            </w:tcBorders>
            <w:tcMar>
              <w:left w:type="dxa" w:w="40"/>
              <w:right w:type="dxa" w:w="40"/>
            </w:tcMar>
            <w:vAlign w:val="center"/>
          </w:tcPr>
          <w:p w14:paraId="79090000">
            <w:pPr>
              <w:ind/>
              <w:jc w:val="center"/>
              <w:rPr>
                <w:sz w:val="20"/>
              </w:rPr>
            </w:pPr>
            <w:r>
              <w:rPr>
                <w:sz w:val="20"/>
              </w:rPr>
              <w:t>0,054</w:t>
            </w:r>
          </w:p>
        </w:tc>
        <w:tc>
          <w:tcPr>
            <w:tcW w:type="dxa" w:w="1405"/>
            <w:tcBorders>
              <w:top w:sz="4" w:val="nil"/>
              <w:left w:sz="4" w:val="nil"/>
              <w:bottom w:color="000000" w:sz="4" w:val="single"/>
              <w:right w:color="000000" w:sz="4" w:val="single"/>
            </w:tcBorders>
            <w:tcMar>
              <w:left w:type="dxa" w:w="40"/>
              <w:right w:type="dxa" w:w="40"/>
            </w:tcMar>
            <w:vAlign w:val="center"/>
          </w:tcPr>
          <w:p w14:paraId="7A090000">
            <w:pPr>
              <w:ind/>
              <w:jc w:val="center"/>
              <w:rPr>
                <w:sz w:val="20"/>
              </w:rPr>
            </w:pPr>
            <w:r>
              <w:rPr>
                <w:sz w:val="20"/>
              </w:rPr>
              <w:t>0,054</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7B090000">
            <w:pPr>
              <w:ind/>
              <w:jc w:val="center"/>
              <w:rPr>
                <w:sz w:val="20"/>
              </w:rPr>
            </w:pPr>
            <w:r>
              <w:rPr>
                <w:sz w:val="20"/>
              </w:rPr>
              <w:t>0,029</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7C090000">
            <w:pPr>
              <w:ind/>
              <w:jc w:val="center"/>
              <w:rPr>
                <w:sz w:val="20"/>
              </w:rPr>
            </w:pPr>
            <w:r>
              <w:rPr>
                <w:sz w:val="20"/>
              </w:rPr>
              <w:t>0,025</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7D090000">
            <w:pPr>
              <w:ind/>
              <w:jc w:val="center"/>
              <w:rPr>
                <w:sz w:val="20"/>
              </w:rPr>
            </w:pPr>
            <w:r>
              <w:rPr>
                <w:sz w:val="20"/>
              </w:rPr>
              <w:t>-</w:t>
            </w:r>
          </w:p>
        </w:tc>
      </w:tr>
      <w:tr>
        <w:trPr>
          <w:trHeight w:hRule="exact" w:val="290"/>
        </w:trPr>
        <w:tc>
          <w:tcPr>
            <w:tcW w:type="dxa" w:w="3413"/>
            <w:tcBorders>
              <w:top w:sz="4" w:val="nil"/>
              <w:left w:color="000000" w:sz="4" w:val="single"/>
              <w:bottom w:color="000000" w:sz="4" w:val="single"/>
              <w:right w:color="000000" w:sz="4" w:val="single"/>
            </w:tcBorders>
            <w:tcMar>
              <w:left w:type="dxa" w:w="40"/>
              <w:right w:type="dxa" w:w="40"/>
            </w:tcMar>
            <w:vAlign w:val="center"/>
          </w:tcPr>
          <w:p w14:paraId="7E090000">
            <w:pPr>
              <w:ind/>
              <w:jc w:val="center"/>
              <w:rPr>
                <w:sz w:val="20"/>
              </w:rPr>
            </w:pPr>
            <w:r>
              <w:rPr>
                <w:sz w:val="20"/>
              </w:rPr>
              <w:t>с. Куйбышево, ул. Театральная, 72</w:t>
            </w:r>
          </w:p>
        </w:tc>
        <w:tc>
          <w:tcPr>
            <w:tcW w:type="dxa" w:w="1405"/>
            <w:tcBorders>
              <w:top w:sz="4" w:val="nil"/>
              <w:left w:sz="4" w:val="nil"/>
              <w:bottom w:color="000000" w:sz="4" w:val="single"/>
              <w:right w:color="000000" w:sz="4" w:val="single"/>
            </w:tcBorders>
            <w:tcMar>
              <w:left w:type="dxa" w:w="40"/>
              <w:right w:type="dxa" w:w="40"/>
            </w:tcMar>
            <w:vAlign w:val="center"/>
          </w:tcPr>
          <w:p w14:paraId="7F090000">
            <w:pPr>
              <w:ind/>
              <w:jc w:val="center"/>
              <w:rPr>
                <w:sz w:val="20"/>
              </w:rPr>
            </w:pPr>
            <w:r>
              <w:rPr>
                <w:sz w:val="20"/>
              </w:rPr>
              <w:t>0,054</w:t>
            </w:r>
          </w:p>
        </w:tc>
        <w:tc>
          <w:tcPr>
            <w:tcW w:type="dxa" w:w="1405"/>
            <w:tcBorders>
              <w:top w:sz="4" w:val="nil"/>
              <w:left w:sz="4" w:val="nil"/>
              <w:bottom w:color="000000" w:sz="4" w:val="single"/>
              <w:right w:color="000000" w:sz="4" w:val="single"/>
            </w:tcBorders>
            <w:tcMar>
              <w:left w:type="dxa" w:w="40"/>
              <w:right w:type="dxa" w:w="40"/>
            </w:tcMar>
            <w:vAlign w:val="center"/>
          </w:tcPr>
          <w:p w14:paraId="80090000">
            <w:pPr>
              <w:ind/>
              <w:jc w:val="center"/>
              <w:rPr>
                <w:sz w:val="20"/>
              </w:rPr>
            </w:pPr>
            <w:r>
              <w:rPr>
                <w:sz w:val="20"/>
              </w:rPr>
              <w:t>0,054</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81090000">
            <w:pPr>
              <w:ind/>
              <w:jc w:val="center"/>
              <w:rPr>
                <w:sz w:val="20"/>
              </w:rPr>
            </w:pPr>
            <w:r>
              <w:rPr>
                <w:sz w:val="20"/>
              </w:rPr>
              <w:t>0,028</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82090000">
            <w:pPr>
              <w:ind/>
              <w:jc w:val="center"/>
              <w:rPr>
                <w:sz w:val="20"/>
              </w:rPr>
            </w:pPr>
            <w:r>
              <w:rPr>
                <w:sz w:val="20"/>
              </w:rPr>
              <w:t>0,026</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83090000">
            <w:pPr>
              <w:ind/>
              <w:jc w:val="center"/>
              <w:rPr>
                <w:sz w:val="20"/>
              </w:rPr>
            </w:pPr>
            <w:r>
              <w:rPr>
                <w:sz w:val="20"/>
              </w:rPr>
              <w:t>-</w:t>
            </w:r>
          </w:p>
        </w:tc>
      </w:tr>
      <w:tr>
        <w:trPr>
          <w:trHeight w:hRule="exact" w:val="279"/>
        </w:trPr>
        <w:tc>
          <w:tcPr>
            <w:tcW w:type="dxa" w:w="3413"/>
            <w:tcBorders>
              <w:top w:sz="4" w:val="nil"/>
              <w:left w:color="000000" w:sz="4" w:val="single"/>
              <w:bottom w:color="000000" w:sz="4" w:val="single"/>
              <w:right w:color="000000" w:sz="4" w:val="single"/>
            </w:tcBorders>
            <w:tcMar>
              <w:left w:type="dxa" w:w="40"/>
              <w:right w:type="dxa" w:w="40"/>
            </w:tcMar>
            <w:vAlign w:val="center"/>
          </w:tcPr>
          <w:p w14:paraId="84090000">
            <w:pPr>
              <w:ind/>
              <w:jc w:val="center"/>
              <w:rPr>
                <w:sz w:val="20"/>
              </w:rPr>
            </w:pPr>
            <w:r>
              <w:rPr>
                <w:sz w:val="20"/>
              </w:rPr>
              <w:t>с. Куйбышево, ул. Пролетарская, 2 а</w:t>
            </w:r>
          </w:p>
        </w:tc>
        <w:tc>
          <w:tcPr>
            <w:tcW w:type="dxa" w:w="1405"/>
            <w:tcBorders>
              <w:top w:sz="4" w:val="nil"/>
              <w:left w:sz="4" w:val="nil"/>
              <w:bottom w:color="000000" w:sz="4" w:val="single"/>
              <w:right w:color="000000" w:sz="4" w:val="single"/>
            </w:tcBorders>
            <w:tcMar>
              <w:left w:type="dxa" w:w="40"/>
              <w:right w:type="dxa" w:w="40"/>
            </w:tcMar>
            <w:vAlign w:val="center"/>
          </w:tcPr>
          <w:p w14:paraId="85090000">
            <w:pPr>
              <w:ind/>
              <w:jc w:val="center"/>
              <w:rPr>
                <w:sz w:val="20"/>
              </w:rPr>
            </w:pPr>
            <w:r>
              <w:rPr>
                <w:sz w:val="20"/>
              </w:rPr>
              <w:t>0,086</w:t>
            </w:r>
          </w:p>
        </w:tc>
        <w:tc>
          <w:tcPr>
            <w:tcW w:type="dxa" w:w="1405"/>
            <w:tcBorders>
              <w:top w:sz="4" w:val="nil"/>
              <w:left w:sz="4" w:val="nil"/>
              <w:bottom w:color="000000" w:sz="4" w:val="single"/>
              <w:right w:color="000000" w:sz="4" w:val="single"/>
            </w:tcBorders>
            <w:tcMar>
              <w:left w:type="dxa" w:w="40"/>
              <w:right w:type="dxa" w:w="40"/>
            </w:tcMar>
            <w:vAlign w:val="center"/>
          </w:tcPr>
          <w:p w14:paraId="86090000">
            <w:pPr>
              <w:ind/>
              <w:jc w:val="center"/>
              <w:rPr>
                <w:sz w:val="20"/>
              </w:rPr>
            </w:pPr>
            <w:r>
              <w:rPr>
                <w:sz w:val="20"/>
              </w:rPr>
              <w:t>0,086</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87090000">
            <w:pPr>
              <w:ind/>
              <w:jc w:val="center"/>
              <w:rPr>
                <w:sz w:val="20"/>
              </w:rPr>
            </w:pPr>
            <w:r>
              <w:rPr>
                <w:sz w:val="20"/>
              </w:rPr>
              <w:t>0,086</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88090000">
            <w:pPr>
              <w:ind/>
              <w:jc w:val="center"/>
              <w:rPr>
                <w:sz w:val="20"/>
              </w:rPr>
            </w:pPr>
            <w:r>
              <w:rPr>
                <w:sz w:val="20"/>
              </w:rPr>
              <w:t>-</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89090000">
            <w:pPr>
              <w:ind/>
              <w:jc w:val="center"/>
              <w:rPr>
                <w:sz w:val="20"/>
              </w:rPr>
            </w:pPr>
            <w:r>
              <w:rPr>
                <w:sz w:val="20"/>
              </w:rPr>
              <w:t>-</w:t>
            </w:r>
          </w:p>
        </w:tc>
      </w:tr>
      <w:tr>
        <w:trPr>
          <w:trHeight w:hRule="exact" w:val="284"/>
        </w:trPr>
        <w:tc>
          <w:tcPr>
            <w:tcW w:type="dxa" w:w="3413"/>
            <w:tcBorders>
              <w:top w:sz="4" w:val="nil"/>
              <w:left w:color="000000" w:sz="4" w:val="single"/>
              <w:bottom w:color="000000" w:sz="4" w:val="single"/>
              <w:right w:color="000000" w:sz="4" w:val="single"/>
            </w:tcBorders>
            <w:tcMar>
              <w:left w:type="dxa" w:w="40"/>
              <w:right w:type="dxa" w:w="40"/>
            </w:tcMar>
            <w:vAlign w:val="center"/>
          </w:tcPr>
          <w:p w14:paraId="8A090000">
            <w:pPr>
              <w:ind/>
              <w:jc w:val="center"/>
              <w:rPr>
                <w:sz w:val="20"/>
              </w:rPr>
            </w:pPr>
            <w:r>
              <w:rPr>
                <w:sz w:val="20"/>
              </w:rPr>
              <w:t>с. Куйбышево, ул. Кузьменко, 3 а</w:t>
            </w:r>
          </w:p>
        </w:tc>
        <w:tc>
          <w:tcPr>
            <w:tcW w:type="dxa" w:w="1405"/>
            <w:tcBorders>
              <w:top w:sz="4" w:val="nil"/>
              <w:left w:sz="4" w:val="nil"/>
              <w:bottom w:color="000000" w:sz="4" w:val="single"/>
              <w:right w:color="000000" w:sz="4" w:val="single"/>
            </w:tcBorders>
            <w:tcMar>
              <w:left w:type="dxa" w:w="40"/>
              <w:right w:type="dxa" w:w="40"/>
            </w:tcMar>
            <w:vAlign w:val="center"/>
          </w:tcPr>
          <w:p w14:paraId="8B090000">
            <w:pPr>
              <w:ind/>
              <w:jc w:val="center"/>
              <w:rPr>
                <w:sz w:val="20"/>
              </w:rPr>
            </w:pPr>
            <w:r>
              <w:rPr>
                <w:sz w:val="20"/>
              </w:rPr>
              <w:t>0,172</w:t>
            </w:r>
          </w:p>
        </w:tc>
        <w:tc>
          <w:tcPr>
            <w:tcW w:type="dxa" w:w="1405"/>
            <w:tcBorders>
              <w:top w:sz="4" w:val="nil"/>
              <w:left w:sz="4" w:val="nil"/>
              <w:bottom w:color="000000" w:sz="4" w:val="single"/>
              <w:right w:color="000000" w:sz="4" w:val="single"/>
            </w:tcBorders>
            <w:tcMar>
              <w:left w:type="dxa" w:w="40"/>
              <w:right w:type="dxa" w:w="40"/>
            </w:tcMar>
            <w:vAlign w:val="center"/>
          </w:tcPr>
          <w:p w14:paraId="8C090000">
            <w:pPr>
              <w:ind/>
              <w:jc w:val="center"/>
              <w:rPr>
                <w:sz w:val="20"/>
              </w:rPr>
            </w:pPr>
            <w:r>
              <w:rPr>
                <w:sz w:val="20"/>
              </w:rPr>
              <w:t>0,172</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8D090000">
            <w:pPr>
              <w:ind/>
              <w:jc w:val="center"/>
              <w:rPr>
                <w:sz w:val="20"/>
              </w:rPr>
            </w:pPr>
            <w:r>
              <w:rPr>
                <w:sz w:val="20"/>
              </w:rPr>
              <w:t>0,105</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8E090000">
            <w:pPr>
              <w:ind/>
              <w:jc w:val="center"/>
              <w:rPr>
                <w:sz w:val="20"/>
              </w:rPr>
            </w:pPr>
            <w:r>
              <w:rPr>
                <w:sz w:val="20"/>
              </w:rPr>
              <w:t>0,067</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8F090000">
            <w:pPr>
              <w:ind/>
              <w:jc w:val="center"/>
              <w:rPr>
                <w:sz w:val="20"/>
              </w:rPr>
            </w:pPr>
            <w:r>
              <w:rPr>
                <w:sz w:val="20"/>
              </w:rPr>
              <w:t>-</w:t>
            </w:r>
          </w:p>
        </w:tc>
      </w:tr>
      <w:tr>
        <w:trPr>
          <w:trHeight w:hRule="exact" w:val="288"/>
        </w:trPr>
        <w:tc>
          <w:tcPr>
            <w:tcW w:type="dxa" w:w="3413"/>
            <w:tcBorders>
              <w:top w:sz="4" w:val="nil"/>
              <w:left w:color="000000" w:sz="4" w:val="single"/>
              <w:bottom w:color="000000" w:sz="4" w:val="single"/>
              <w:right w:color="000000" w:sz="4" w:val="single"/>
            </w:tcBorders>
            <w:tcMar>
              <w:left w:type="dxa" w:w="40"/>
              <w:right w:type="dxa" w:w="40"/>
            </w:tcMar>
            <w:vAlign w:val="center"/>
          </w:tcPr>
          <w:p w14:paraId="90090000">
            <w:pPr>
              <w:ind/>
              <w:jc w:val="center"/>
              <w:rPr>
                <w:sz w:val="20"/>
              </w:rPr>
            </w:pPr>
            <w:r>
              <w:rPr>
                <w:sz w:val="20"/>
              </w:rPr>
              <w:t xml:space="preserve">х. Свободный, ул. </w:t>
            </w:r>
            <w:r>
              <w:rPr>
                <w:sz w:val="20"/>
              </w:rPr>
              <w:t>Молодёжная, 8</w:t>
            </w:r>
          </w:p>
        </w:tc>
        <w:tc>
          <w:tcPr>
            <w:tcW w:type="dxa" w:w="1405"/>
            <w:tcBorders>
              <w:top w:sz="4" w:val="nil"/>
              <w:left w:sz="4" w:val="nil"/>
              <w:bottom w:color="000000" w:sz="4" w:val="single"/>
              <w:right w:color="000000" w:sz="4" w:val="single"/>
            </w:tcBorders>
            <w:tcMar>
              <w:left w:type="dxa" w:w="40"/>
              <w:right w:type="dxa" w:w="40"/>
            </w:tcMar>
            <w:vAlign w:val="center"/>
          </w:tcPr>
          <w:p w14:paraId="91090000">
            <w:pPr>
              <w:ind/>
              <w:jc w:val="center"/>
              <w:rPr>
                <w:sz w:val="20"/>
              </w:rPr>
            </w:pPr>
            <w:r>
              <w:rPr>
                <w:sz w:val="20"/>
              </w:rPr>
              <w:t>0,126</w:t>
            </w:r>
          </w:p>
        </w:tc>
        <w:tc>
          <w:tcPr>
            <w:tcW w:type="dxa" w:w="1405"/>
            <w:tcBorders>
              <w:top w:sz="4" w:val="nil"/>
              <w:left w:sz="4" w:val="nil"/>
              <w:bottom w:color="000000" w:sz="4" w:val="single"/>
              <w:right w:color="000000" w:sz="4" w:val="single"/>
            </w:tcBorders>
            <w:tcMar>
              <w:left w:type="dxa" w:w="40"/>
              <w:right w:type="dxa" w:w="40"/>
            </w:tcMar>
            <w:vAlign w:val="center"/>
          </w:tcPr>
          <w:p w14:paraId="92090000">
            <w:pPr>
              <w:ind/>
              <w:jc w:val="center"/>
              <w:rPr>
                <w:sz w:val="20"/>
              </w:rPr>
            </w:pPr>
            <w:r>
              <w:rPr>
                <w:sz w:val="20"/>
              </w:rPr>
              <w:t>0,126</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93090000">
            <w:pPr>
              <w:ind/>
              <w:jc w:val="center"/>
              <w:rPr>
                <w:sz w:val="20"/>
              </w:rPr>
            </w:pPr>
            <w:r>
              <w:rPr>
                <w:sz w:val="20"/>
              </w:rPr>
              <w:t>0,045</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94090000">
            <w:pPr>
              <w:ind/>
              <w:jc w:val="center"/>
              <w:rPr>
                <w:sz w:val="20"/>
              </w:rPr>
            </w:pPr>
            <w:r>
              <w:rPr>
                <w:sz w:val="20"/>
              </w:rPr>
              <w:t>0,081</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95090000">
            <w:pPr>
              <w:ind/>
              <w:jc w:val="center"/>
              <w:rPr>
                <w:sz w:val="20"/>
              </w:rPr>
            </w:pPr>
            <w:r>
              <w:rPr>
                <w:sz w:val="20"/>
              </w:rPr>
              <w:t>-</w:t>
            </w:r>
          </w:p>
        </w:tc>
      </w:tr>
      <w:tr>
        <w:trPr>
          <w:trHeight w:hRule="exact" w:val="278"/>
        </w:trPr>
        <w:tc>
          <w:tcPr>
            <w:tcW w:type="dxa" w:w="3413"/>
            <w:tcBorders>
              <w:top w:sz="4" w:val="nil"/>
              <w:left w:color="000000" w:sz="4" w:val="single"/>
              <w:bottom w:color="000000" w:sz="4" w:val="single"/>
              <w:right w:color="000000" w:sz="4" w:val="single"/>
            </w:tcBorders>
            <w:tcMar>
              <w:left w:type="dxa" w:w="40"/>
              <w:right w:type="dxa" w:w="40"/>
            </w:tcMar>
            <w:vAlign w:val="center"/>
          </w:tcPr>
          <w:p w14:paraId="96090000">
            <w:pPr>
              <w:ind/>
              <w:jc w:val="center"/>
              <w:rPr>
                <w:sz w:val="20"/>
              </w:rPr>
            </w:pPr>
            <w:r>
              <w:rPr>
                <w:sz w:val="20"/>
              </w:rPr>
              <w:t>х. Ольховский, ул. Центральная, 3 а</w:t>
            </w:r>
          </w:p>
        </w:tc>
        <w:tc>
          <w:tcPr>
            <w:tcW w:type="dxa" w:w="1405"/>
            <w:tcBorders>
              <w:top w:sz="4" w:val="nil"/>
              <w:left w:sz="4" w:val="nil"/>
              <w:bottom w:color="000000" w:sz="4" w:val="single"/>
              <w:right w:color="000000" w:sz="4" w:val="single"/>
            </w:tcBorders>
            <w:tcMar>
              <w:left w:type="dxa" w:w="40"/>
              <w:right w:type="dxa" w:w="40"/>
            </w:tcMar>
            <w:vAlign w:val="center"/>
          </w:tcPr>
          <w:p w14:paraId="97090000">
            <w:pPr>
              <w:ind/>
              <w:jc w:val="center"/>
              <w:rPr>
                <w:sz w:val="20"/>
              </w:rPr>
            </w:pPr>
            <w:r>
              <w:rPr>
                <w:sz w:val="20"/>
              </w:rPr>
              <w:t>0,052</w:t>
            </w:r>
          </w:p>
        </w:tc>
        <w:tc>
          <w:tcPr>
            <w:tcW w:type="dxa" w:w="1405"/>
            <w:tcBorders>
              <w:top w:sz="4" w:val="nil"/>
              <w:left w:sz="4" w:val="nil"/>
              <w:bottom w:color="000000" w:sz="4" w:val="single"/>
              <w:right w:color="000000" w:sz="4" w:val="single"/>
            </w:tcBorders>
            <w:tcMar>
              <w:left w:type="dxa" w:w="40"/>
              <w:right w:type="dxa" w:w="40"/>
            </w:tcMar>
            <w:vAlign w:val="center"/>
          </w:tcPr>
          <w:p w14:paraId="98090000">
            <w:pPr>
              <w:ind/>
              <w:jc w:val="center"/>
              <w:rPr>
                <w:sz w:val="20"/>
              </w:rPr>
            </w:pPr>
            <w:r>
              <w:rPr>
                <w:sz w:val="20"/>
              </w:rPr>
              <w:t>0,052</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99090000">
            <w:pPr>
              <w:ind/>
              <w:jc w:val="center"/>
              <w:rPr>
                <w:sz w:val="20"/>
              </w:rPr>
            </w:pPr>
            <w:r>
              <w:rPr>
                <w:sz w:val="20"/>
              </w:rPr>
              <w:t>0,026</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9A090000">
            <w:pPr>
              <w:ind/>
              <w:jc w:val="center"/>
              <w:rPr>
                <w:sz w:val="20"/>
              </w:rPr>
            </w:pPr>
            <w:r>
              <w:rPr>
                <w:sz w:val="20"/>
              </w:rPr>
              <w:t>0,026</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9B090000">
            <w:pPr>
              <w:ind/>
              <w:jc w:val="center"/>
              <w:rPr>
                <w:sz w:val="20"/>
              </w:rPr>
            </w:pPr>
            <w:r>
              <w:rPr>
                <w:sz w:val="20"/>
              </w:rPr>
              <w:t>-</w:t>
            </w:r>
          </w:p>
        </w:tc>
      </w:tr>
      <w:tr>
        <w:trPr>
          <w:trHeight w:hRule="exact" w:val="296"/>
        </w:trPr>
        <w:tc>
          <w:tcPr>
            <w:tcW w:type="dxa" w:w="3413"/>
            <w:tcBorders>
              <w:top w:sz="4" w:val="nil"/>
              <w:left w:color="000000" w:sz="4" w:val="single"/>
              <w:bottom w:color="000000" w:sz="4" w:val="single"/>
              <w:right w:color="000000" w:sz="4" w:val="single"/>
            </w:tcBorders>
            <w:tcMar>
              <w:left w:type="dxa" w:w="40"/>
              <w:right w:type="dxa" w:w="40"/>
            </w:tcMar>
            <w:vAlign w:val="center"/>
          </w:tcPr>
          <w:p w14:paraId="9C090000">
            <w:pPr>
              <w:ind/>
              <w:jc w:val="center"/>
              <w:rPr>
                <w:sz w:val="20"/>
              </w:rPr>
            </w:pPr>
            <w:r>
              <w:rPr>
                <w:sz w:val="20"/>
              </w:rPr>
              <w:t>с. Куйбышево, ул. Пролетарская, 5</w:t>
            </w:r>
          </w:p>
        </w:tc>
        <w:tc>
          <w:tcPr>
            <w:tcW w:type="dxa" w:w="1405"/>
            <w:tcBorders>
              <w:top w:sz="4" w:val="nil"/>
              <w:left w:sz="4" w:val="nil"/>
              <w:bottom w:color="000000" w:sz="4" w:val="single"/>
              <w:right w:color="000000" w:sz="4" w:val="single"/>
            </w:tcBorders>
            <w:tcMar>
              <w:left w:type="dxa" w:w="40"/>
              <w:right w:type="dxa" w:w="40"/>
            </w:tcMar>
            <w:vAlign w:val="center"/>
          </w:tcPr>
          <w:p w14:paraId="9D090000">
            <w:pPr>
              <w:ind/>
              <w:jc w:val="center"/>
              <w:rPr>
                <w:sz w:val="20"/>
              </w:rPr>
            </w:pPr>
            <w:r>
              <w:rPr>
                <w:sz w:val="20"/>
              </w:rPr>
              <w:t>0,034</w:t>
            </w:r>
          </w:p>
        </w:tc>
        <w:tc>
          <w:tcPr>
            <w:tcW w:type="dxa" w:w="1405"/>
            <w:tcBorders>
              <w:top w:sz="4" w:val="nil"/>
              <w:left w:sz="4" w:val="nil"/>
              <w:bottom w:color="000000" w:sz="4" w:val="single"/>
              <w:right w:color="000000" w:sz="4" w:val="single"/>
            </w:tcBorders>
            <w:tcMar>
              <w:left w:type="dxa" w:w="40"/>
              <w:right w:type="dxa" w:w="40"/>
            </w:tcMar>
            <w:vAlign w:val="center"/>
          </w:tcPr>
          <w:p w14:paraId="9E090000">
            <w:pPr>
              <w:ind/>
              <w:jc w:val="center"/>
              <w:rPr>
                <w:sz w:val="20"/>
              </w:rPr>
            </w:pPr>
            <w:r>
              <w:rPr>
                <w:sz w:val="20"/>
              </w:rPr>
              <w:t>0,034</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9F090000">
            <w:pPr>
              <w:ind/>
              <w:jc w:val="center"/>
              <w:rPr>
                <w:sz w:val="20"/>
              </w:rPr>
            </w:pPr>
            <w:r>
              <w:rPr>
                <w:sz w:val="20"/>
              </w:rPr>
              <w:t>0,034</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A0090000">
            <w:pPr>
              <w:ind/>
              <w:jc w:val="center"/>
              <w:rPr>
                <w:sz w:val="20"/>
              </w:rPr>
            </w:pPr>
            <w:r>
              <w:rPr>
                <w:sz w:val="20"/>
              </w:rPr>
              <w:t>-</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A1090000">
            <w:pPr>
              <w:ind/>
              <w:jc w:val="center"/>
              <w:rPr>
                <w:sz w:val="20"/>
              </w:rPr>
            </w:pPr>
            <w:r>
              <w:rPr>
                <w:sz w:val="20"/>
              </w:rPr>
              <w:t>-</w:t>
            </w:r>
          </w:p>
        </w:tc>
      </w:tr>
      <w:tr>
        <w:trPr>
          <w:trHeight w:hRule="exact" w:val="272"/>
        </w:trPr>
        <w:tc>
          <w:tcPr>
            <w:tcW w:type="dxa" w:w="3413"/>
            <w:tcBorders>
              <w:top w:sz="4" w:val="nil"/>
              <w:left w:color="000000" w:sz="4" w:val="single"/>
              <w:bottom w:color="000000" w:sz="4" w:val="single"/>
              <w:right w:color="000000" w:sz="4" w:val="single"/>
            </w:tcBorders>
            <w:tcMar>
              <w:left w:type="dxa" w:w="40"/>
              <w:right w:type="dxa" w:w="40"/>
            </w:tcMar>
            <w:vAlign w:val="center"/>
          </w:tcPr>
          <w:p w14:paraId="A2090000">
            <w:pPr>
              <w:ind/>
              <w:jc w:val="center"/>
              <w:rPr>
                <w:sz w:val="20"/>
              </w:rPr>
            </w:pPr>
            <w:r>
              <w:rPr>
                <w:sz w:val="20"/>
              </w:rPr>
              <w:t>с. Куйбышево, ул. Театральная, 22</w:t>
            </w:r>
          </w:p>
        </w:tc>
        <w:tc>
          <w:tcPr>
            <w:tcW w:type="dxa" w:w="1405"/>
            <w:tcBorders>
              <w:top w:sz="4" w:val="nil"/>
              <w:left w:sz="4" w:val="nil"/>
              <w:bottom w:color="000000" w:sz="4" w:val="single"/>
              <w:right w:color="000000" w:sz="4" w:val="single"/>
            </w:tcBorders>
            <w:tcMar>
              <w:left w:type="dxa" w:w="40"/>
              <w:right w:type="dxa" w:w="40"/>
            </w:tcMar>
            <w:vAlign w:val="center"/>
          </w:tcPr>
          <w:p w14:paraId="A3090000">
            <w:pPr>
              <w:ind/>
              <w:jc w:val="center"/>
              <w:rPr>
                <w:sz w:val="20"/>
              </w:rPr>
            </w:pPr>
            <w:r>
              <w:rPr>
                <w:sz w:val="20"/>
              </w:rPr>
              <w:t>0,165</w:t>
            </w:r>
          </w:p>
        </w:tc>
        <w:tc>
          <w:tcPr>
            <w:tcW w:type="dxa" w:w="1405"/>
            <w:tcBorders>
              <w:top w:sz="4" w:val="nil"/>
              <w:left w:sz="4" w:val="nil"/>
              <w:bottom w:color="000000" w:sz="4" w:val="single"/>
              <w:right w:color="000000" w:sz="4" w:val="single"/>
            </w:tcBorders>
            <w:tcMar>
              <w:left w:type="dxa" w:w="40"/>
              <w:right w:type="dxa" w:w="40"/>
            </w:tcMar>
            <w:vAlign w:val="center"/>
          </w:tcPr>
          <w:p w14:paraId="A4090000">
            <w:pPr>
              <w:ind/>
              <w:jc w:val="center"/>
              <w:rPr>
                <w:sz w:val="20"/>
              </w:rPr>
            </w:pPr>
            <w:r>
              <w:rPr>
                <w:sz w:val="20"/>
              </w:rPr>
              <w:t>0,165</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A5090000">
            <w:pPr>
              <w:ind/>
              <w:jc w:val="center"/>
              <w:rPr>
                <w:sz w:val="20"/>
              </w:rPr>
            </w:pPr>
            <w:r>
              <w:rPr>
                <w:sz w:val="20"/>
              </w:rPr>
              <w:t>0,141</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A6090000">
            <w:pPr>
              <w:ind/>
              <w:jc w:val="center"/>
              <w:rPr>
                <w:sz w:val="20"/>
              </w:rPr>
            </w:pPr>
            <w:r>
              <w:rPr>
                <w:sz w:val="20"/>
              </w:rPr>
              <w:t>0,024</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A7090000">
            <w:pPr>
              <w:ind/>
              <w:jc w:val="center"/>
              <w:rPr>
                <w:sz w:val="20"/>
              </w:rPr>
            </w:pPr>
            <w:r>
              <w:rPr>
                <w:sz w:val="20"/>
              </w:rPr>
              <w:t>-</w:t>
            </w:r>
          </w:p>
        </w:tc>
      </w:tr>
      <w:tr>
        <w:trPr>
          <w:trHeight w:hRule="exact" w:val="248"/>
        </w:trPr>
        <w:tc>
          <w:tcPr>
            <w:tcW w:type="dxa" w:w="3413"/>
            <w:tcBorders>
              <w:top w:sz="4" w:val="nil"/>
              <w:left w:color="000000" w:sz="4" w:val="single"/>
              <w:bottom w:color="000000" w:sz="4" w:val="single"/>
              <w:right w:color="000000" w:sz="4" w:val="single"/>
            </w:tcBorders>
            <w:tcMar>
              <w:left w:type="dxa" w:w="40"/>
              <w:right w:type="dxa" w:w="40"/>
            </w:tcMar>
            <w:vAlign w:val="center"/>
          </w:tcPr>
          <w:p w14:paraId="A8090000">
            <w:pPr>
              <w:ind/>
              <w:jc w:val="center"/>
              <w:rPr>
                <w:sz w:val="20"/>
              </w:rPr>
            </w:pPr>
            <w:r>
              <w:rPr>
                <w:sz w:val="20"/>
              </w:rPr>
              <w:t>х. Свободный, ул. Победы, 29</w:t>
            </w:r>
          </w:p>
        </w:tc>
        <w:tc>
          <w:tcPr>
            <w:tcW w:type="dxa" w:w="1405"/>
            <w:tcBorders>
              <w:top w:sz="4" w:val="nil"/>
              <w:left w:sz="4" w:val="nil"/>
              <w:bottom w:color="000000" w:sz="4" w:val="single"/>
              <w:right w:color="000000" w:sz="4" w:val="single"/>
            </w:tcBorders>
            <w:tcMar>
              <w:left w:type="dxa" w:w="40"/>
              <w:right w:type="dxa" w:w="40"/>
            </w:tcMar>
            <w:vAlign w:val="center"/>
          </w:tcPr>
          <w:p w14:paraId="A9090000">
            <w:pPr>
              <w:ind/>
              <w:jc w:val="center"/>
              <w:rPr>
                <w:sz w:val="20"/>
              </w:rPr>
            </w:pPr>
            <w:r>
              <w:rPr>
                <w:sz w:val="20"/>
              </w:rPr>
              <w:t>0,014</w:t>
            </w:r>
          </w:p>
        </w:tc>
        <w:tc>
          <w:tcPr>
            <w:tcW w:type="dxa" w:w="1405"/>
            <w:tcBorders>
              <w:top w:sz="4" w:val="nil"/>
              <w:left w:sz="4" w:val="nil"/>
              <w:bottom w:color="000000" w:sz="4" w:val="single"/>
              <w:right w:color="000000" w:sz="4" w:val="single"/>
            </w:tcBorders>
            <w:tcMar>
              <w:left w:type="dxa" w:w="40"/>
              <w:right w:type="dxa" w:w="40"/>
            </w:tcMar>
            <w:vAlign w:val="center"/>
          </w:tcPr>
          <w:p w14:paraId="AA090000">
            <w:pPr>
              <w:ind/>
              <w:jc w:val="center"/>
              <w:rPr>
                <w:sz w:val="20"/>
              </w:rPr>
            </w:pPr>
            <w:r>
              <w:rPr>
                <w:sz w:val="20"/>
              </w:rPr>
              <w:t>0,014</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AB090000">
            <w:pPr>
              <w:ind/>
              <w:jc w:val="center"/>
              <w:rPr>
                <w:sz w:val="20"/>
              </w:rPr>
            </w:pPr>
            <w:r>
              <w:rPr>
                <w:sz w:val="20"/>
              </w:rPr>
              <w:t>0,013</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AC090000">
            <w:pPr>
              <w:ind/>
              <w:jc w:val="center"/>
              <w:rPr>
                <w:sz w:val="20"/>
              </w:rPr>
            </w:pPr>
            <w:r>
              <w:rPr>
                <w:sz w:val="20"/>
              </w:rPr>
              <w:t>0,001</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AD090000">
            <w:pPr>
              <w:ind/>
              <w:jc w:val="center"/>
              <w:rPr>
                <w:sz w:val="20"/>
              </w:rPr>
            </w:pPr>
            <w:r>
              <w:rPr>
                <w:sz w:val="20"/>
              </w:rPr>
              <w:t>-</w:t>
            </w:r>
          </w:p>
        </w:tc>
      </w:tr>
      <w:tr>
        <w:trPr>
          <w:trHeight w:hRule="exact" w:val="321"/>
        </w:trPr>
        <w:tc>
          <w:tcPr>
            <w:tcW w:type="dxa" w:w="3413"/>
            <w:tcBorders>
              <w:top w:sz="4" w:val="nil"/>
              <w:left w:color="000000" w:sz="4" w:val="single"/>
              <w:bottom w:color="000000" w:sz="4" w:val="single"/>
              <w:right w:color="000000" w:sz="4" w:val="single"/>
            </w:tcBorders>
            <w:tcMar>
              <w:left w:type="dxa" w:w="40"/>
              <w:right w:type="dxa" w:w="40"/>
            </w:tcMar>
            <w:vAlign w:val="center"/>
          </w:tcPr>
          <w:p w14:paraId="AE090000">
            <w:pPr>
              <w:ind/>
              <w:jc w:val="center"/>
              <w:rPr>
                <w:sz w:val="20"/>
              </w:rPr>
            </w:pPr>
            <w:r>
              <w:rPr>
                <w:sz w:val="20"/>
              </w:rPr>
              <w:t>х. Новобахмутский, ул. Широкая, 89 а</w:t>
            </w:r>
          </w:p>
        </w:tc>
        <w:tc>
          <w:tcPr>
            <w:tcW w:type="dxa" w:w="1405"/>
            <w:tcBorders>
              <w:top w:sz="4" w:val="nil"/>
              <w:left w:sz="4" w:val="nil"/>
              <w:bottom w:color="000000" w:sz="4" w:val="single"/>
              <w:right w:color="000000" w:sz="4" w:val="single"/>
            </w:tcBorders>
            <w:tcMar>
              <w:left w:type="dxa" w:w="40"/>
              <w:right w:type="dxa" w:w="40"/>
            </w:tcMar>
            <w:vAlign w:val="center"/>
          </w:tcPr>
          <w:p w14:paraId="AF090000">
            <w:pPr>
              <w:ind/>
              <w:jc w:val="center"/>
              <w:rPr>
                <w:sz w:val="20"/>
              </w:rPr>
            </w:pPr>
            <w:r>
              <w:rPr>
                <w:sz w:val="20"/>
              </w:rPr>
              <w:t>0,014</w:t>
            </w:r>
          </w:p>
        </w:tc>
        <w:tc>
          <w:tcPr>
            <w:tcW w:type="dxa" w:w="1405"/>
            <w:tcBorders>
              <w:top w:sz="4" w:val="nil"/>
              <w:left w:sz="4" w:val="nil"/>
              <w:bottom w:color="000000" w:sz="4" w:val="single"/>
              <w:right w:color="000000" w:sz="4" w:val="single"/>
            </w:tcBorders>
            <w:tcMar>
              <w:left w:type="dxa" w:w="40"/>
              <w:right w:type="dxa" w:w="40"/>
            </w:tcMar>
            <w:vAlign w:val="center"/>
          </w:tcPr>
          <w:p w14:paraId="B0090000">
            <w:pPr>
              <w:ind/>
              <w:jc w:val="center"/>
              <w:rPr>
                <w:sz w:val="20"/>
              </w:rPr>
            </w:pPr>
            <w:r>
              <w:rPr>
                <w:sz w:val="20"/>
              </w:rPr>
              <w:t>0,014</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B1090000">
            <w:pPr>
              <w:ind/>
              <w:jc w:val="center"/>
              <w:rPr>
                <w:sz w:val="20"/>
              </w:rPr>
            </w:pPr>
            <w:r>
              <w:rPr>
                <w:sz w:val="20"/>
              </w:rPr>
              <w:t>0,014</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B2090000">
            <w:pPr>
              <w:ind/>
              <w:jc w:val="center"/>
              <w:rPr>
                <w:sz w:val="20"/>
              </w:rPr>
            </w:pPr>
            <w:r>
              <w:rPr>
                <w:sz w:val="20"/>
              </w:rPr>
              <w:t>-</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B3090000">
            <w:pPr>
              <w:ind/>
              <w:jc w:val="center"/>
              <w:rPr>
                <w:sz w:val="20"/>
              </w:rPr>
            </w:pPr>
            <w:r>
              <w:rPr>
                <w:sz w:val="20"/>
              </w:rPr>
              <w:t>-</w:t>
            </w:r>
          </w:p>
        </w:tc>
      </w:tr>
      <w:tr>
        <w:trPr>
          <w:trHeight w:hRule="exact" w:val="283"/>
        </w:trPr>
        <w:tc>
          <w:tcPr>
            <w:tcW w:type="dxa" w:w="3413"/>
            <w:tcBorders>
              <w:top w:sz="4" w:val="nil"/>
              <w:left w:color="000000" w:sz="4" w:val="single"/>
              <w:bottom w:color="000000" w:sz="4" w:val="single"/>
              <w:right w:color="000000" w:sz="4" w:val="single"/>
            </w:tcBorders>
            <w:tcMar>
              <w:left w:type="dxa" w:w="40"/>
              <w:right w:type="dxa" w:w="40"/>
            </w:tcMar>
            <w:vAlign w:val="center"/>
          </w:tcPr>
          <w:p w14:paraId="B4090000">
            <w:pPr>
              <w:ind/>
              <w:jc w:val="center"/>
              <w:rPr>
                <w:sz w:val="20"/>
              </w:rPr>
            </w:pPr>
            <w:r>
              <w:rPr>
                <w:sz w:val="20"/>
              </w:rPr>
              <w:t>с. Русское, ул. Красноармейская, 1</w:t>
            </w:r>
          </w:p>
        </w:tc>
        <w:tc>
          <w:tcPr>
            <w:tcW w:type="dxa" w:w="1405"/>
            <w:tcBorders>
              <w:top w:sz="4" w:val="nil"/>
              <w:left w:sz="4" w:val="nil"/>
              <w:bottom w:color="000000" w:sz="4" w:val="single"/>
              <w:right w:color="000000" w:sz="4" w:val="single"/>
            </w:tcBorders>
            <w:tcMar>
              <w:left w:type="dxa" w:w="40"/>
              <w:right w:type="dxa" w:w="40"/>
            </w:tcMar>
            <w:vAlign w:val="center"/>
          </w:tcPr>
          <w:p w14:paraId="B5090000">
            <w:pPr>
              <w:ind/>
              <w:jc w:val="center"/>
              <w:rPr>
                <w:sz w:val="20"/>
              </w:rPr>
            </w:pPr>
            <w:r>
              <w:rPr>
                <w:sz w:val="20"/>
              </w:rPr>
              <w:t>0,094</w:t>
            </w:r>
          </w:p>
        </w:tc>
        <w:tc>
          <w:tcPr>
            <w:tcW w:type="dxa" w:w="1405"/>
            <w:tcBorders>
              <w:top w:sz="4" w:val="nil"/>
              <w:left w:sz="4" w:val="nil"/>
              <w:bottom w:color="000000" w:sz="4" w:val="single"/>
              <w:right w:color="000000" w:sz="4" w:val="single"/>
            </w:tcBorders>
            <w:tcMar>
              <w:left w:type="dxa" w:w="40"/>
              <w:right w:type="dxa" w:w="40"/>
            </w:tcMar>
            <w:vAlign w:val="center"/>
          </w:tcPr>
          <w:p w14:paraId="B6090000">
            <w:pPr>
              <w:ind/>
              <w:jc w:val="center"/>
              <w:rPr>
                <w:sz w:val="20"/>
              </w:rPr>
            </w:pPr>
            <w:r>
              <w:rPr>
                <w:sz w:val="20"/>
              </w:rPr>
              <w:t>0,094</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B7090000">
            <w:pPr>
              <w:ind/>
              <w:jc w:val="center"/>
              <w:rPr>
                <w:sz w:val="20"/>
              </w:rPr>
            </w:pPr>
            <w:r>
              <w:rPr>
                <w:sz w:val="20"/>
              </w:rPr>
              <w:t>0,051</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B8090000">
            <w:pPr>
              <w:ind/>
              <w:jc w:val="center"/>
              <w:rPr>
                <w:sz w:val="20"/>
              </w:rPr>
            </w:pPr>
            <w:r>
              <w:rPr>
                <w:sz w:val="20"/>
              </w:rPr>
              <w:t>0,043</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B9090000">
            <w:pPr>
              <w:ind/>
              <w:jc w:val="center"/>
              <w:rPr>
                <w:sz w:val="20"/>
              </w:rPr>
            </w:pPr>
            <w:r>
              <w:rPr>
                <w:sz w:val="20"/>
              </w:rPr>
              <w:t>-</w:t>
            </w:r>
          </w:p>
        </w:tc>
      </w:tr>
      <w:tr>
        <w:trPr>
          <w:trHeight w:hRule="exact" w:val="283"/>
        </w:trPr>
        <w:tc>
          <w:tcPr>
            <w:tcW w:type="dxa" w:w="3413"/>
            <w:tcBorders>
              <w:top w:sz="4" w:val="nil"/>
              <w:left w:color="000000" w:sz="4" w:val="single"/>
              <w:bottom w:color="000000" w:sz="4" w:val="single"/>
              <w:right w:color="000000" w:sz="4" w:val="single"/>
            </w:tcBorders>
            <w:tcMar>
              <w:left w:type="dxa" w:w="40"/>
              <w:right w:type="dxa" w:w="40"/>
            </w:tcMar>
            <w:vAlign w:val="center"/>
          </w:tcPr>
          <w:p w14:paraId="BA090000">
            <w:pPr>
              <w:ind/>
              <w:jc w:val="center"/>
              <w:rPr>
                <w:sz w:val="20"/>
              </w:rPr>
            </w:pPr>
            <w:r>
              <w:rPr>
                <w:sz w:val="20"/>
              </w:rPr>
              <w:t>с. Куйбышево, ул. Цветаева, 31</w:t>
            </w:r>
          </w:p>
        </w:tc>
        <w:tc>
          <w:tcPr>
            <w:tcW w:type="dxa" w:w="1405"/>
            <w:tcBorders>
              <w:top w:sz="4" w:val="nil"/>
              <w:left w:sz="4" w:val="nil"/>
              <w:bottom w:color="000000" w:sz="4" w:val="single"/>
              <w:right w:color="000000" w:sz="4" w:val="single"/>
            </w:tcBorders>
            <w:tcMar>
              <w:left w:type="dxa" w:w="40"/>
              <w:right w:type="dxa" w:w="40"/>
            </w:tcMar>
            <w:vAlign w:val="center"/>
          </w:tcPr>
          <w:p w14:paraId="BB090000">
            <w:pPr>
              <w:ind/>
              <w:jc w:val="center"/>
              <w:rPr>
                <w:sz w:val="20"/>
              </w:rPr>
            </w:pPr>
            <w:r>
              <w:rPr>
                <w:sz w:val="20"/>
              </w:rPr>
              <w:t>0,020</w:t>
            </w:r>
          </w:p>
        </w:tc>
        <w:tc>
          <w:tcPr>
            <w:tcW w:type="dxa" w:w="1405"/>
            <w:tcBorders>
              <w:top w:sz="4" w:val="nil"/>
              <w:left w:sz="4" w:val="nil"/>
              <w:bottom w:color="000000" w:sz="4" w:val="single"/>
              <w:right w:color="000000" w:sz="4" w:val="single"/>
            </w:tcBorders>
            <w:tcMar>
              <w:left w:type="dxa" w:w="40"/>
              <w:right w:type="dxa" w:w="40"/>
            </w:tcMar>
            <w:vAlign w:val="center"/>
          </w:tcPr>
          <w:p w14:paraId="BC090000">
            <w:pPr>
              <w:ind/>
              <w:jc w:val="center"/>
              <w:rPr>
                <w:sz w:val="20"/>
              </w:rPr>
            </w:pPr>
            <w:r>
              <w:rPr>
                <w:sz w:val="20"/>
              </w:rPr>
              <w:t>0,020</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BD090000">
            <w:pPr>
              <w:ind/>
              <w:jc w:val="center"/>
              <w:rPr>
                <w:sz w:val="20"/>
              </w:rPr>
            </w:pPr>
            <w:r>
              <w:rPr>
                <w:sz w:val="20"/>
              </w:rPr>
              <w:t>0,012</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BE090000">
            <w:pPr>
              <w:ind/>
              <w:jc w:val="center"/>
              <w:rPr>
                <w:sz w:val="20"/>
              </w:rPr>
            </w:pPr>
            <w:r>
              <w:rPr>
                <w:sz w:val="20"/>
              </w:rPr>
              <w:t>0,008</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BF090000">
            <w:pPr>
              <w:ind/>
              <w:jc w:val="center"/>
              <w:rPr>
                <w:sz w:val="20"/>
              </w:rPr>
            </w:pPr>
            <w:r>
              <w:rPr>
                <w:sz w:val="20"/>
              </w:rPr>
              <w:t>-</w:t>
            </w:r>
          </w:p>
        </w:tc>
      </w:tr>
      <w:tr>
        <w:trPr>
          <w:trHeight w:hRule="exact" w:val="292"/>
        </w:trPr>
        <w:tc>
          <w:tcPr>
            <w:tcW w:type="dxa" w:w="3413"/>
            <w:tcBorders>
              <w:top w:sz="4" w:val="nil"/>
              <w:left w:color="000000" w:sz="4" w:val="single"/>
              <w:bottom w:color="000000" w:sz="4" w:val="single"/>
              <w:right w:color="000000" w:sz="4" w:val="single"/>
            </w:tcBorders>
            <w:tcMar>
              <w:left w:type="dxa" w:w="40"/>
              <w:right w:type="dxa" w:w="40"/>
            </w:tcMar>
            <w:vAlign w:val="center"/>
          </w:tcPr>
          <w:p w14:paraId="C0090000">
            <w:pPr>
              <w:ind/>
              <w:jc w:val="center"/>
              <w:rPr>
                <w:sz w:val="20"/>
              </w:rPr>
            </w:pPr>
            <w:r>
              <w:rPr>
                <w:sz w:val="20"/>
              </w:rPr>
              <w:t>с. Куйбышево, ул. Куйбышевская, 24</w:t>
            </w:r>
          </w:p>
        </w:tc>
        <w:tc>
          <w:tcPr>
            <w:tcW w:type="dxa" w:w="1405"/>
            <w:tcBorders>
              <w:top w:sz="4" w:val="nil"/>
              <w:left w:sz="4" w:val="nil"/>
              <w:bottom w:color="000000" w:sz="4" w:val="single"/>
              <w:right w:color="000000" w:sz="4" w:val="single"/>
            </w:tcBorders>
            <w:tcMar>
              <w:left w:type="dxa" w:w="40"/>
              <w:right w:type="dxa" w:w="40"/>
            </w:tcMar>
            <w:vAlign w:val="center"/>
          </w:tcPr>
          <w:p w14:paraId="C1090000">
            <w:pPr>
              <w:ind/>
              <w:jc w:val="center"/>
              <w:rPr>
                <w:sz w:val="20"/>
              </w:rPr>
            </w:pPr>
            <w:r>
              <w:rPr>
                <w:sz w:val="20"/>
              </w:rPr>
              <w:t>0,165</w:t>
            </w:r>
          </w:p>
        </w:tc>
        <w:tc>
          <w:tcPr>
            <w:tcW w:type="dxa" w:w="1405"/>
            <w:tcBorders>
              <w:top w:sz="4" w:val="nil"/>
              <w:left w:sz="4" w:val="nil"/>
              <w:bottom w:color="000000" w:sz="4" w:val="single"/>
              <w:right w:color="000000" w:sz="4" w:val="single"/>
            </w:tcBorders>
            <w:tcMar>
              <w:left w:type="dxa" w:w="40"/>
              <w:right w:type="dxa" w:w="40"/>
            </w:tcMar>
            <w:vAlign w:val="center"/>
          </w:tcPr>
          <w:p w14:paraId="C2090000">
            <w:pPr>
              <w:ind/>
              <w:jc w:val="center"/>
              <w:rPr>
                <w:sz w:val="20"/>
              </w:rPr>
            </w:pPr>
            <w:r>
              <w:rPr>
                <w:sz w:val="20"/>
              </w:rPr>
              <w:t>0,165</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C3090000">
            <w:pPr>
              <w:ind/>
              <w:jc w:val="center"/>
              <w:rPr>
                <w:sz w:val="20"/>
              </w:rPr>
            </w:pPr>
            <w:r>
              <w:rPr>
                <w:sz w:val="20"/>
              </w:rPr>
              <w:t>0,153</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C4090000">
            <w:pPr>
              <w:ind/>
              <w:jc w:val="center"/>
              <w:rPr>
                <w:sz w:val="20"/>
              </w:rPr>
            </w:pPr>
            <w:r>
              <w:rPr>
                <w:sz w:val="20"/>
              </w:rPr>
              <w:t>0,012</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C5090000">
            <w:pPr>
              <w:ind/>
              <w:jc w:val="center"/>
              <w:rPr>
                <w:sz w:val="20"/>
              </w:rPr>
            </w:pPr>
            <w:r>
              <w:rPr>
                <w:sz w:val="20"/>
              </w:rPr>
              <w:t>-</w:t>
            </w:r>
          </w:p>
        </w:tc>
      </w:tr>
      <w:tr>
        <w:trPr>
          <w:trHeight w:hRule="exact" w:val="282"/>
        </w:trPr>
        <w:tc>
          <w:tcPr>
            <w:tcW w:type="dxa" w:w="3413"/>
            <w:tcBorders>
              <w:top w:sz="4" w:val="nil"/>
              <w:left w:color="000000" w:sz="4" w:val="single"/>
              <w:bottom w:color="000000" w:sz="4" w:val="single"/>
              <w:right w:color="000000" w:sz="4" w:val="single"/>
            </w:tcBorders>
            <w:tcMar>
              <w:left w:type="dxa" w:w="40"/>
              <w:right w:type="dxa" w:w="40"/>
            </w:tcMar>
            <w:vAlign w:val="center"/>
          </w:tcPr>
          <w:p w14:paraId="C6090000">
            <w:pPr>
              <w:ind/>
              <w:jc w:val="center"/>
              <w:rPr>
                <w:sz w:val="20"/>
              </w:rPr>
            </w:pPr>
            <w:r>
              <w:rPr>
                <w:sz w:val="20"/>
              </w:rPr>
              <w:t>с. Куйбышево, ул. Куйбышевская, 20</w:t>
            </w:r>
          </w:p>
        </w:tc>
        <w:tc>
          <w:tcPr>
            <w:tcW w:type="dxa" w:w="1405"/>
            <w:tcBorders>
              <w:top w:sz="4" w:val="nil"/>
              <w:left w:sz="4" w:val="nil"/>
              <w:bottom w:color="000000" w:sz="4" w:val="single"/>
              <w:right w:color="000000" w:sz="4" w:val="single"/>
            </w:tcBorders>
            <w:tcMar>
              <w:left w:type="dxa" w:w="40"/>
              <w:right w:type="dxa" w:w="40"/>
            </w:tcMar>
            <w:vAlign w:val="center"/>
          </w:tcPr>
          <w:p w14:paraId="C7090000">
            <w:pPr>
              <w:ind/>
              <w:jc w:val="center"/>
              <w:rPr>
                <w:sz w:val="20"/>
              </w:rPr>
            </w:pPr>
            <w:r>
              <w:rPr>
                <w:sz w:val="20"/>
              </w:rPr>
              <w:t>0,027</w:t>
            </w:r>
          </w:p>
        </w:tc>
        <w:tc>
          <w:tcPr>
            <w:tcW w:type="dxa" w:w="1405"/>
            <w:tcBorders>
              <w:top w:sz="4" w:val="nil"/>
              <w:left w:sz="4" w:val="nil"/>
              <w:bottom w:color="000000" w:sz="4" w:val="single"/>
              <w:right w:color="000000" w:sz="4" w:val="single"/>
            </w:tcBorders>
            <w:tcMar>
              <w:left w:type="dxa" w:w="40"/>
              <w:right w:type="dxa" w:w="40"/>
            </w:tcMar>
            <w:vAlign w:val="center"/>
          </w:tcPr>
          <w:p w14:paraId="C8090000">
            <w:pPr>
              <w:ind/>
              <w:jc w:val="center"/>
              <w:rPr>
                <w:sz w:val="20"/>
              </w:rPr>
            </w:pPr>
            <w:r>
              <w:rPr>
                <w:sz w:val="20"/>
              </w:rPr>
              <w:t>0,027</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C9090000">
            <w:pPr>
              <w:ind/>
              <w:jc w:val="center"/>
              <w:rPr>
                <w:sz w:val="20"/>
              </w:rPr>
            </w:pPr>
            <w:r>
              <w:rPr>
                <w:sz w:val="20"/>
              </w:rPr>
              <w:t>0,021</w:t>
            </w:r>
          </w:p>
        </w:tc>
        <w:tc>
          <w:tcPr>
            <w:tcW w:type="dxa" w:w="935"/>
            <w:tcBorders>
              <w:top w:color="000000" w:sz="4" w:val="single"/>
              <w:left w:sz="4" w:val="nil"/>
              <w:bottom w:color="000000" w:sz="4" w:val="single"/>
              <w:right w:color="000000" w:sz="4" w:val="single"/>
            </w:tcBorders>
            <w:tcMar>
              <w:left w:type="dxa" w:w="40"/>
              <w:right w:type="dxa" w:w="40"/>
            </w:tcMar>
            <w:vAlign w:val="center"/>
          </w:tcPr>
          <w:p w14:paraId="CA090000">
            <w:pPr>
              <w:ind/>
              <w:jc w:val="center"/>
              <w:rPr>
                <w:sz w:val="20"/>
              </w:rPr>
            </w:pPr>
            <w:r>
              <w:rPr>
                <w:sz w:val="20"/>
              </w:rPr>
              <w:t>0,006</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CB090000">
            <w:pPr>
              <w:ind/>
              <w:jc w:val="center"/>
              <w:rPr>
                <w:sz w:val="20"/>
              </w:rPr>
            </w:pPr>
            <w:r>
              <w:rPr>
                <w:sz w:val="20"/>
              </w:rPr>
              <w:t>-</w:t>
            </w:r>
          </w:p>
        </w:tc>
      </w:tr>
      <w:tr>
        <w:trPr>
          <w:trHeight w:hRule="exact" w:val="247"/>
        </w:trPr>
        <w:tc>
          <w:tcPr>
            <w:tcW w:type="dxa" w:w="3413"/>
            <w:tcBorders>
              <w:top w:sz="4" w:val="nil"/>
              <w:left w:color="000000" w:sz="4" w:val="single"/>
              <w:bottom w:color="000000" w:sz="4" w:val="single"/>
              <w:right w:color="000000" w:sz="4" w:val="single"/>
            </w:tcBorders>
            <w:tcMar>
              <w:left w:type="dxa" w:w="40"/>
              <w:right w:type="dxa" w:w="40"/>
            </w:tcMar>
            <w:vAlign w:val="center"/>
          </w:tcPr>
          <w:p w14:paraId="CC090000">
            <w:pPr>
              <w:ind/>
              <w:jc w:val="center"/>
              <w:rPr>
                <w:sz w:val="20"/>
              </w:rPr>
            </w:pPr>
            <w:r>
              <w:rPr>
                <w:sz w:val="20"/>
              </w:rPr>
              <w:t>с. Куйбышево, ул. Миусская, 3</w:t>
            </w:r>
          </w:p>
        </w:tc>
        <w:tc>
          <w:tcPr>
            <w:tcW w:type="dxa" w:w="1405"/>
            <w:tcBorders>
              <w:top w:sz="4" w:val="nil"/>
              <w:left w:sz="4" w:val="nil"/>
              <w:bottom w:color="000000" w:sz="4" w:val="single"/>
              <w:right w:color="000000" w:sz="4" w:val="single"/>
            </w:tcBorders>
            <w:tcMar>
              <w:left w:type="dxa" w:w="40"/>
              <w:right w:type="dxa" w:w="40"/>
            </w:tcMar>
            <w:vAlign w:val="center"/>
          </w:tcPr>
          <w:p w14:paraId="CD090000">
            <w:pPr>
              <w:ind/>
              <w:jc w:val="center"/>
              <w:rPr>
                <w:sz w:val="20"/>
              </w:rPr>
            </w:pPr>
            <w:r>
              <w:rPr>
                <w:sz w:val="20"/>
              </w:rPr>
              <w:t>0,165</w:t>
            </w:r>
          </w:p>
        </w:tc>
        <w:tc>
          <w:tcPr>
            <w:tcW w:type="dxa" w:w="1405"/>
            <w:tcBorders>
              <w:top w:sz="4" w:val="nil"/>
              <w:left w:sz="4" w:val="nil"/>
              <w:bottom w:color="000000" w:sz="4" w:val="single"/>
              <w:right w:color="000000" w:sz="4" w:val="single"/>
            </w:tcBorders>
            <w:tcMar>
              <w:left w:type="dxa" w:w="40"/>
              <w:right w:type="dxa" w:w="40"/>
            </w:tcMar>
            <w:vAlign w:val="center"/>
          </w:tcPr>
          <w:p w14:paraId="CE090000">
            <w:pPr>
              <w:ind/>
              <w:jc w:val="center"/>
              <w:rPr>
                <w:sz w:val="20"/>
              </w:rPr>
            </w:pPr>
            <w:r>
              <w:rPr>
                <w:sz w:val="20"/>
              </w:rPr>
              <w:t>0,165</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CF090000">
            <w:pPr>
              <w:ind/>
              <w:jc w:val="center"/>
              <w:rPr>
                <w:sz w:val="20"/>
              </w:rPr>
            </w:pPr>
            <w:r>
              <w:rPr>
                <w:sz w:val="20"/>
              </w:rPr>
              <w:t>0,105</w:t>
            </w:r>
          </w:p>
        </w:tc>
        <w:tc>
          <w:tcPr>
            <w:tcW w:type="dxa" w:w="935"/>
            <w:tcBorders>
              <w:top w:color="000000" w:sz="4" w:val="single"/>
              <w:left w:color="000000" w:sz="4" w:val="single"/>
              <w:bottom w:color="000000" w:sz="4" w:val="single"/>
              <w:right w:color="000000" w:sz="4" w:val="single"/>
            </w:tcBorders>
            <w:tcMar>
              <w:left w:type="dxa" w:w="40"/>
              <w:right w:type="dxa" w:w="40"/>
            </w:tcMar>
            <w:vAlign w:val="center"/>
          </w:tcPr>
          <w:p w14:paraId="D0090000">
            <w:pPr>
              <w:ind/>
              <w:jc w:val="center"/>
              <w:rPr>
                <w:sz w:val="20"/>
              </w:rPr>
            </w:pPr>
            <w:r>
              <w:rPr>
                <w:sz w:val="20"/>
              </w:rPr>
              <w:t>0,06</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D1090000">
            <w:pPr>
              <w:ind/>
              <w:jc w:val="center"/>
              <w:rPr>
                <w:sz w:val="20"/>
              </w:rPr>
            </w:pPr>
            <w:r>
              <w:rPr>
                <w:sz w:val="20"/>
              </w:rPr>
              <w:t>-</w:t>
            </w:r>
          </w:p>
        </w:tc>
      </w:tr>
      <w:tr>
        <w:trPr>
          <w:trHeight w:hRule="exact" w:val="261"/>
        </w:trPr>
        <w:tc>
          <w:tcPr>
            <w:tcW w:type="dxa" w:w="3413"/>
            <w:tcBorders>
              <w:top w:sz="4" w:val="nil"/>
              <w:left w:color="000000" w:sz="4" w:val="single"/>
              <w:bottom w:color="000000" w:sz="4" w:val="single"/>
              <w:right w:color="000000" w:sz="4" w:val="single"/>
            </w:tcBorders>
            <w:tcMar>
              <w:left w:type="dxa" w:w="40"/>
              <w:right w:type="dxa" w:w="40"/>
            </w:tcMar>
            <w:vAlign w:val="center"/>
          </w:tcPr>
          <w:p w14:paraId="D2090000">
            <w:pPr>
              <w:ind/>
              <w:jc w:val="center"/>
              <w:rPr>
                <w:sz w:val="20"/>
              </w:rPr>
            </w:pPr>
            <w:r>
              <w:rPr>
                <w:sz w:val="20"/>
              </w:rPr>
              <w:t>с. Куйбышево, ул. Миусская, 3</w:t>
            </w:r>
          </w:p>
        </w:tc>
        <w:tc>
          <w:tcPr>
            <w:tcW w:type="dxa" w:w="1405"/>
            <w:tcBorders>
              <w:top w:sz="4" w:val="nil"/>
              <w:left w:sz="4" w:val="nil"/>
              <w:bottom w:color="000000" w:sz="4" w:val="single"/>
              <w:right w:color="000000" w:sz="4" w:val="single"/>
            </w:tcBorders>
            <w:tcMar>
              <w:left w:type="dxa" w:w="40"/>
              <w:right w:type="dxa" w:w="40"/>
            </w:tcMar>
            <w:vAlign w:val="center"/>
          </w:tcPr>
          <w:p w14:paraId="D3090000">
            <w:pPr>
              <w:ind/>
              <w:jc w:val="center"/>
              <w:rPr>
                <w:sz w:val="20"/>
              </w:rPr>
            </w:pPr>
            <w:r>
              <w:rPr>
                <w:sz w:val="20"/>
              </w:rPr>
              <w:t>0,086</w:t>
            </w:r>
          </w:p>
        </w:tc>
        <w:tc>
          <w:tcPr>
            <w:tcW w:type="dxa" w:w="1405"/>
            <w:tcBorders>
              <w:top w:sz="4" w:val="nil"/>
              <w:left w:sz="4" w:val="nil"/>
              <w:bottom w:color="000000" w:sz="4" w:val="single"/>
              <w:right w:color="000000" w:sz="4" w:val="single"/>
            </w:tcBorders>
            <w:tcMar>
              <w:left w:type="dxa" w:w="40"/>
              <w:right w:type="dxa" w:w="40"/>
            </w:tcMar>
            <w:vAlign w:val="center"/>
          </w:tcPr>
          <w:p w14:paraId="D4090000">
            <w:pPr>
              <w:ind/>
              <w:jc w:val="center"/>
              <w:rPr>
                <w:sz w:val="20"/>
              </w:rPr>
            </w:pPr>
            <w:r>
              <w:rPr>
                <w:sz w:val="20"/>
              </w:rPr>
              <w:t>0,086</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D5090000">
            <w:pPr>
              <w:ind/>
              <w:jc w:val="center"/>
              <w:rPr>
                <w:sz w:val="20"/>
              </w:rPr>
            </w:pPr>
            <w:r>
              <w:rPr>
                <w:sz w:val="20"/>
              </w:rPr>
              <w:t>0,060</w:t>
            </w:r>
          </w:p>
        </w:tc>
        <w:tc>
          <w:tcPr>
            <w:tcW w:type="dxa" w:w="935"/>
            <w:tcBorders>
              <w:top w:color="000000" w:sz="4" w:val="single"/>
              <w:left w:color="000000" w:sz="4" w:val="single"/>
              <w:bottom w:color="000000" w:sz="4" w:val="single"/>
              <w:right w:color="000000" w:sz="4" w:val="single"/>
            </w:tcBorders>
            <w:tcMar>
              <w:left w:type="dxa" w:w="40"/>
              <w:right w:type="dxa" w:w="40"/>
            </w:tcMar>
            <w:vAlign w:val="center"/>
          </w:tcPr>
          <w:p w14:paraId="D6090000">
            <w:pPr>
              <w:ind/>
              <w:jc w:val="center"/>
              <w:rPr>
                <w:sz w:val="20"/>
              </w:rPr>
            </w:pPr>
            <w:r>
              <w:rPr>
                <w:sz w:val="20"/>
              </w:rPr>
              <w:t>0,026</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D7090000">
            <w:pPr>
              <w:ind/>
              <w:jc w:val="center"/>
              <w:rPr>
                <w:sz w:val="20"/>
              </w:rPr>
            </w:pPr>
            <w:r>
              <w:rPr>
                <w:sz w:val="20"/>
              </w:rPr>
              <w:t>-</w:t>
            </w:r>
          </w:p>
        </w:tc>
      </w:tr>
      <w:tr>
        <w:trPr>
          <w:trHeight w:hRule="exact" w:val="211"/>
        </w:trPr>
        <w:tc>
          <w:tcPr>
            <w:tcW w:type="dxa" w:w="3413"/>
            <w:tcBorders>
              <w:top w:sz="4" w:val="nil"/>
              <w:left w:color="000000" w:sz="4" w:val="single"/>
              <w:bottom w:color="000000" w:sz="4" w:val="single"/>
              <w:right w:color="000000" w:sz="4" w:val="single"/>
            </w:tcBorders>
            <w:tcMar>
              <w:left w:type="dxa" w:w="40"/>
              <w:right w:type="dxa" w:w="40"/>
            </w:tcMar>
            <w:vAlign w:val="center"/>
          </w:tcPr>
          <w:p w14:paraId="D8090000">
            <w:pPr>
              <w:ind/>
              <w:jc w:val="center"/>
              <w:rPr>
                <w:sz w:val="20"/>
              </w:rPr>
            </w:pPr>
            <w:r>
              <w:rPr>
                <w:sz w:val="20"/>
              </w:rPr>
              <w:t>с. Куйбышево, ул. Миусская, 3</w:t>
            </w:r>
          </w:p>
        </w:tc>
        <w:tc>
          <w:tcPr>
            <w:tcW w:type="dxa" w:w="1405"/>
            <w:tcBorders>
              <w:top w:sz="4" w:val="nil"/>
              <w:left w:sz="4" w:val="nil"/>
              <w:bottom w:color="000000" w:sz="4" w:val="single"/>
              <w:right w:color="000000" w:sz="4" w:val="single"/>
            </w:tcBorders>
            <w:tcMar>
              <w:left w:type="dxa" w:w="40"/>
              <w:right w:type="dxa" w:w="40"/>
            </w:tcMar>
            <w:vAlign w:val="center"/>
          </w:tcPr>
          <w:p w14:paraId="D9090000">
            <w:pPr>
              <w:ind/>
              <w:jc w:val="center"/>
              <w:rPr>
                <w:sz w:val="20"/>
              </w:rPr>
            </w:pPr>
            <w:r>
              <w:rPr>
                <w:sz w:val="20"/>
              </w:rPr>
              <w:t>0,019</w:t>
            </w:r>
          </w:p>
        </w:tc>
        <w:tc>
          <w:tcPr>
            <w:tcW w:type="dxa" w:w="1405"/>
            <w:tcBorders>
              <w:top w:sz="4" w:val="nil"/>
              <w:left w:sz="4" w:val="nil"/>
              <w:bottom w:color="000000" w:sz="4" w:val="single"/>
              <w:right w:color="000000" w:sz="4" w:val="single"/>
            </w:tcBorders>
            <w:tcMar>
              <w:left w:type="dxa" w:w="40"/>
              <w:right w:type="dxa" w:w="40"/>
            </w:tcMar>
            <w:vAlign w:val="center"/>
          </w:tcPr>
          <w:p w14:paraId="DA090000">
            <w:pPr>
              <w:ind/>
              <w:jc w:val="center"/>
              <w:rPr>
                <w:sz w:val="20"/>
              </w:rPr>
            </w:pPr>
            <w:r>
              <w:rPr>
                <w:sz w:val="20"/>
              </w:rPr>
              <w:t>0,019</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DB090000">
            <w:pPr>
              <w:ind/>
              <w:jc w:val="center"/>
              <w:rPr>
                <w:sz w:val="20"/>
              </w:rPr>
            </w:pPr>
            <w:r>
              <w:rPr>
                <w:sz w:val="20"/>
              </w:rPr>
              <w:t>0,017</w:t>
            </w:r>
          </w:p>
        </w:tc>
        <w:tc>
          <w:tcPr>
            <w:tcW w:type="dxa" w:w="935"/>
            <w:tcBorders>
              <w:top w:color="000000" w:sz="4" w:val="single"/>
              <w:left w:color="000000" w:sz="4" w:val="single"/>
              <w:bottom w:color="000000" w:sz="4" w:val="single"/>
              <w:right w:color="000000" w:sz="4" w:val="single"/>
            </w:tcBorders>
            <w:tcMar>
              <w:left w:type="dxa" w:w="40"/>
              <w:right w:type="dxa" w:w="40"/>
            </w:tcMar>
            <w:vAlign w:val="center"/>
          </w:tcPr>
          <w:p w14:paraId="DC090000">
            <w:pPr>
              <w:ind/>
              <w:jc w:val="center"/>
              <w:rPr>
                <w:sz w:val="20"/>
              </w:rPr>
            </w:pPr>
            <w:r>
              <w:rPr>
                <w:sz w:val="20"/>
              </w:rPr>
              <w:t>0,002</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DD090000">
            <w:pPr>
              <w:ind/>
              <w:jc w:val="center"/>
              <w:rPr>
                <w:sz w:val="20"/>
              </w:rPr>
            </w:pPr>
            <w:r>
              <w:rPr>
                <w:sz w:val="20"/>
              </w:rPr>
              <w:t>-</w:t>
            </w:r>
          </w:p>
        </w:tc>
      </w:tr>
      <w:tr>
        <w:trPr>
          <w:trHeight w:hRule="exact" w:val="226"/>
        </w:trPr>
        <w:tc>
          <w:tcPr>
            <w:tcW w:type="dxa" w:w="3413"/>
            <w:tcBorders>
              <w:top w:sz="4" w:val="nil"/>
              <w:left w:color="000000" w:sz="4" w:val="single"/>
              <w:bottom w:color="000000" w:sz="4" w:val="single"/>
              <w:right w:color="000000" w:sz="4" w:val="single"/>
            </w:tcBorders>
            <w:tcMar>
              <w:left w:type="dxa" w:w="40"/>
              <w:right w:type="dxa" w:w="40"/>
            </w:tcMar>
            <w:vAlign w:val="center"/>
          </w:tcPr>
          <w:p w14:paraId="DE090000">
            <w:pPr>
              <w:ind/>
              <w:jc w:val="center"/>
              <w:rPr>
                <w:sz w:val="20"/>
              </w:rPr>
            </w:pPr>
            <w:r>
              <w:rPr>
                <w:sz w:val="20"/>
              </w:rPr>
              <w:t xml:space="preserve">с. Куйбышево, </w:t>
            </w:r>
            <w:r>
              <w:rPr>
                <w:sz w:val="20"/>
              </w:rPr>
              <w:t>ул. Миусская, 3</w:t>
            </w:r>
          </w:p>
        </w:tc>
        <w:tc>
          <w:tcPr>
            <w:tcW w:type="dxa" w:w="1405"/>
            <w:tcBorders>
              <w:top w:sz="4" w:val="nil"/>
              <w:left w:sz="4" w:val="nil"/>
              <w:bottom w:color="000000" w:sz="4" w:val="single"/>
              <w:right w:color="000000" w:sz="4" w:val="single"/>
            </w:tcBorders>
            <w:tcMar>
              <w:left w:type="dxa" w:w="40"/>
              <w:right w:type="dxa" w:w="40"/>
            </w:tcMar>
            <w:vAlign w:val="center"/>
          </w:tcPr>
          <w:p w14:paraId="DF090000">
            <w:pPr>
              <w:ind/>
              <w:jc w:val="center"/>
              <w:rPr>
                <w:sz w:val="20"/>
              </w:rPr>
            </w:pPr>
            <w:r>
              <w:rPr>
                <w:sz w:val="20"/>
              </w:rPr>
              <w:t>0,020</w:t>
            </w:r>
          </w:p>
        </w:tc>
        <w:tc>
          <w:tcPr>
            <w:tcW w:type="dxa" w:w="1405"/>
            <w:tcBorders>
              <w:top w:sz="4" w:val="nil"/>
              <w:left w:sz="4" w:val="nil"/>
              <w:bottom w:color="000000" w:sz="4" w:val="single"/>
              <w:right w:color="000000" w:sz="4" w:val="single"/>
            </w:tcBorders>
            <w:tcMar>
              <w:left w:type="dxa" w:w="40"/>
              <w:right w:type="dxa" w:w="40"/>
            </w:tcMar>
            <w:vAlign w:val="center"/>
          </w:tcPr>
          <w:p w14:paraId="E0090000">
            <w:pPr>
              <w:ind/>
              <w:jc w:val="center"/>
              <w:rPr>
                <w:sz w:val="20"/>
              </w:rPr>
            </w:pPr>
            <w:r>
              <w:rPr>
                <w:sz w:val="20"/>
              </w:rPr>
              <w:t>0,020</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E1090000">
            <w:pPr>
              <w:ind/>
              <w:jc w:val="center"/>
              <w:rPr>
                <w:sz w:val="20"/>
              </w:rPr>
            </w:pPr>
            <w:r>
              <w:rPr>
                <w:sz w:val="20"/>
              </w:rPr>
              <w:t>0,019</w:t>
            </w:r>
          </w:p>
        </w:tc>
        <w:tc>
          <w:tcPr>
            <w:tcW w:type="dxa" w:w="935"/>
            <w:tcBorders>
              <w:top w:color="000000" w:sz="4" w:val="single"/>
              <w:left w:color="000000" w:sz="4" w:val="single"/>
              <w:bottom w:color="000000" w:sz="4" w:val="single"/>
              <w:right w:color="000000" w:sz="4" w:val="single"/>
            </w:tcBorders>
            <w:tcMar>
              <w:left w:type="dxa" w:w="40"/>
              <w:right w:type="dxa" w:w="40"/>
            </w:tcMar>
            <w:vAlign w:val="center"/>
          </w:tcPr>
          <w:p w14:paraId="E2090000">
            <w:pPr>
              <w:ind/>
              <w:jc w:val="center"/>
              <w:rPr>
                <w:sz w:val="20"/>
              </w:rPr>
            </w:pPr>
            <w:r>
              <w:rPr>
                <w:sz w:val="20"/>
              </w:rPr>
              <w:t>0,001</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E3090000">
            <w:pPr>
              <w:ind/>
              <w:jc w:val="center"/>
              <w:rPr>
                <w:sz w:val="20"/>
              </w:rPr>
            </w:pPr>
            <w:r>
              <w:rPr>
                <w:sz w:val="20"/>
              </w:rPr>
              <w:t>-</w:t>
            </w:r>
          </w:p>
        </w:tc>
      </w:tr>
      <w:tr>
        <w:trPr>
          <w:trHeight w:hRule="exact" w:val="256"/>
        </w:trPr>
        <w:tc>
          <w:tcPr>
            <w:tcW w:type="dxa" w:w="3413"/>
            <w:tcBorders>
              <w:top w:sz="4" w:val="nil"/>
              <w:left w:color="000000" w:sz="4" w:val="single"/>
              <w:bottom w:color="000000" w:sz="4" w:val="single"/>
              <w:right w:color="000000" w:sz="4" w:val="single"/>
            </w:tcBorders>
            <w:tcMar>
              <w:left w:type="dxa" w:w="40"/>
              <w:right w:type="dxa" w:w="40"/>
            </w:tcMar>
            <w:vAlign w:val="center"/>
          </w:tcPr>
          <w:p w14:paraId="E4090000">
            <w:pPr>
              <w:ind/>
              <w:jc w:val="center"/>
              <w:rPr>
                <w:sz w:val="20"/>
              </w:rPr>
            </w:pPr>
            <w:r>
              <w:rPr>
                <w:sz w:val="20"/>
              </w:rPr>
              <w:t>с. Куйбышево, ул. Миусская, 3</w:t>
            </w:r>
          </w:p>
        </w:tc>
        <w:tc>
          <w:tcPr>
            <w:tcW w:type="dxa" w:w="1405"/>
            <w:tcBorders>
              <w:top w:sz="4" w:val="nil"/>
              <w:left w:sz="4" w:val="nil"/>
              <w:bottom w:color="000000" w:sz="4" w:val="single"/>
              <w:right w:color="000000" w:sz="4" w:val="single"/>
            </w:tcBorders>
            <w:tcMar>
              <w:left w:type="dxa" w:w="40"/>
              <w:right w:type="dxa" w:w="40"/>
            </w:tcMar>
            <w:vAlign w:val="center"/>
          </w:tcPr>
          <w:p w14:paraId="E5090000">
            <w:pPr>
              <w:ind/>
              <w:jc w:val="center"/>
              <w:rPr>
                <w:sz w:val="20"/>
              </w:rPr>
            </w:pPr>
            <w:r>
              <w:rPr>
                <w:sz w:val="20"/>
              </w:rPr>
              <w:t>0,011</w:t>
            </w:r>
          </w:p>
        </w:tc>
        <w:tc>
          <w:tcPr>
            <w:tcW w:type="dxa" w:w="1405"/>
            <w:tcBorders>
              <w:top w:sz="4" w:val="nil"/>
              <w:left w:sz="4" w:val="nil"/>
              <w:bottom w:color="000000" w:sz="4" w:val="single"/>
              <w:right w:color="000000" w:sz="4" w:val="single"/>
            </w:tcBorders>
            <w:tcMar>
              <w:left w:type="dxa" w:w="40"/>
              <w:right w:type="dxa" w:w="40"/>
            </w:tcMar>
            <w:vAlign w:val="center"/>
          </w:tcPr>
          <w:p w14:paraId="E6090000">
            <w:pPr>
              <w:ind/>
              <w:jc w:val="center"/>
              <w:rPr>
                <w:sz w:val="20"/>
              </w:rPr>
            </w:pPr>
            <w:r>
              <w:rPr>
                <w:sz w:val="20"/>
              </w:rPr>
              <w:t>0,011</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E7090000">
            <w:pPr>
              <w:ind/>
              <w:jc w:val="center"/>
              <w:rPr>
                <w:sz w:val="20"/>
              </w:rPr>
            </w:pPr>
            <w:r>
              <w:rPr>
                <w:sz w:val="20"/>
              </w:rPr>
              <w:t>0,011</w:t>
            </w:r>
          </w:p>
        </w:tc>
        <w:tc>
          <w:tcPr>
            <w:tcW w:type="dxa" w:w="935"/>
            <w:tcBorders>
              <w:top w:color="000000" w:sz="4" w:val="single"/>
              <w:left w:color="000000" w:sz="4" w:val="single"/>
              <w:bottom w:color="000000" w:sz="4" w:val="single"/>
              <w:right w:color="000000" w:sz="4" w:val="single"/>
            </w:tcBorders>
            <w:tcMar>
              <w:left w:type="dxa" w:w="40"/>
              <w:right w:type="dxa" w:w="40"/>
            </w:tcMar>
            <w:vAlign w:val="center"/>
          </w:tcPr>
          <w:p w14:paraId="E8090000">
            <w:pPr>
              <w:ind/>
              <w:jc w:val="center"/>
              <w:rPr>
                <w:sz w:val="20"/>
              </w:rPr>
            </w:pPr>
            <w:r>
              <w:rPr>
                <w:sz w:val="20"/>
              </w:rPr>
              <w:t>-</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E9090000">
            <w:pPr>
              <w:ind/>
              <w:jc w:val="center"/>
              <w:rPr>
                <w:sz w:val="20"/>
              </w:rPr>
            </w:pPr>
            <w:r>
              <w:rPr>
                <w:sz w:val="20"/>
              </w:rPr>
              <w:t>-</w:t>
            </w:r>
          </w:p>
        </w:tc>
      </w:tr>
      <w:tr>
        <w:trPr>
          <w:trHeight w:hRule="exact" w:val="241"/>
        </w:trPr>
        <w:tc>
          <w:tcPr>
            <w:tcW w:type="dxa" w:w="3413"/>
            <w:tcBorders>
              <w:top w:sz="4" w:val="nil"/>
              <w:left w:color="000000" w:sz="4" w:val="single"/>
              <w:bottom w:color="000000" w:sz="4" w:val="single"/>
              <w:right w:color="000000" w:sz="4" w:val="single"/>
            </w:tcBorders>
            <w:tcMar>
              <w:left w:type="dxa" w:w="40"/>
              <w:right w:type="dxa" w:w="40"/>
            </w:tcMar>
            <w:vAlign w:val="center"/>
          </w:tcPr>
          <w:p w14:paraId="EA090000">
            <w:pPr>
              <w:ind/>
              <w:jc w:val="center"/>
              <w:rPr>
                <w:sz w:val="20"/>
              </w:rPr>
            </w:pPr>
            <w:r>
              <w:rPr>
                <w:sz w:val="20"/>
              </w:rPr>
              <w:t>с. Куйбышево, ул. Миусская, 3</w:t>
            </w:r>
          </w:p>
        </w:tc>
        <w:tc>
          <w:tcPr>
            <w:tcW w:type="dxa" w:w="1405"/>
            <w:tcBorders>
              <w:top w:sz="4" w:val="nil"/>
              <w:left w:sz="4" w:val="nil"/>
              <w:bottom w:color="000000" w:sz="4" w:val="single"/>
              <w:right w:color="000000" w:sz="4" w:val="single"/>
            </w:tcBorders>
            <w:tcMar>
              <w:left w:type="dxa" w:w="40"/>
              <w:right w:type="dxa" w:w="40"/>
            </w:tcMar>
            <w:vAlign w:val="center"/>
          </w:tcPr>
          <w:p w14:paraId="EB090000">
            <w:pPr>
              <w:ind/>
              <w:jc w:val="center"/>
              <w:rPr>
                <w:sz w:val="20"/>
              </w:rPr>
            </w:pPr>
            <w:r>
              <w:rPr>
                <w:sz w:val="20"/>
              </w:rPr>
              <w:t>0,027</w:t>
            </w:r>
          </w:p>
        </w:tc>
        <w:tc>
          <w:tcPr>
            <w:tcW w:type="dxa" w:w="1405"/>
            <w:tcBorders>
              <w:top w:sz="4" w:val="nil"/>
              <w:left w:sz="4" w:val="nil"/>
              <w:bottom w:color="000000" w:sz="4" w:val="single"/>
              <w:right w:color="000000" w:sz="4" w:val="single"/>
            </w:tcBorders>
            <w:tcMar>
              <w:left w:type="dxa" w:w="40"/>
              <w:right w:type="dxa" w:w="40"/>
            </w:tcMar>
            <w:vAlign w:val="center"/>
          </w:tcPr>
          <w:p w14:paraId="EC090000">
            <w:pPr>
              <w:ind/>
              <w:jc w:val="center"/>
              <w:rPr>
                <w:sz w:val="20"/>
              </w:rPr>
            </w:pPr>
            <w:r>
              <w:rPr>
                <w:sz w:val="20"/>
              </w:rPr>
              <w:t>0,027</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ED090000">
            <w:pPr>
              <w:ind/>
              <w:jc w:val="center"/>
              <w:rPr>
                <w:sz w:val="20"/>
              </w:rPr>
            </w:pPr>
            <w:r>
              <w:rPr>
                <w:sz w:val="20"/>
              </w:rPr>
              <w:t>0,010</w:t>
            </w:r>
          </w:p>
        </w:tc>
        <w:tc>
          <w:tcPr>
            <w:tcW w:type="dxa" w:w="935"/>
            <w:tcBorders>
              <w:top w:color="000000" w:sz="4" w:val="single"/>
              <w:left w:color="000000" w:sz="4" w:val="single"/>
              <w:bottom w:color="000000" w:sz="4" w:val="single"/>
              <w:right w:color="000000" w:sz="4" w:val="single"/>
            </w:tcBorders>
            <w:tcMar>
              <w:left w:type="dxa" w:w="40"/>
              <w:right w:type="dxa" w:w="40"/>
            </w:tcMar>
            <w:vAlign w:val="center"/>
          </w:tcPr>
          <w:p w14:paraId="EE090000">
            <w:pPr>
              <w:ind/>
              <w:jc w:val="center"/>
              <w:rPr>
                <w:sz w:val="20"/>
              </w:rPr>
            </w:pPr>
            <w:r>
              <w:rPr>
                <w:sz w:val="20"/>
              </w:rPr>
              <w:t>0,017</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EF090000">
            <w:pPr>
              <w:ind/>
              <w:jc w:val="center"/>
              <w:rPr>
                <w:sz w:val="20"/>
              </w:rPr>
            </w:pPr>
            <w:r>
              <w:rPr>
                <w:sz w:val="20"/>
              </w:rPr>
              <w:t>-</w:t>
            </w:r>
          </w:p>
        </w:tc>
      </w:tr>
      <w:tr>
        <w:trPr>
          <w:trHeight w:hRule="exact" w:val="226"/>
        </w:trPr>
        <w:tc>
          <w:tcPr>
            <w:tcW w:type="dxa" w:w="3413"/>
            <w:tcBorders>
              <w:top w:sz="4" w:val="nil"/>
              <w:left w:color="000000" w:sz="4" w:val="single"/>
              <w:bottom w:color="000000" w:sz="4" w:val="single"/>
              <w:right w:color="000000" w:sz="4" w:val="single"/>
            </w:tcBorders>
            <w:tcMar>
              <w:left w:type="dxa" w:w="40"/>
              <w:right w:type="dxa" w:w="40"/>
            </w:tcMar>
            <w:vAlign w:val="center"/>
          </w:tcPr>
          <w:p w14:paraId="F0090000">
            <w:pPr>
              <w:ind/>
              <w:jc w:val="center"/>
              <w:rPr>
                <w:sz w:val="20"/>
              </w:rPr>
            </w:pPr>
            <w:r>
              <w:rPr>
                <w:sz w:val="20"/>
              </w:rPr>
              <w:t>с. Куйбышево, ул. Миусская, 3</w:t>
            </w:r>
          </w:p>
        </w:tc>
        <w:tc>
          <w:tcPr>
            <w:tcW w:type="dxa" w:w="1405"/>
            <w:tcBorders>
              <w:top w:sz="4" w:val="nil"/>
              <w:left w:sz="4" w:val="nil"/>
              <w:bottom w:color="000000" w:sz="4" w:val="single"/>
              <w:right w:color="000000" w:sz="4" w:val="single"/>
            </w:tcBorders>
            <w:tcMar>
              <w:left w:type="dxa" w:w="40"/>
              <w:right w:type="dxa" w:w="40"/>
            </w:tcMar>
            <w:vAlign w:val="center"/>
          </w:tcPr>
          <w:p w14:paraId="F1090000">
            <w:pPr>
              <w:ind/>
              <w:jc w:val="center"/>
              <w:rPr>
                <w:sz w:val="20"/>
              </w:rPr>
            </w:pPr>
            <w:r>
              <w:rPr>
                <w:sz w:val="20"/>
              </w:rPr>
              <w:t>0,010</w:t>
            </w:r>
          </w:p>
        </w:tc>
        <w:tc>
          <w:tcPr>
            <w:tcW w:type="dxa" w:w="1405"/>
            <w:tcBorders>
              <w:top w:sz="4" w:val="nil"/>
              <w:left w:sz="4" w:val="nil"/>
              <w:bottom w:color="000000" w:sz="4" w:val="single"/>
              <w:right w:color="000000" w:sz="4" w:val="single"/>
            </w:tcBorders>
            <w:tcMar>
              <w:left w:type="dxa" w:w="40"/>
              <w:right w:type="dxa" w:w="40"/>
            </w:tcMar>
            <w:vAlign w:val="center"/>
          </w:tcPr>
          <w:p w14:paraId="F2090000">
            <w:pPr>
              <w:ind/>
              <w:jc w:val="center"/>
              <w:rPr>
                <w:sz w:val="20"/>
              </w:rPr>
            </w:pPr>
            <w:r>
              <w:rPr>
                <w:sz w:val="20"/>
              </w:rPr>
              <w:t>0,010</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F3090000">
            <w:pPr>
              <w:ind/>
              <w:jc w:val="center"/>
              <w:rPr>
                <w:sz w:val="20"/>
              </w:rPr>
            </w:pPr>
            <w:r>
              <w:rPr>
                <w:sz w:val="20"/>
              </w:rPr>
              <w:t>0,006</w:t>
            </w:r>
          </w:p>
        </w:tc>
        <w:tc>
          <w:tcPr>
            <w:tcW w:type="dxa" w:w="935"/>
            <w:tcBorders>
              <w:top w:color="000000" w:sz="4" w:val="single"/>
              <w:left w:color="000000" w:sz="4" w:val="single"/>
              <w:bottom w:color="000000" w:sz="4" w:val="single"/>
              <w:right w:color="000000" w:sz="4" w:val="single"/>
            </w:tcBorders>
            <w:tcMar>
              <w:left w:type="dxa" w:w="40"/>
              <w:right w:type="dxa" w:w="40"/>
            </w:tcMar>
            <w:vAlign w:val="center"/>
          </w:tcPr>
          <w:p w14:paraId="F4090000">
            <w:pPr>
              <w:ind/>
              <w:jc w:val="center"/>
              <w:rPr>
                <w:sz w:val="20"/>
              </w:rPr>
            </w:pPr>
            <w:r>
              <w:rPr>
                <w:sz w:val="20"/>
              </w:rPr>
              <w:t>0,004</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F5090000">
            <w:pPr>
              <w:ind/>
              <w:jc w:val="center"/>
              <w:rPr>
                <w:sz w:val="20"/>
              </w:rPr>
            </w:pPr>
            <w:r>
              <w:rPr>
                <w:sz w:val="20"/>
              </w:rPr>
              <w:t>-</w:t>
            </w:r>
          </w:p>
        </w:tc>
      </w:tr>
      <w:tr>
        <w:trPr>
          <w:trHeight w:hRule="exact" w:val="316"/>
        </w:trPr>
        <w:tc>
          <w:tcPr>
            <w:tcW w:type="dxa" w:w="3413"/>
            <w:tcBorders>
              <w:top w:sz="4" w:val="nil"/>
              <w:left w:color="000000" w:sz="4" w:val="single"/>
              <w:bottom w:color="000000" w:sz="4" w:val="single"/>
              <w:right w:color="000000" w:sz="4" w:val="single"/>
            </w:tcBorders>
            <w:tcMar>
              <w:left w:type="dxa" w:w="40"/>
              <w:right w:type="dxa" w:w="40"/>
            </w:tcMar>
            <w:vAlign w:val="center"/>
          </w:tcPr>
          <w:p w14:paraId="F6090000">
            <w:pPr>
              <w:ind/>
              <w:jc w:val="center"/>
              <w:rPr>
                <w:sz w:val="20"/>
              </w:rPr>
            </w:pPr>
            <w:r>
              <w:rPr>
                <w:sz w:val="20"/>
              </w:rPr>
              <w:t>с. Куйбышево, ул. Миусская, 3</w:t>
            </w:r>
          </w:p>
        </w:tc>
        <w:tc>
          <w:tcPr>
            <w:tcW w:type="dxa" w:w="1405"/>
            <w:tcBorders>
              <w:top w:sz="4" w:val="nil"/>
              <w:left w:sz="4" w:val="nil"/>
              <w:bottom w:color="000000" w:sz="4" w:val="single"/>
              <w:right w:color="000000" w:sz="4" w:val="single"/>
            </w:tcBorders>
            <w:tcMar>
              <w:left w:type="dxa" w:w="40"/>
              <w:right w:type="dxa" w:w="40"/>
            </w:tcMar>
            <w:vAlign w:val="center"/>
          </w:tcPr>
          <w:p w14:paraId="F7090000">
            <w:pPr>
              <w:ind/>
              <w:jc w:val="center"/>
              <w:rPr>
                <w:sz w:val="20"/>
              </w:rPr>
            </w:pPr>
            <w:r>
              <w:rPr>
                <w:sz w:val="20"/>
              </w:rPr>
              <w:t>0,017</w:t>
            </w:r>
          </w:p>
        </w:tc>
        <w:tc>
          <w:tcPr>
            <w:tcW w:type="dxa" w:w="1405"/>
            <w:tcBorders>
              <w:top w:sz="4" w:val="nil"/>
              <w:left w:sz="4" w:val="nil"/>
              <w:bottom w:color="000000" w:sz="4" w:val="single"/>
              <w:right w:color="000000" w:sz="4" w:val="single"/>
            </w:tcBorders>
            <w:tcMar>
              <w:left w:type="dxa" w:w="40"/>
              <w:right w:type="dxa" w:w="40"/>
            </w:tcMar>
            <w:vAlign w:val="center"/>
          </w:tcPr>
          <w:p w14:paraId="F8090000">
            <w:pPr>
              <w:ind/>
              <w:jc w:val="center"/>
              <w:rPr>
                <w:sz w:val="20"/>
              </w:rPr>
            </w:pPr>
            <w:r>
              <w:rPr>
                <w:sz w:val="20"/>
              </w:rPr>
              <w:t>0,017</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F9090000">
            <w:pPr>
              <w:ind/>
              <w:jc w:val="center"/>
              <w:rPr>
                <w:sz w:val="20"/>
              </w:rPr>
            </w:pPr>
            <w:r>
              <w:rPr>
                <w:sz w:val="20"/>
              </w:rPr>
              <w:t>0,017</w:t>
            </w:r>
          </w:p>
        </w:tc>
        <w:tc>
          <w:tcPr>
            <w:tcW w:type="dxa" w:w="935"/>
            <w:tcBorders>
              <w:top w:color="000000" w:sz="4" w:val="single"/>
              <w:left w:color="000000" w:sz="4" w:val="single"/>
              <w:bottom w:color="000000" w:sz="4" w:val="single"/>
              <w:right w:color="000000" w:sz="4" w:val="single"/>
            </w:tcBorders>
            <w:tcMar>
              <w:left w:type="dxa" w:w="40"/>
              <w:right w:type="dxa" w:w="40"/>
            </w:tcMar>
            <w:vAlign w:val="center"/>
          </w:tcPr>
          <w:p w14:paraId="FA090000">
            <w:pPr>
              <w:ind/>
              <w:jc w:val="center"/>
              <w:rPr>
                <w:sz w:val="20"/>
              </w:rPr>
            </w:pPr>
            <w:r>
              <w:rPr>
                <w:sz w:val="20"/>
              </w:rPr>
              <w:t>-</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FB090000">
            <w:pPr>
              <w:ind/>
              <w:jc w:val="center"/>
              <w:rPr>
                <w:sz w:val="20"/>
              </w:rPr>
            </w:pPr>
            <w:r>
              <w:rPr>
                <w:sz w:val="20"/>
              </w:rPr>
              <w:t>-</w:t>
            </w:r>
          </w:p>
        </w:tc>
      </w:tr>
      <w:tr>
        <w:trPr>
          <w:trHeight w:hRule="exact" w:val="273"/>
        </w:trPr>
        <w:tc>
          <w:tcPr>
            <w:tcW w:type="dxa" w:w="3413"/>
            <w:tcBorders>
              <w:top w:sz="4" w:val="nil"/>
              <w:left w:color="000000" w:sz="4" w:val="single"/>
              <w:bottom w:color="000000" w:sz="4" w:val="single"/>
              <w:right w:color="000000" w:sz="4" w:val="single"/>
            </w:tcBorders>
            <w:tcMar>
              <w:left w:type="dxa" w:w="40"/>
              <w:right w:type="dxa" w:w="40"/>
            </w:tcMar>
            <w:vAlign w:val="center"/>
          </w:tcPr>
          <w:p w14:paraId="FC090000">
            <w:pPr>
              <w:ind/>
              <w:jc w:val="center"/>
              <w:rPr>
                <w:sz w:val="20"/>
              </w:rPr>
            </w:pPr>
            <w:r>
              <w:rPr>
                <w:sz w:val="20"/>
              </w:rPr>
              <w:t>с. Куйбышево, ул. Миусская, 3</w:t>
            </w:r>
          </w:p>
        </w:tc>
        <w:tc>
          <w:tcPr>
            <w:tcW w:type="dxa" w:w="1405"/>
            <w:tcBorders>
              <w:top w:sz="4" w:val="nil"/>
              <w:left w:sz="4" w:val="nil"/>
              <w:bottom w:color="000000" w:sz="4" w:val="single"/>
              <w:right w:color="000000" w:sz="4" w:val="single"/>
            </w:tcBorders>
            <w:tcMar>
              <w:left w:type="dxa" w:w="40"/>
              <w:right w:type="dxa" w:w="40"/>
            </w:tcMar>
            <w:vAlign w:val="center"/>
          </w:tcPr>
          <w:p w14:paraId="FD090000">
            <w:pPr>
              <w:ind/>
              <w:jc w:val="center"/>
              <w:rPr>
                <w:sz w:val="20"/>
              </w:rPr>
            </w:pPr>
            <w:r>
              <w:rPr>
                <w:sz w:val="20"/>
              </w:rPr>
              <w:t>0,054</w:t>
            </w:r>
          </w:p>
        </w:tc>
        <w:tc>
          <w:tcPr>
            <w:tcW w:type="dxa" w:w="1405"/>
            <w:tcBorders>
              <w:top w:sz="4" w:val="nil"/>
              <w:left w:sz="4" w:val="nil"/>
              <w:bottom w:color="000000" w:sz="4" w:val="single"/>
              <w:right w:color="000000" w:sz="4" w:val="single"/>
            </w:tcBorders>
            <w:tcMar>
              <w:left w:type="dxa" w:w="40"/>
              <w:right w:type="dxa" w:w="40"/>
            </w:tcMar>
            <w:vAlign w:val="center"/>
          </w:tcPr>
          <w:p w14:paraId="FE090000">
            <w:pPr>
              <w:ind/>
              <w:jc w:val="center"/>
              <w:rPr>
                <w:sz w:val="20"/>
              </w:rPr>
            </w:pPr>
            <w:r>
              <w:rPr>
                <w:sz w:val="20"/>
              </w:rPr>
              <w:t>0,054</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FF090000">
            <w:pPr>
              <w:ind/>
              <w:jc w:val="center"/>
              <w:rPr>
                <w:sz w:val="20"/>
              </w:rPr>
            </w:pPr>
            <w:r>
              <w:rPr>
                <w:sz w:val="20"/>
              </w:rPr>
              <w:t>0,036</w:t>
            </w:r>
          </w:p>
        </w:tc>
        <w:tc>
          <w:tcPr>
            <w:tcW w:type="dxa" w:w="935"/>
            <w:tcBorders>
              <w:top w:color="000000" w:sz="4" w:val="single"/>
              <w:left w:color="000000" w:sz="4" w:val="single"/>
              <w:bottom w:color="000000" w:sz="4" w:val="single"/>
              <w:right w:color="000000" w:sz="4" w:val="single"/>
            </w:tcBorders>
            <w:tcMar>
              <w:left w:type="dxa" w:w="40"/>
              <w:right w:type="dxa" w:w="40"/>
            </w:tcMar>
            <w:vAlign w:val="center"/>
          </w:tcPr>
          <w:p w14:paraId="000A0000">
            <w:pPr>
              <w:ind/>
              <w:jc w:val="center"/>
              <w:rPr>
                <w:sz w:val="20"/>
              </w:rPr>
            </w:pPr>
            <w:r>
              <w:rPr>
                <w:sz w:val="20"/>
              </w:rPr>
              <w:t>0,018</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010A0000">
            <w:pPr>
              <w:ind/>
              <w:jc w:val="center"/>
              <w:rPr>
                <w:sz w:val="20"/>
              </w:rPr>
            </w:pPr>
            <w:r>
              <w:rPr>
                <w:sz w:val="20"/>
              </w:rPr>
              <w:t>-</w:t>
            </w:r>
          </w:p>
        </w:tc>
      </w:tr>
      <w:tr>
        <w:trPr>
          <w:trHeight w:hRule="exact" w:val="322"/>
        </w:trPr>
        <w:tc>
          <w:tcPr>
            <w:tcW w:type="dxa" w:w="3413"/>
            <w:tcBorders>
              <w:top w:sz="4" w:val="nil"/>
              <w:left w:color="000000" w:sz="4" w:val="single"/>
              <w:bottom w:color="000000" w:sz="4" w:val="single"/>
              <w:right w:color="000000" w:sz="4" w:val="single"/>
            </w:tcBorders>
            <w:tcMar>
              <w:left w:type="dxa" w:w="40"/>
              <w:right w:type="dxa" w:w="40"/>
            </w:tcMar>
            <w:vAlign w:val="center"/>
          </w:tcPr>
          <w:p w14:paraId="020A0000">
            <w:pPr>
              <w:ind/>
              <w:jc w:val="center"/>
              <w:rPr>
                <w:sz w:val="20"/>
              </w:rPr>
            </w:pPr>
            <w:r>
              <w:rPr>
                <w:sz w:val="20"/>
              </w:rPr>
              <w:t>с. Куйбышево, ул. Миусская, 3</w:t>
            </w:r>
          </w:p>
        </w:tc>
        <w:tc>
          <w:tcPr>
            <w:tcW w:type="dxa" w:w="1405"/>
            <w:tcBorders>
              <w:top w:sz="4" w:val="nil"/>
              <w:left w:sz="4" w:val="nil"/>
              <w:bottom w:color="000000" w:sz="4" w:val="single"/>
              <w:right w:color="000000" w:sz="4" w:val="single"/>
            </w:tcBorders>
            <w:tcMar>
              <w:left w:type="dxa" w:w="40"/>
              <w:right w:type="dxa" w:w="40"/>
            </w:tcMar>
            <w:vAlign w:val="center"/>
          </w:tcPr>
          <w:p w14:paraId="030A0000">
            <w:pPr>
              <w:ind/>
              <w:jc w:val="center"/>
              <w:rPr>
                <w:sz w:val="20"/>
              </w:rPr>
            </w:pPr>
            <w:r>
              <w:rPr>
                <w:sz w:val="20"/>
              </w:rPr>
              <w:t>0,036</w:t>
            </w:r>
          </w:p>
        </w:tc>
        <w:tc>
          <w:tcPr>
            <w:tcW w:type="dxa" w:w="1405"/>
            <w:tcBorders>
              <w:top w:sz="4" w:val="nil"/>
              <w:left w:sz="4" w:val="nil"/>
              <w:bottom w:color="000000" w:sz="4" w:val="single"/>
              <w:right w:color="000000" w:sz="4" w:val="single"/>
            </w:tcBorders>
            <w:tcMar>
              <w:left w:type="dxa" w:w="40"/>
              <w:right w:type="dxa" w:w="40"/>
            </w:tcMar>
            <w:vAlign w:val="center"/>
          </w:tcPr>
          <w:p w14:paraId="040A0000">
            <w:pPr>
              <w:ind/>
              <w:jc w:val="center"/>
              <w:rPr>
                <w:sz w:val="20"/>
              </w:rPr>
            </w:pPr>
            <w:r>
              <w:rPr>
                <w:sz w:val="20"/>
              </w:rPr>
              <w:t>0,036</w:t>
            </w:r>
          </w:p>
        </w:tc>
        <w:tc>
          <w:tcPr>
            <w:tcW w:type="dxa" w:w="1056"/>
            <w:tcBorders>
              <w:top w:sz="4" w:val="nil"/>
              <w:left w:color="000000" w:sz="4" w:val="single"/>
              <w:bottom w:color="000000" w:sz="4" w:val="single"/>
              <w:right w:color="000000" w:sz="4" w:val="single"/>
            </w:tcBorders>
            <w:tcMar>
              <w:left w:type="dxa" w:w="40"/>
              <w:right w:type="dxa" w:w="40"/>
            </w:tcMar>
            <w:vAlign w:val="center"/>
          </w:tcPr>
          <w:p w14:paraId="050A0000">
            <w:pPr>
              <w:ind/>
              <w:jc w:val="center"/>
              <w:rPr>
                <w:sz w:val="20"/>
              </w:rPr>
            </w:pPr>
            <w:r>
              <w:rPr>
                <w:sz w:val="20"/>
              </w:rPr>
              <w:t>0,030</w:t>
            </w:r>
          </w:p>
        </w:tc>
        <w:tc>
          <w:tcPr>
            <w:tcW w:type="dxa" w:w="935"/>
            <w:tcBorders>
              <w:top w:color="000000" w:sz="4" w:val="single"/>
              <w:left w:color="000000" w:sz="4" w:val="single"/>
              <w:bottom w:color="000000" w:sz="4" w:val="single"/>
              <w:right w:color="000000" w:sz="4" w:val="single"/>
            </w:tcBorders>
            <w:tcMar>
              <w:left w:type="dxa" w:w="40"/>
              <w:right w:type="dxa" w:w="40"/>
            </w:tcMar>
            <w:vAlign w:val="center"/>
          </w:tcPr>
          <w:p w14:paraId="060A0000">
            <w:pPr>
              <w:ind/>
              <w:jc w:val="center"/>
              <w:rPr>
                <w:sz w:val="20"/>
              </w:rPr>
            </w:pPr>
            <w:r>
              <w:rPr>
                <w:sz w:val="20"/>
              </w:rPr>
              <w:t>0,006</w:t>
            </w:r>
          </w:p>
        </w:tc>
        <w:tc>
          <w:tcPr>
            <w:tcW w:type="dxa" w:w="1386"/>
            <w:tcBorders>
              <w:top w:color="000000" w:sz="4" w:val="single"/>
              <w:left w:sz="4" w:val="nil"/>
              <w:bottom w:color="000000" w:sz="4" w:val="single"/>
              <w:right w:color="000000" w:sz="4" w:val="single"/>
            </w:tcBorders>
            <w:tcMar>
              <w:left w:type="dxa" w:w="40"/>
              <w:right w:type="dxa" w:w="40"/>
            </w:tcMar>
            <w:vAlign w:val="center"/>
          </w:tcPr>
          <w:p w14:paraId="070A0000">
            <w:pPr>
              <w:ind/>
              <w:jc w:val="center"/>
              <w:rPr>
                <w:sz w:val="20"/>
              </w:rPr>
            </w:pPr>
            <w:r>
              <w:rPr>
                <w:sz w:val="20"/>
              </w:rPr>
              <w:t>-</w:t>
            </w:r>
          </w:p>
        </w:tc>
      </w:tr>
    </w:tbl>
    <w:p w14:paraId="080A0000">
      <w:pPr>
        <w:spacing w:after="0" w:line="240" w:lineRule="auto"/>
        <w:ind/>
        <w:jc w:val="both"/>
        <w:rPr>
          <w:sz w:val="20"/>
        </w:rPr>
      </w:pPr>
      <w:r>
        <w:rPr>
          <w:sz w:val="20"/>
        </w:rPr>
        <w:t>*тепловые потери не установлены,</w:t>
      </w:r>
    </w:p>
    <w:p w14:paraId="090A0000">
      <w:pPr>
        <w:spacing w:after="0" w:line="240" w:lineRule="auto"/>
        <w:ind/>
        <w:jc w:val="both"/>
        <w:rPr>
          <w:sz w:val="20"/>
        </w:rPr>
      </w:pPr>
      <w:r>
        <w:rPr>
          <w:sz w:val="20"/>
        </w:rPr>
        <w:t>**</w:t>
      </w:r>
      <w:r>
        <w:rPr>
          <w:sz w:val="20"/>
        </w:rPr>
        <w:t xml:space="preserve">величина средневзвешенной плотности ТН определяется при наличии потребителей, присоединённых к тепловых сетям. </w:t>
      </w:r>
    </w:p>
    <w:p w14:paraId="0A0A0000">
      <w:pPr>
        <w:spacing w:afterAutospacing="on" w:beforeAutospacing="on" w:line="240" w:lineRule="auto"/>
        <w:ind w:firstLine="709" w:left="0"/>
        <w:rPr>
          <w:sz w:val="28"/>
        </w:rPr>
      </w:pPr>
      <w:r>
        <w:rPr>
          <w:sz w:val="28"/>
        </w:rPr>
        <w:t>б) Описание резервов и дефицитов тепловой мощности нетто по каждому источнику тепловой энергии.</w:t>
      </w:r>
    </w:p>
    <w:p w14:paraId="0B0A0000">
      <w:pPr>
        <w:spacing w:before="200" w:line="240" w:lineRule="auto"/>
        <w:ind w:firstLine="709" w:left="0"/>
        <w:jc w:val="both"/>
        <w:rPr>
          <w:sz w:val="28"/>
        </w:rPr>
      </w:pPr>
      <w:r>
        <w:rPr>
          <w:sz w:val="28"/>
        </w:rPr>
        <w:t>Таблица 27 Резерв и дефицит тепловой мощности не</w:t>
      </w:r>
      <w:r>
        <w:rPr>
          <w:sz w:val="28"/>
        </w:rPr>
        <w:t>тто</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40"/>
          <w:right w:type="dxa" w:w="40"/>
        </w:tblCellMar>
      </w:tblPr>
      <w:tblGrid>
        <w:gridCol w:w="3700"/>
        <w:gridCol w:w="1362"/>
        <w:gridCol w:w="1615"/>
        <w:gridCol w:w="633"/>
        <w:gridCol w:w="2007"/>
      </w:tblGrid>
      <w:tr>
        <w:trPr>
          <w:trHeight w:hRule="exact" w:val="481"/>
        </w:trPr>
        <w:tc>
          <w:tcPr>
            <w:tcW w:type="dxa" w:w="370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C0A0000">
            <w:pPr>
              <w:ind/>
              <w:jc w:val="center"/>
              <w:rPr>
                <w:sz w:val="20"/>
              </w:rPr>
            </w:pPr>
            <w:r>
              <w:rPr>
                <w:sz w:val="20"/>
              </w:rPr>
              <w:t>Котельная</w:t>
            </w:r>
          </w:p>
        </w:tc>
        <w:tc>
          <w:tcPr>
            <w:tcW w:type="dxa" w:w="136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D0A0000">
            <w:pPr>
              <w:ind/>
              <w:jc w:val="center"/>
              <w:rPr>
                <w:sz w:val="20"/>
              </w:rPr>
            </w:pPr>
            <w:r>
              <w:rPr>
                <w:sz w:val="20"/>
              </w:rPr>
              <w:t>Установленная ТМ, Гкал/ч</w:t>
            </w:r>
          </w:p>
        </w:tc>
        <w:tc>
          <w:tcPr>
            <w:tcW w:type="dxa" w:w="161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E0A0000">
            <w:pPr>
              <w:ind/>
              <w:jc w:val="center"/>
              <w:rPr>
                <w:sz w:val="20"/>
              </w:rPr>
            </w:pPr>
            <w:r>
              <w:rPr>
                <w:sz w:val="20"/>
              </w:rPr>
              <w:t>Располагаемая ТМ, Гкал/ч</w:t>
            </w:r>
          </w:p>
        </w:tc>
        <w:tc>
          <w:tcPr>
            <w:tcW w:type="dxa" w:w="63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F0A0000">
            <w:pPr>
              <w:ind/>
              <w:jc w:val="center"/>
              <w:rPr>
                <w:sz w:val="20"/>
              </w:rPr>
            </w:pPr>
            <w:r>
              <w:rPr>
                <w:sz w:val="20"/>
              </w:rPr>
              <w:t>РТН, Гкал/ч</w:t>
            </w:r>
          </w:p>
        </w:tc>
        <w:tc>
          <w:tcPr>
            <w:tcW w:type="dxa" w:w="2007"/>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00A0000">
            <w:pPr>
              <w:ind/>
              <w:jc w:val="center"/>
              <w:rPr>
                <w:sz w:val="20"/>
              </w:rPr>
            </w:pPr>
            <w:r>
              <w:rPr>
                <w:sz w:val="20"/>
              </w:rPr>
              <w:t>Резерв + (дефицит -) ТМ, Гкал/ч</w:t>
            </w:r>
          </w:p>
        </w:tc>
      </w:tr>
      <w:tr>
        <w:trPr>
          <w:trHeight w:hRule="exact" w:val="274"/>
        </w:trPr>
        <w:tc>
          <w:tcPr>
            <w:tcW w:type="dxa" w:w="3700"/>
            <w:tcBorders>
              <w:top w:sz="4" w:val="nil"/>
              <w:left w:color="000000" w:sz="4" w:val="single"/>
              <w:bottom w:color="000000" w:sz="4" w:val="single"/>
              <w:right w:color="000000" w:sz="4" w:val="single"/>
            </w:tcBorders>
            <w:shd w:fill="auto" w:val="clear"/>
            <w:tcMar>
              <w:left w:type="dxa" w:w="40"/>
              <w:right w:type="dxa" w:w="40"/>
            </w:tcMar>
            <w:vAlign w:val="center"/>
          </w:tcPr>
          <w:p w14:paraId="110A0000">
            <w:pPr>
              <w:ind/>
              <w:jc w:val="center"/>
              <w:rPr>
                <w:sz w:val="20"/>
              </w:rPr>
            </w:pPr>
            <w:r>
              <w:rPr>
                <w:sz w:val="20"/>
              </w:rPr>
              <w:t>с. Куйбышево, ул. Пролетарская, 7</w:t>
            </w:r>
          </w:p>
        </w:tc>
        <w:tc>
          <w:tcPr>
            <w:tcW w:type="dxa" w:w="1362"/>
            <w:tcBorders>
              <w:top w:sz="4" w:val="nil"/>
              <w:left w:color="000000" w:sz="4" w:val="single"/>
              <w:bottom w:color="000000" w:sz="4" w:val="single"/>
              <w:right w:color="000000" w:sz="4" w:val="single"/>
            </w:tcBorders>
            <w:shd w:fill="auto" w:val="clear"/>
            <w:tcMar>
              <w:left w:type="dxa" w:w="40"/>
              <w:right w:type="dxa" w:w="40"/>
            </w:tcMar>
            <w:vAlign w:val="center"/>
          </w:tcPr>
          <w:p w14:paraId="120A0000">
            <w:pPr>
              <w:ind/>
              <w:jc w:val="center"/>
              <w:rPr>
                <w:sz w:val="20"/>
              </w:rPr>
            </w:pPr>
            <w:r>
              <w:rPr>
                <w:sz w:val="20"/>
              </w:rPr>
              <w:t>3,44</w:t>
            </w:r>
          </w:p>
        </w:tc>
        <w:tc>
          <w:tcPr>
            <w:tcW w:type="dxa" w:w="1615"/>
            <w:tcBorders>
              <w:top w:sz="4" w:val="nil"/>
              <w:left w:color="000000" w:sz="4" w:val="single"/>
              <w:bottom w:color="000000" w:sz="4" w:val="single"/>
              <w:right w:color="000000" w:sz="4" w:val="single"/>
            </w:tcBorders>
            <w:shd w:fill="auto" w:val="clear"/>
            <w:tcMar>
              <w:left w:type="dxa" w:w="40"/>
              <w:right w:type="dxa" w:w="40"/>
            </w:tcMar>
            <w:vAlign w:val="center"/>
          </w:tcPr>
          <w:p w14:paraId="130A0000">
            <w:pPr>
              <w:ind/>
              <w:jc w:val="center"/>
              <w:rPr>
                <w:sz w:val="20"/>
              </w:rPr>
            </w:pPr>
            <w:r>
              <w:rPr>
                <w:sz w:val="20"/>
              </w:rPr>
              <w:t>3,44</w:t>
            </w:r>
          </w:p>
        </w:tc>
        <w:tc>
          <w:tcPr>
            <w:tcW w:type="dxa" w:w="63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40A0000">
            <w:pPr>
              <w:ind/>
              <w:jc w:val="center"/>
              <w:rPr>
                <w:sz w:val="20"/>
              </w:rPr>
            </w:pPr>
            <w:r>
              <w:rPr>
                <w:sz w:val="20"/>
              </w:rPr>
              <w:t>0,818</w:t>
            </w:r>
          </w:p>
        </w:tc>
        <w:tc>
          <w:tcPr>
            <w:tcW w:type="dxa" w:w="2007"/>
            <w:tcBorders>
              <w:top w:color="000000" w:sz="4" w:val="single"/>
              <w:left w:color="000000" w:sz="4" w:val="single"/>
              <w:bottom w:color="000000" w:sz="4" w:val="single"/>
              <w:right w:color="000000" w:sz="4" w:val="single"/>
            </w:tcBorders>
            <w:tcMar>
              <w:left w:type="dxa" w:w="40"/>
              <w:right w:type="dxa" w:w="40"/>
            </w:tcMar>
            <w:vAlign w:val="center"/>
          </w:tcPr>
          <w:p w14:paraId="150A0000">
            <w:pPr>
              <w:ind/>
              <w:jc w:val="center"/>
              <w:rPr>
                <w:sz w:val="20"/>
              </w:rPr>
            </w:pPr>
            <w:r>
              <w:rPr>
                <w:sz w:val="20"/>
              </w:rPr>
              <w:t>2,622</w:t>
            </w:r>
          </w:p>
        </w:tc>
      </w:tr>
      <w:tr>
        <w:trPr>
          <w:trHeight w:hRule="exact" w:val="279"/>
        </w:trPr>
        <w:tc>
          <w:tcPr>
            <w:tcW w:type="dxa" w:w="3700"/>
            <w:tcBorders>
              <w:top w:sz="4" w:val="nil"/>
              <w:left w:color="000000" w:sz="4" w:val="single"/>
              <w:bottom w:color="000000" w:sz="4" w:val="single"/>
              <w:right w:color="000000" w:sz="4" w:val="single"/>
            </w:tcBorders>
            <w:tcMar>
              <w:left w:type="dxa" w:w="40"/>
              <w:right w:type="dxa" w:w="40"/>
            </w:tcMar>
            <w:vAlign w:val="center"/>
          </w:tcPr>
          <w:p w14:paraId="160A0000">
            <w:pPr>
              <w:ind/>
              <w:jc w:val="center"/>
              <w:rPr>
                <w:sz w:val="20"/>
              </w:rPr>
            </w:pPr>
            <w:r>
              <w:rPr>
                <w:sz w:val="20"/>
              </w:rPr>
              <w:t>с. Русское, ул. Красноармейская,8-а</w:t>
            </w:r>
          </w:p>
        </w:tc>
        <w:tc>
          <w:tcPr>
            <w:tcW w:type="dxa" w:w="1362"/>
            <w:tcBorders>
              <w:top w:sz="4" w:val="nil"/>
              <w:left w:sz="4" w:val="nil"/>
              <w:bottom w:color="000000" w:sz="4" w:val="single"/>
              <w:right w:color="000000" w:sz="4" w:val="single"/>
            </w:tcBorders>
            <w:tcMar>
              <w:left w:type="dxa" w:w="40"/>
              <w:right w:type="dxa" w:w="40"/>
            </w:tcMar>
            <w:vAlign w:val="center"/>
          </w:tcPr>
          <w:p w14:paraId="170A0000">
            <w:pPr>
              <w:ind/>
              <w:jc w:val="center"/>
              <w:rPr>
                <w:sz w:val="20"/>
              </w:rPr>
            </w:pPr>
            <w:r>
              <w:rPr>
                <w:sz w:val="20"/>
              </w:rPr>
              <w:t>0,165</w:t>
            </w:r>
          </w:p>
        </w:tc>
        <w:tc>
          <w:tcPr>
            <w:tcW w:type="dxa" w:w="1615"/>
            <w:tcBorders>
              <w:top w:sz="4" w:val="nil"/>
              <w:left w:sz="4" w:val="nil"/>
              <w:bottom w:color="000000" w:sz="4" w:val="single"/>
              <w:right w:color="000000" w:sz="4" w:val="single"/>
            </w:tcBorders>
            <w:tcMar>
              <w:left w:type="dxa" w:w="40"/>
              <w:right w:type="dxa" w:w="40"/>
            </w:tcMar>
            <w:vAlign w:val="center"/>
          </w:tcPr>
          <w:p w14:paraId="180A0000">
            <w:pPr>
              <w:ind/>
              <w:jc w:val="center"/>
              <w:rPr>
                <w:sz w:val="20"/>
              </w:rPr>
            </w:pPr>
            <w:r>
              <w:rPr>
                <w:sz w:val="20"/>
              </w:rPr>
              <w:t>0,165</w:t>
            </w:r>
          </w:p>
        </w:tc>
        <w:tc>
          <w:tcPr>
            <w:tcW w:type="dxa" w:w="633"/>
            <w:tcBorders>
              <w:top w:color="000000" w:sz="4" w:val="single"/>
              <w:left w:color="000000" w:sz="4" w:val="single"/>
              <w:bottom w:color="000000" w:sz="4" w:val="single"/>
              <w:right w:color="000000" w:sz="4" w:val="single"/>
            </w:tcBorders>
            <w:tcMar>
              <w:left w:type="dxa" w:w="40"/>
              <w:right w:type="dxa" w:w="40"/>
            </w:tcMar>
            <w:vAlign w:val="center"/>
          </w:tcPr>
          <w:p w14:paraId="190A0000">
            <w:pPr>
              <w:ind/>
              <w:jc w:val="center"/>
              <w:rPr>
                <w:sz w:val="20"/>
              </w:rPr>
            </w:pPr>
            <w:r>
              <w:rPr>
                <w:sz w:val="20"/>
              </w:rPr>
              <w:t>0,165</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1A0A0000">
            <w:pPr>
              <w:ind/>
              <w:jc w:val="center"/>
              <w:rPr>
                <w:sz w:val="20"/>
              </w:rPr>
            </w:pPr>
            <w:r>
              <w:rPr>
                <w:sz w:val="20"/>
              </w:rPr>
              <w:t>-</w:t>
            </w:r>
          </w:p>
        </w:tc>
      </w:tr>
      <w:tr>
        <w:trPr>
          <w:trHeight w:hRule="exact" w:val="569"/>
        </w:trPr>
        <w:tc>
          <w:tcPr>
            <w:tcW w:type="dxa" w:w="3700"/>
            <w:tcBorders>
              <w:top w:sz="4" w:val="nil"/>
              <w:left w:color="000000" w:sz="4" w:val="single"/>
              <w:bottom w:color="000000" w:sz="4" w:val="single"/>
              <w:right w:color="000000" w:sz="4" w:val="single"/>
            </w:tcBorders>
            <w:tcMar>
              <w:left w:type="dxa" w:w="40"/>
              <w:right w:type="dxa" w:w="40"/>
            </w:tcMar>
            <w:vAlign w:val="center"/>
          </w:tcPr>
          <w:p w14:paraId="1B0A0000">
            <w:pPr>
              <w:ind/>
              <w:jc w:val="center"/>
              <w:rPr>
                <w:sz w:val="20"/>
              </w:rPr>
            </w:pPr>
            <w:r>
              <w:rPr>
                <w:sz w:val="20"/>
              </w:rPr>
              <w:t xml:space="preserve">с. Русское, ул. Героя Советского </w:t>
            </w:r>
            <w:r>
              <w:rPr>
                <w:sz w:val="20"/>
              </w:rPr>
              <w:t>Союза М.П. Алексеева, 8</w:t>
            </w:r>
          </w:p>
        </w:tc>
        <w:tc>
          <w:tcPr>
            <w:tcW w:type="dxa" w:w="1362"/>
            <w:tcBorders>
              <w:top w:sz="4" w:val="nil"/>
              <w:left w:sz="4" w:val="nil"/>
              <w:bottom w:color="000000" w:sz="4" w:val="single"/>
              <w:right w:color="000000" w:sz="4" w:val="single"/>
            </w:tcBorders>
            <w:tcMar>
              <w:left w:type="dxa" w:w="40"/>
              <w:right w:type="dxa" w:w="40"/>
            </w:tcMar>
            <w:vAlign w:val="center"/>
          </w:tcPr>
          <w:p w14:paraId="1C0A0000">
            <w:pPr>
              <w:ind/>
              <w:jc w:val="center"/>
              <w:rPr>
                <w:sz w:val="20"/>
              </w:rPr>
            </w:pPr>
            <w:r>
              <w:rPr>
                <w:sz w:val="20"/>
              </w:rPr>
              <w:t>0,054</w:t>
            </w:r>
          </w:p>
        </w:tc>
        <w:tc>
          <w:tcPr>
            <w:tcW w:type="dxa" w:w="1615"/>
            <w:tcBorders>
              <w:top w:sz="4" w:val="nil"/>
              <w:left w:sz="4" w:val="nil"/>
              <w:bottom w:color="000000" w:sz="4" w:val="single"/>
              <w:right w:color="000000" w:sz="4" w:val="single"/>
            </w:tcBorders>
            <w:tcMar>
              <w:left w:type="dxa" w:w="40"/>
              <w:right w:type="dxa" w:w="40"/>
            </w:tcMar>
            <w:vAlign w:val="center"/>
          </w:tcPr>
          <w:p w14:paraId="1D0A0000">
            <w:pPr>
              <w:ind/>
              <w:jc w:val="center"/>
              <w:rPr>
                <w:sz w:val="20"/>
              </w:rPr>
            </w:pPr>
            <w:r>
              <w:rPr>
                <w:sz w:val="20"/>
              </w:rPr>
              <w:t>0,054</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1E0A0000">
            <w:pPr>
              <w:ind/>
              <w:jc w:val="center"/>
              <w:rPr>
                <w:sz w:val="20"/>
              </w:rPr>
            </w:pPr>
            <w:r>
              <w:rPr>
                <w:sz w:val="20"/>
              </w:rPr>
              <w:t>0,029</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1F0A0000">
            <w:pPr>
              <w:ind/>
              <w:jc w:val="center"/>
              <w:rPr>
                <w:sz w:val="20"/>
              </w:rPr>
            </w:pPr>
            <w:r>
              <w:rPr>
                <w:sz w:val="20"/>
              </w:rPr>
              <w:t>0,025</w:t>
            </w:r>
          </w:p>
        </w:tc>
      </w:tr>
      <w:tr>
        <w:trPr>
          <w:trHeight w:hRule="exact" w:val="290"/>
        </w:trPr>
        <w:tc>
          <w:tcPr>
            <w:tcW w:type="dxa" w:w="3700"/>
            <w:tcBorders>
              <w:top w:sz="4" w:val="nil"/>
              <w:left w:color="000000" w:sz="4" w:val="single"/>
              <w:bottom w:color="000000" w:sz="4" w:val="single"/>
              <w:right w:color="000000" w:sz="4" w:val="single"/>
            </w:tcBorders>
            <w:tcMar>
              <w:left w:type="dxa" w:w="40"/>
              <w:right w:type="dxa" w:w="40"/>
            </w:tcMar>
            <w:vAlign w:val="center"/>
          </w:tcPr>
          <w:p w14:paraId="200A0000">
            <w:pPr>
              <w:ind/>
              <w:jc w:val="center"/>
              <w:rPr>
                <w:sz w:val="20"/>
              </w:rPr>
            </w:pPr>
            <w:r>
              <w:rPr>
                <w:sz w:val="20"/>
              </w:rPr>
              <w:t>с. Куйбышево, ул. Театральная, 72</w:t>
            </w:r>
          </w:p>
        </w:tc>
        <w:tc>
          <w:tcPr>
            <w:tcW w:type="dxa" w:w="1362"/>
            <w:tcBorders>
              <w:top w:sz="4" w:val="nil"/>
              <w:left w:sz="4" w:val="nil"/>
              <w:bottom w:color="000000" w:sz="4" w:val="single"/>
              <w:right w:color="000000" w:sz="4" w:val="single"/>
            </w:tcBorders>
            <w:tcMar>
              <w:left w:type="dxa" w:w="40"/>
              <w:right w:type="dxa" w:w="40"/>
            </w:tcMar>
            <w:vAlign w:val="center"/>
          </w:tcPr>
          <w:p w14:paraId="210A0000">
            <w:pPr>
              <w:ind/>
              <w:jc w:val="center"/>
              <w:rPr>
                <w:sz w:val="20"/>
              </w:rPr>
            </w:pPr>
            <w:r>
              <w:rPr>
                <w:sz w:val="20"/>
              </w:rPr>
              <w:t>0,054</w:t>
            </w:r>
          </w:p>
        </w:tc>
        <w:tc>
          <w:tcPr>
            <w:tcW w:type="dxa" w:w="1615"/>
            <w:tcBorders>
              <w:top w:sz="4" w:val="nil"/>
              <w:left w:sz="4" w:val="nil"/>
              <w:bottom w:color="000000" w:sz="4" w:val="single"/>
              <w:right w:color="000000" w:sz="4" w:val="single"/>
            </w:tcBorders>
            <w:tcMar>
              <w:left w:type="dxa" w:w="40"/>
              <w:right w:type="dxa" w:w="40"/>
            </w:tcMar>
            <w:vAlign w:val="center"/>
          </w:tcPr>
          <w:p w14:paraId="220A0000">
            <w:pPr>
              <w:ind/>
              <w:jc w:val="center"/>
              <w:rPr>
                <w:sz w:val="20"/>
              </w:rPr>
            </w:pPr>
            <w:r>
              <w:rPr>
                <w:sz w:val="20"/>
              </w:rPr>
              <w:t>0,054</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230A0000">
            <w:pPr>
              <w:ind/>
              <w:jc w:val="center"/>
              <w:rPr>
                <w:sz w:val="20"/>
              </w:rPr>
            </w:pPr>
            <w:r>
              <w:rPr>
                <w:sz w:val="20"/>
              </w:rPr>
              <w:t>0,028</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240A0000">
            <w:pPr>
              <w:ind/>
              <w:jc w:val="center"/>
              <w:rPr>
                <w:sz w:val="20"/>
              </w:rPr>
            </w:pPr>
            <w:r>
              <w:rPr>
                <w:sz w:val="20"/>
              </w:rPr>
              <w:t>0,026</w:t>
            </w:r>
          </w:p>
        </w:tc>
      </w:tr>
      <w:tr>
        <w:trPr>
          <w:trHeight w:hRule="exact" w:val="279"/>
        </w:trPr>
        <w:tc>
          <w:tcPr>
            <w:tcW w:type="dxa" w:w="3700"/>
            <w:tcBorders>
              <w:top w:sz="4" w:val="nil"/>
              <w:left w:color="000000" w:sz="4" w:val="single"/>
              <w:bottom w:color="000000" w:sz="4" w:val="single"/>
              <w:right w:color="000000" w:sz="4" w:val="single"/>
            </w:tcBorders>
            <w:tcMar>
              <w:left w:type="dxa" w:w="40"/>
              <w:right w:type="dxa" w:w="40"/>
            </w:tcMar>
            <w:vAlign w:val="center"/>
          </w:tcPr>
          <w:p w14:paraId="250A0000">
            <w:pPr>
              <w:ind/>
              <w:jc w:val="center"/>
              <w:rPr>
                <w:sz w:val="20"/>
              </w:rPr>
            </w:pPr>
            <w:r>
              <w:rPr>
                <w:sz w:val="20"/>
              </w:rPr>
              <w:t>с. Куйбышево, ул. Пролетарская, 2 а</w:t>
            </w:r>
          </w:p>
        </w:tc>
        <w:tc>
          <w:tcPr>
            <w:tcW w:type="dxa" w:w="1362"/>
            <w:tcBorders>
              <w:top w:sz="4" w:val="nil"/>
              <w:left w:sz="4" w:val="nil"/>
              <w:bottom w:color="000000" w:sz="4" w:val="single"/>
              <w:right w:color="000000" w:sz="4" w:val="single"/>
            </w:tcBorders>
            <w:tcMar>
              <w:left w:type="dxa" w:w="40"/>
              <w:right w:type="dxa" w:w="40"/>
            </w:tcMar>
            <w:vAlign w:val="center"/>
          </w:tcPr>
          <w:p w14:paraId="260A0000">
            <w:pPr>
              <w:ind/>
              <w:jc w:val="center"/>
              <w:rPr>
                <w:sz w:val="20"/>
              </w:rPr>
            </w:pPr>
            <w:r>
              <w:rPr>
                <w:sz w:val="20"/>
              </w:rPr>
              <w:t>0,086</w:t>
            </w:r>
          </w:p>
        </w:tc>
        <w:tc>
          <w:tcPr>
            <w:tcW w:type="dxa" w:w="1615"/>
            <w:tcBorders>
              <w:top w:sz="4" w:val="nil"/>
              <w:left w:sz="4" w:val="nil"/>
              <w:bottom w:color="000000" w:sz="4" w:val="single"/>
              <w:right w:color="000000" w:sz="4" w:val="single"/>
            </w:tcBorders>
            <w:tcMar>
              <w:left w:type="dxa" w:w="40"/>
              <w:right w:type="dxa" w:w="40"/>
            </w:tcMar>
            <w:vAlign w:val="center"/>
          </w:tcPr>
          <w:p w14:paraId="270A0000">
            <w:pPr>
              <w:ind/>
              <w:jc w:val="center"/>
              <w:rPr>
                <w:sz w:val="20"/>
              </w:rPr>
            </w:pPr>
            <w:r>
              <w:rPr>
                <w:sz w:val="20"/>
              </w:rPr>
              <w:t>0,086</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280A0000">
            <w:pPr>
              <w:ind/>
              <w:jc w:val="center"/>
              <w:rPr>
                <w:sz w:val="20"/>
              </w:rPr>
            </w:pPr>
            <w:r>
              <w:rPr>
                <w:sz w:val="20"/>
              </w:rPr>
              <w:t>0,086</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290A0000">
            <w:pPr>
              <w:ind/>
              <w:jc w:val="center"/>
              <w:rPr>
                <w:sz w:val="20"/>
              </w:rPr>
            </w:pPr>
            <w:r>
              <w:rPr>
                <w:sz w:val="20"/>
              </w:rPr>
              <w:t>-</w:t>
            </w:r>
          </w:p>
        </w:tc>
      </w:tr>
      <w:tr>
        <w:trPr>
          <w:trHeight w:hRule="exact" w:val="284"/>
        </w:trPr>
        <w:tc>
          <w:tcPr>
            <w:tcW w:type="dxa" w:w="3700"/>
            <w:tcBorders>
              <w:top w:sz="4" w:val="nil"/>
              <w:left w:color="000000" w:sz="4" w:val="single"/>
              <w:bottom w:color="000000" w:sz="4" w:val="single"/>
              <w:right w:color="000000" w:sz="4" w:val="single"/>
            </w:tcBorders>
            <w:tcMar>
              <w:left w:type="dxa" w:w="40"/>
              <w:right w:type="dxa" w:w="40"/>
            </w:tcMar>
            <w:vAlign w:val="center"/>
          </w:tcPr>
          <w:p w14:paraId="2A0A0000">
            <w:pPr>
              <w:ind/>
              <w:jc w:val="center"/>
              <w:rPr>
                <w:sz w:val="20"/>
              </w:rPr>
            </w:pPr>
            <w:r>
              <w:rPr>
                <w:sz w:val="20"/>
              </w:rPr>
              <w:t>с. Куйбышево, ул. Кузьменко, 3 а</w:t>
            </w:r>
          </w:p>
        </w:tc>
        <w:tc>
          <w:tcPr>
            <w:tcW w:type="dxa" w:w="1362"/>
            <w:tcBorders>
              <w:top w:sz="4" w:val="nil"/>
              <w:left w:sz="4" w:val="nil"/>
              <w:bottom w:color="000000" w:sz="4" w:val="single"/>
              <w:right w:color="000000" w:sz="4" w:val="single"/>
            </w:tcBorders>
            <w:tcMar>
              <w:left w:type="dxa" w:w="40"/>
              <w:right w:type="dxa" w:w="40"/>
            </w:tcMar>
            <w:vAlign w:val="center"/>
          </w:tcPr>
          <w:p w14:paraId="2B0A0000">
            <w:pPr>
              <w:ind/>
              <w:jc w:val="center"/>
              <w:rPr>
                <w:sz w:val="20"/>
              </w:rPr>
            </w:pPr>
            <w:r>
              <w:rPr>
                <w:sz w:val="20"/>
              </w:rPr>
              <w:t>0,172</w:t>
            </w:r>
          </w:p>
        </w:tc>
        <w:tc>
          <w:tcPr>
            <w:tcW w:type="dxa" w:w="1615"/>
            <w:tcBorders>
              <w:top w:sz="4" w:val="nil"/>
              <w:left w:sz="4" w:val="nil"/>
              <w:bottom w:color="000000" w:sz="4" w:val="single"/>
              <w:right w:color="000000" w:sz="4" w:val="single"/>
            </w:tcBorders>
            <w:tcMar>
              <w:left w:type="dxa" w:w="40"/>
              <w:right w:type="dxa" w:w="40"/>
            </w:tcMar>
            <w:vAlign w:val="center"/>
          </w:tcPr>
          <w:p w14:paraId="2C0A0000">
            <w:pPr>
              <w:ind/>
              <w:jc w:val="center"/>
              <w:rPr>
                <w:sz w:val="20"/>
              </w:rPr>
            </w:pPr>
            <w:r>
              <w:rPr>
                <w:sz w:val="20"/>
              </w:rPr>
              <w:t>0,172</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2D0A0000">
            <w:pPr>
              <w:ind/>
              <w:jc w:val="center"/>
              <w:rPr>
                <w:sz w:val="20"/>
              </w:rPr>
            </w:pPr>
            <w:r>
              <w:rPr>
                <w:sz w:val="20"/>
              </w:rPr>
              <w:t>0,105</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2E0A0000">
            <w:pPr>
              <w:ind/>
              <w:jc w:val="center"/>
              <w:rPr>
                <w:sz w:val="20"/>
              </w:rPr>
            </w:pPr>
            <w:r>
              <w:rPr>
                <w:sz w:val="20"/>
              </w:rPr>
              <w:t>0,067</w:t>
            </w:r>
          </w:p>
        </w:tc>
      </w:tr>
      <w:tr>
        <w:trPr>
          <w:trHeight w:hRule="exact" w:val="288"/>
        </w:trPr>
        <w:tc>
          <w:tcPr>
            <w:tcW w:type="dxa" w:w="3700"/>
            <w:tcBorders>
              <w:top w:sz="4" w:val="nil"/>
              <w:left w:color="000000" w:sz="4" w:val="single"/>
              <w:bottom w:color="000000" w:sz="4" w:val="single"/>
              <w:right w:color="000000" w:sz="4" w:val="single"/>
            </w:tcBorders>
            <w:tcMar>
              <w:left w:type="dxa" w:w="40"/>
              <w:right w:type="dxa" w:w="40"/>
            </w:tcMar>
            <w:vAlign w:val="center"/>
          </w:tcPr>
          <w:p w14:paraId="2F0A0000">
            <w:pPr>
              <w:ind/>
              <w:jc w:val="center"/>
              <w:rPr>
                <w:sz w:val="20"/>
              </w:rPr>
            </w:pPr>
            <w:r>
              <w:rPr>
                <w:sz w:val="20"/>
              </w:rPr>
              <w:t>х. Свободный, ул. Молодёжная, 8</w:t>
            </w:r>
          </w:p>
        </w:tc>
        <w:tc>
          <w:tcPr>
            <w:tcW w:type="dxa" w:w="1362"/>
            <w:tcBorders>
              <w:top w:sz="4" w:val="nil"/>
              <w:left w:sz="4" w:val="nil"/>
              <w:bottom w:color="000000" w:sz="4" w:val="single"/>
              <w:right w:color="000000" w:sz="4" w:val="single"/>
            </w:tcBorders>
            <w:tcMar>
              <w:left w:type="dxa" w:w="40"/>
              <w:right w:type="dxa" w:w="40"/>
            </w:tcMar>
            <w:vAlign w:val="center"/>
          </w:tcPr>
          <w:p w14:paraId="300A0000">
            <w:pPr>
              <w:ind/>
              <w:jc w:val="center"/>
              <w:rPr>
                <w:sz w:val="20"/>
              </w:rPr>
            </w:pPr>
            <w:r>
              <w:rPr>
                <w:sz w:val="20"/>
              </w:rPr>
              <w:t>0,126</w:t>
            </w:r>
          </w:p>
        </w:tc>
        <w:tc>
          <w:tcPr>
            <w:tcW w:type="dxa" w:w="1615"/>
            <w:tcBorders>
              <w:top w:sz="4" w:val="nil"/>
              <w:left w:sz="4" w:val="nil"/>
              <w:bottom w:color="000000" w:sz="4" w:val="single"/>
              <w:right w:color="000000" w:sz="4" w:val="single"/>
            </w:tcBorders>
            <w:tcMar>
              <w:left w:type="dxa" w:w="40"/>
              <w:right w:type="dxa" w:w="40"/>
            </w:tcMar>
            <w:vAlign w:val="center"/>
          </w:tcPr>
          <w:p w14:paraId="310A0000">
            <w:pPr>
              <w:ind/>
              <w:jc w:val="center"/>
              <w:rPr>
                <w:sz w:val="20"/>
              </w:rPr>
            </w:pPr>
            <w:r>
              <w:rPr>
                <w:sz w:val="20"/>
              </w:rPr>
              <w:t>0,126</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320A0000">
            <w:pPr>
              <w:ind/>
              <w:jc w:val="center"/>
              <w:rPr>
                <w:sz w:val="20"/>
              </w:rPr>
            </w:pPr>
            <w:r>
              <w:rPr>
                <w:sz w:val="20"/>
              </w:rPr>
              <w:t>0,045</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330A0000">
            <w:pPr>
              <w:ind/>
              <w:jc w:val="center"/>
              <w:rPr>
                <w:sz w:val="20"/>
              </w:rPr>
            </w:pPr>
            <w:r>
              <w:rPr>
                <w:sz w:val="20"/>
              </w:rPr>
              <w:t>0,081</w:t>
            </w:r>
          </w:p>
        </w:tc>
      </w:tr>
      <w:tr>
        <w:trPr>
          <w:trHeight w:hRule="exact" w:val="278"/>
        </w:trPr>
        <w:tc>
          <w:tcPr>
            <w:tcW w:type="dxa" w:w="3700"/>
            <w:tcBorders>
              <w:top w:sz="4" w:val="nil"/>
              <w:left w:color="000000" w:sz="4" w:val="single"/>
              <w:bottom w:color="000000" w:sz="4" w:val="single"/>
              <w:right w:color="000000" w:sz="4" w:val="single"/>
            </w:tcBorders>
            <w:tcMar>
              <w:left w:type="dxa" w:w="40"/>
              <w:right w:type="dxa" w:w="40"/>
            </w:tcMar>
            <w:vAlign w:val="center"/>
          </w:tcPr>
          <w:p w14:paraId="340A0000">
            <w:pPr>
              <w:ind/>
              <w:jc w:val="center"/>
              <w:rPr>
                <w:sz w:val="20"/>
              </w:rPr>
            </w:pPr>
            <w:r>
              <w:rPr>
                <w:sz w:val="20"/>
              </w:rPr>
              <w:t>х. Ольховский, ул. Центральная, 3 а</w:t>
            </w:r>
          </w:p>
        </w:tc>
        <w:tc>
          <w:tcPr>
            <w:tcW w:type="dxa" w:w="1362"/>
            <w:tcBorders>
              <w:top w:sz="4" w:val="nil"/>
              <w:left w:sz="4" w:val="nil"/>
              <w:bottom w:color="000000" w:sz="4" w:val="single"/>
              <w:right w:color="000000" w:sz="4" w:val="single"/>
            </w:tcBorders>
            <w:tcMar>
              <w:left w:type="dxa" w:w="40"/>
              <w:right w:type="dxa" w:w="40"/>
            </w:tcMar>
            <w:vAlign w:val="center"/>
          </w:tcPr>
          <w:p w14:paraId="350A0000">
            <w:pPr>
              <w:ind/>
              <w:jc w:val="center"/>
              <w:rPr>
                <w:sz w:val="20"/>
              </w:rPr>
            </w:pPr>
            <w:r>
              <w:rPr>
                <w:sz w:val="20"/>
              </w:rPr>
              <w:t>0,052</w:t>
            </w:r>
          </w:p>
        </w:tc>
        <w:tc>
          <w:tcPr>
            <w:tcW w:type="dxa" w:w="1615"/>
            <w:tcBorders>
              <w:top w:sz="4" w:val="nil"/>
              <w:left w:sz="4" w:val="nil"/>
              <w:bottom w:color="000000" w:sz="4" w:val="single"/>
              <w:right w:color="000000" w:sz="4" w:val="single"/>
            </w:tcBorders>
            <w:tcMar>
              <w:left w:type="dxa" w:w="40"/>
              <w:right w:type="dxa" w:w="40"/>
            </w:tcMar>
            <w:vAlign w:val="center"/>
          </w:tcPr>
          <w:p w14:paraId="360A0000">
            <w:pPr>
              <w:ind/>
              <w:jc w:val="center"/>
              <w:rPr>
                <w:sz w:val="20"/>
              </w:rPr>
            </w:pPr>
            <w:r>
              <w:rPr>
                <w:sz w:val="20"/>
              </w:rPr>
              <w:t>0,052</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370A0000">
            <w:pPr>
              <w:ind/>
              <w:jc w:val="center"/>
              <w:rPr>
                <w:sz w:val="20"/>
              </w:rPr>
            </w:pPr>
            <w:r>
              <w:rPr>
                <w:sz w:val="20"/>
              </w:rPr>
              <w:t>0,026</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380A0000">
            <w:pPr>
              <w:ind/>
              <w:jc w:val="center"/>
              <w:rPr>
                <w:sz w:val="20"/>
              </w:rPr>
            </w:pPr>
            <w:r>
              <w:rPr>
                <w:sz w:val="20"/>
              </w:rPr>
              <w:t>0,026</w:t>
            </w:r>
          </w:p>
        </w:tc>
      </w:tr>
      <w:tr>
        <w:trPr>
          <w:trHeight w:hRule="exact" w:val="296"/>
        </w:trPr>
        <w:tc>
          <w:tcPr>
            <w:tcW w:type="dxa" w:w="3700"/>
            <w:tcBorders>
              <w:top w:sz="4" w:val="nil"/>
              <w:left w:color="000000" w:sz="4" w:val="single"/>
              <w:bottom w:color="000000" w:sz="4" w:val="single"/>
              <w:right w:color="000000" w:sz="4" w:val="single"/>
            </w:tcBorders>
            <w:tcMar>
              <w:left w:type="dxa" w:w="40"/>
              <w:right w:type="dxa" w:w="40"/>
            </w:tcMar>
            <w:vAlign w:val="center"/>
          </w:tcPr>
          <w:p w14:paraId="390A0000">
            <w:pPr>
              <w:ind/>
              <w:jc w:val="center"/>
              <w:rPr>
                <w:sz w:val="20"/>
              </w:rPr>
            </w:pPr>
            <w:r>
              <w:rPr>
                <w:sz w:val="20"/>
              </w:rPr>
              <w:t>с. Куйбышево, ул. Пролетарская, 5</w:t>
            </w:r>
          </w:p>
        </w:tc>
        <w:tc>
          <w:tcPr>
            <w:tcW w:type="dxa" w:w="1362"/>
            <w:tcBorders>
              <w:top w:sz="4" w:val="nil"/>
              <w:left w:sz="4" w:val="nil"/>
              <w:bottom w:color="000000" w:sz="4" w:val="single"/>
              <w:right w:color="000000" w:sz="4" w:val="single"/>
            </w:tcBorders>
            <w:tcMar>
              <w:left w:type="dxa" w:w="40"/>
              <w:right w:type="dxa" w:w="40"/>
            </w:tcMar>
            <w:vAlign w:val="center"/>
          </w:tcPr>
          <w:p w14:paraId="3A0A0000">
            <w:pPr>
              <w:ind/>
              <w:jc w:val="center"/>
              <w:rPr>
                <w:sz w:val="20"/>
              </w:rPr>
            </w:pPr>
            <w:r>
              <w:rPr>
                <w:sz w:val="20"/>
              </w:rPr>
              <w:t>0,034</w:t>
            </w:r>
          </w:p>
        </w:tc>
        <w:tc>
          <w:tcPr>
            <w:tcW w:type="dxa" w:w="1615"/>
            <w:tcBorders>
              <w:top w:sz="4" w:val="nil"/>
              <w:left w:sz="4" w:val="nil"/>
              <w:bottom w:color="000000" w:sz="4" w:val="single"/>
              <w:right w:color="000000" w:sz="4" w:val="single"/>
            </w:tcBorders>
            <w:tcMar>
              <w:left w:type="dxa" w:w="40"/>
              <w:right w:type="dxa" w:w="40"/>
            </w:tcMar>
            <w:vAlign w:val="center"/>
          </w:tcPr>
          <w:p w14:paraId="3B0A0000">
            <w:pPr>
              <w:ind/>
              <w:jc w:val="center"/>
              <w:rPr>
                <w:sz w:val="20"/>
              </w:rPr>
            </w:pPr>
            <w:r>
              <w:rPr>
                <w:sz w:val="20"/>
              </w:rPr>
              <w:t>0,034</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3C0A0000">
            <w:pPr>
              <w:ind/>
              <w:jc w:val="center"/>
              <w:rPr>
                <w:sz w:val="20"/>
              </w:rPr>
            </w:pPr>
            <w:r>
              <w:rPr>
                <w:sz w:val="20"/>
              </w:rPr>
              <w:t>0,034</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3D0A0000">
            <w:pPr>
              <w:ind/>
              <w:jc w:val="center"/>
              <w:rPr>
                <w:sz w:val="20"/>
              </w:rPr>
            </w:pPr>
            <w:r>
              <w:rPr>
                <w:sz w:val="20"/>
              </w:rPr>
              <w:t>-</w:t>
            </w:r>
          </w:p>
        </w:tc>
      </w:tr>
      <w:tr>
        <w:trPr>
          <w:trHeight w:hRule="exact" w:val="272"/>
        </w:trPr>
        <w:tc>
          <w:tcPr>
            <w:tcW w:type="dxa" w:w="3700"/>
            <w:tcBorders>
              <w:top w:sz="4" w:val="nil"/>
              <w:left w:color="000000" w:sz="4" w:val="single"/>
              <w:bottom w:color="000000" w:sz="4" w:val="single"/>
              <w:right w:color="000000" w:sz="4" w:val="single"/>
            </w:tcBorders>
            <w:tcMar>
              <w:left w:type="dxa" w:w="40"/>
              <w:right w:type="dxa" w:w="40"/>
            </w:tcMar>
            <w:vAlign w:val="center"/>
          </w:tcPr>
          <w:p w14:paraId="3E0A0000">
            <w:pPr>
              <w:ind/>
              <w:jc w:val="center"/>
              <w:rPr>
                <w:sz w:val="20"/>
              </w:rPr>
            </w:pPr>
            <w:r>
              <w:rPr>
                <w:sz w:val="20"/>
              </w:rPr>
              <w:t>с. Куйбышево, ул. Театральная, 22</w:t>
            </w:r>
          </w:p>
        </w:tc>
        <w:tc>
          <w:tcPr>
            <w:tcW w:type="dxa" w:w="1362"/>
            <w:tcBorders>
              <w:top w:sz="4" w:val="nil"/>
              <w:left w:sz="4" w:val="nil"/>
              <w:bottom w:color="000000" w:sz="4" w:val="single"/>
              <w:right w:color="000000" w:sz="4" w:val="single"/>
            </w:tcBorders>
            <w:tcMar>
              <w:left w:type="dxa" w:w="40"/>
              <w:right w:type="dxa" w:w="40"/>
            </w:tcMar>
            <w:vAlign w:val="center"/>
          </w:tcPr>
          <w:p w14:paraId="3F0A0000">
            <w:pPr>
              <w:ind/>
              <w:jc w:val="center"/>
              <w:rPr>
                <w:sz w:val="20"/>
              </w:rPr>
            </w:pPr>
            <w:r>
              <w:rPr>
                <w:sz w:val="20"/>
              </w:rPr>
              <w:t>0,165</w:t>
            </w:r>
          </w:p>
        </w:tc>
        <w:tc>
          <w:tcPr>
            <w:tcW w:type="dxa" w:w="1615"/>
            <w:tcBorders>
              <w:top w:sz="4" w:val="nil"/>
              <w:left w:sz="4" w:val="nil"/>
              <w:bottom w:color="000000" w:sz="4" w:val="single"/>
              <w:right w:color="000000" w:sz="4" w:val="single"/>
            </w:tcBorders>
            <w:tcMar>
              <w:left w:type="dxa" w:w="40"/>
              <w:right w:type="dxa" w:w="40"/>
            </w:tcMar>
            <w:vAlign w:val="center"/>
          </w:tcPr>
          <w:p w14:paraId="400A0000">
            <w:pPr>
              <w:ind/>
              <w:jc w:val="center"/>
              <w:rPr>
                <w:sz w:val="20"/>
              </w:rPr>
            </w:pPr>
            <w:r>
              <w:rPr>
                <w:sz w:val="20"/>
              </w:rPr>
              <w:t>0,165</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410A0000">
            <w:pPr>
              <w:ind/>
              <w:jc w:val="center"/>
              <w:rPr>
                <w:sz w:val="20"/>
              </w:rPr>
            </w:pPr>
            <w:r>
              <w:rPr>
                <w:sz w:val="20"/>
              </w:rPr>
              <w:t>0,141</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420A0000">
            <w:pPr>
              <w:ind/>
              <w:jc w:val="center"/>
              <w:rPr>
                <w:sz w:val="20"/>
              </w:rPr>
            </w:pPr>
            <w:r>
              <w:rPr>
                <w:sz w:val="20"/>
              </w:rPr>
              <w:t>0,024</w:t>
            </w:r>
          </w:p>
        </w:tc>
      </w:tr>
      <w:tr>
        <w:trPr>
          <w:trHeight w:hRule="exact" w:val="248"/>
        </w:trPr>
        <w:tc>
          <w:tcPr>
            <w:tcW w:type="dxa" w:w="3700"/>
            <w:tcBorders>
              <w:top w:sz="4" w:val="nil"/>
              <w:left w:color="000000" w:sz="4" w:val="single"/>
              <w:bottom w:color="000000" w:sz="4" w:val="single"/>
              <w:right w:color="000000" w:sz="4" w:val="single"/>
            </w:tcBorders>
            <w:tcMar>
              <w:left w:type="dxa" w:w="40"/>
              <w:right w:type="dxa" w:w="40"/>
            </w:tcMar>
            <w:vAlign w:val="center"/>
          </w:tcPr>
          <w:p w14:paraId="430A0000">
            <w:pPr>
              <w:ind/>
              <w:jc w:val="center"/>
              <w:rPr>
                <w:sz w:val="20"/>
              </w:rPr>
            </w:pPr>
            <w:r>
              <w:rPr>
                <w:sz w:val="20"/>
              </w:rPr>
              <w:t>х. Свободный, ул. Победы, 29</w:t>
            </w:r>
          </w:p>
        </w:tc>
        <w:tc>
          <w:tcPr>
            <w:tcW w:type="dxa" w:w="1362"/>
            <w:tcBorders>
              <w:top w:sz="4" w:val="nil"/>
              <w:left w:sz="4" w:val="nil"/>
              <w:bottom w:color="000000" w:sz="4" w:val="single"/>
              <w:right w:color="000000" w:sz="4" w:val="single"/>
            </w:tcBorders>
            <w:tcMar>
              <w:left w:type="dxa" w:w="40"/>
              <w:right w:type="dxa" w:w="40"/>
            </w:tcMar>
            <w:vAlign w:val="center"/>
          </w:tcPr>
          <w:p w14:paraId="440A0000">
            <w:pPr>
              <w:ind/>
              <w:jc w:val="center"/>
              <w:rPr>
                <w:sz w:val="20"/>
              </w:rPr>
            </w:pPr>
            <w:r>
              <w:rPr>
                <w:sz w:val="20"/>
              </w:rPr>
              <w:t>0,014</w:t>
            </w:r>
          </w:p>
        </w:tc>
        <w:tc>
          <w:tcPr>
            <w:tcW w:type="dxa" w:w="1615"/>
            <w:tcBorders>
              <w:top w:sz="4" w:val="nil"/>
              <w:left w:sz="4" w:val="nil"/>
              <w:bottom w:color="000000" w:sz="4" w:val="single"/>
              <w:right w:color="000000" w:sz="4" w:val="single"/>
            </w:tcBorders>
            <w:tcMar>
              <w:left w:type="dxa" w:w="40"/>
              <w:right w:type="dxa" w:w="40"/>
            </w:tcMar>
            <w:vAlign w:val="center"/>
          </w:tcPr>
          <w:p w14:paraId="450A0000">
            <w:pPr>
              <w:ind/>
              <w:jc w:val="center"/>
              <w:rPr>
                <w:sz w:val="20"/>
              </w:rPr>
            </w:pPr>
            <w:r>
              <w:rPr>
                <w:sz w:val="20"/>
              </w:rPr>
              <w:t>0,014</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460A0000">
            <w:pPr>
              <w:ind/>
              <w:jc w:val="center"/>
              <w:rPr>
                <w:sz w:val="20"/>
              </w:rPr>
            </w:pPr>
            <w:r>
              <w:rPr>
                <w:sz w:val="20"/>
              </w:rPr>
              <w:t>0,013</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470A0000">
            <w:pPr>
              <w:ind/>
              <w:jc w:val="center"/>
              <w:rPr>
                <w:sz w:val="20"/>
              </w:rPr>
            </w:pPr>
            <w:r>
              <w:rPr>
                <w:sz w:val="20"/>
              </w:rPr>
              <w:t>0,001</w:t>
            </w:r>
          </w:p>
        </w:tc>
      </w:tr>
      <w:tr>
        <w:trPr>
          <w:trHeight w:hRule="exact" w:val="321"/>
        </w:trPr>
        <w:tc>
          <w:tcPr>
            <w:tcW w:type="dxa" w:w="3700"/>
            <w:tcBorders>
              <w:top w:sz="4" w:val="nil"/>
              <w:left w:color="000000" w:sz="4" w:val="single"/>
              <w:bottom w:color="000000" w:sz="4" w:val="single"/>
              <w:right w:color="000000" w:sz="4" w:val="single"/>
            </w:tcBorders>
            <w:tcMar>
              <w:left w:type="dxa" w:w="40"/>
              <w:right w:type="dxa" w:w="40"/>
            </w:tcMar>
            <w:vAlign w:val="center"/>
          </w:tcPr>
          <w:p w14:paraId="480A0000">
            <w:pPr>
              <w:ind/>
              <w:jc w:val="center"/>
              <w:rPr>
                <w:sz w:val="20"/>
              </w:rPr>
            </w:pPr>
            <w:r>
              <w:rPr>
                <w:sz w:val="20"/>
              </w:rPr>
              <w:t>х.</w:t>
            </w:r>
            <w:r>
              <w:rPr>
                <w:sz w:val="20"/>
              </w:rPr>
              <w:t xml:space="preserve"> Новобахмутский, ул. Широкая, 89 а</w:t>
            </w:r>
          </w:p>
        </w:tc>
        <w:tc>
          <w:tcPr>
            <w:tcW w:type="dxa" w:w="1362"/>
            <w:tcBorders>
              <w:top w:sz="4" w:val="nil"/>
              <w:left w:sz="4" w:val="nil"/>
              <w:bottom w:color="000000" w:sz="4" w:val="single"/>
              <w:right w:color="000000" w:sz="4" w:val="single"/>
            </w:tcBorders>
            <w:tcMar>
              <w:left w:type="dxa" w:w="40"/>
              <w:right w:type="dxa" w:w="40"/>
            </w:tcMar>
            <w:vAlign w:val="center"/>
          </w:tcPr>
          <w:p w14:paraId="490A0000">
            <w:pPr>
              <w:ind/>
              <w:jc w:val="center"/>
              <w:rPr>
                <w:sz w:val="20"/>
              </w:rPr>
            </w:pPr>
            <w:r>
              <w:rPr>
                <w:sz w:val="20"/>
              </w:rPr>
              <w:t>0,014</w:t>
            </w:r>
          </w:p>
        </w:tc>
        <w:tc>
          <w:tcPr>
            <w:tcW w:type="dxa" w:w="1615"/>
            <w:tcBorders>
              <w:top w:sz="4" w:val="nil"/>
              <w:left w:sz="4" w:val="nil"/>
              <w:bottom w:color="000000" w:sz="4" w:val="single"/>
              <w:right w:color="000000" w:sz="4" w:val="single"/>
            </w:tcBorders>
            <w:tcMar>
              <w:left w:type="dxa" w:w="40"/>
              <w:right w:type="dxa" w:w="40"/>
            </w:tcMar>
            <w:vAlign w:val="center"/>
          </w:tcPr>
          <w:p w14:paraId="4A0A0000">
            <w:pPr>
              <w:ind/>
              <w:jc w:val="center"/>
              <w:rPr>
                <w:sz w:val="20"/>
              </w:rPr>
            </w:pPr>
            <w:r>
              <w:rPr>
                <w:sz w:val="20"/>
              </w:rPr>
              <w:t>0,014</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4B0A0000">
            <w:pPr>
              <w:ind/>
              <w:jc w:val="center"/>
              <w:rPr>
                <w:sz w:val="20"/>
              </w:rPr>
            </w:pPr>
            <w:r>
              <w:rPr>
                <w:sz w:val="20"/>
              </w:rPr>
              <w:t>0,014</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4C0A0000">
            <w:pPr>
              <w:ind/>
              <w:jc w:val="center"/>
              <w:rPr>
                <w:sz w:val="20"/>
              </w:rPr>
            </w:pPr>
            <w:r>
              <w:rPr>
                <w:sz w:val="20"/>
              </w:rPr>
              <w:t>-</w:t>
            </w:r>
          </w:p>
        </w:tc>
      </w:tr>
      <w:tr>
        <w:trPr>
          <w:trHeight w:hRule="exact" w:val="283"/>
        </w:trPr>
        <w:tc>
          <w:tcPr>
            <w:tcW w:type="dxa" w:w="3700"/>
            <w:tcBorders>
              <w:top w:sz="4" w:val="nil"/>
              <w:left w:color="000000" w:sz="4" w:val="single"/>
              <w:bottom w:color="000000" w:sz="4" w:val="single"/>
              <w:right w:color="000000" w:sz="4" w:val="single"/>
            </w:tcBorders>
            <w:tcMar>
              <w:left w:type="dxa" w:w="40"/>
              <w:right w:type="dxa" w:w="40"/>
            </w:tcMar>
            <w:vAlign w:val="center"/>
          </w:tcPr>
          <w:p w14:paraId="4D0A0000">
            <w:pPr>
              <w:ind/>
              <w:jc w:val="center"/>
              <w:rPr>
                <w:sz w:val="20"/>
              </w:rPr>
            </w:pPr>
            <w:r>
              <w:rPr>
                <w:sz w:val="20"/>
              </w:rPr>
              <w:t>с. Русское, ул. Красноармейская, 1</w:t>
            </w:r>
          </w:p>
        </w:tc>
        <w:tc>
          <w:tcPr>
            <w:tcW w:type="dxa" w:w="1362"/>
            <w:tcBorders>
              <w:top w:sz="4" w:val="nil"/>
              <w:left w:sz="4" w:val="nil"/>
              <w:bottom w:color="000000" w:sz="4" w:val="single"/>
              <w:right w:color="000000" w:sz="4" w:val="single"/>
            </w:tcBorders>
            <w:tcMar>
              <w:left w:type="dxa" w:w="40"/>
              <w:right w:type="dxa" w:w="40"/>
            </w:tcMar>
            <w:vAlign w:val="center"/>
          </w:tcPr>
          <w:p w14:paraId="4E0A0000">
            <w:pPr>
              <w:ind/>
              <w:jc w:val="center"/>
              <w:rPr>
                <w:sz w:val="20"/>
              </w:rPr>
            </w:pPr>
            <w:r>
              <w:rPr>
                <w:sz w:val="20"/>
              </w:rPr>
              <w:t>0,094</w:t>
            </w:r>
          </w:p>
        </w:tc>
        <w:tc>
          <w:tcPr>
            <w:tcW w:type="dxa" w:w="1615"/>
            <w:tcBorders>
              <w:top w:sz="4" w:val="nil"/>
              <w:left w:sz="4" w:val="nil"/>
              <w:bottom w:color="000000" w:sz="4" w:val="single"/>
              <w:right w:color="000000" w:sz="4" w:val="single"/>
            </w:tcBorders>
            <w:tcMar>
              <w:left w:type="dxa" w:w="40"/>
              <w:right w:type="dxa" w:w="40"/>
            </w:tcMar>
            <w:vAlign w:val="center"/>
          </w:tcPr>
          <w:p w14:paraId="4F0A0000">
            <w:pPr>
              <w:ind/>
              <w:jc w:val="center"/>
              <w:rPr>
                <w:sz w:val="20"/>
              </w:rPr>
            </w:pPr>
            <w:r>
              <w:rPr>
                <w:sz w:val="20"/>
              </w:rPr>
              <w:t>0,094</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500A0000">
            <w:pPr>
              <w:ind/>
              <w:jc w:val="center"/>
              <w:rPr>
                <w:sz w:val="20"/>
              </w:rPr>
            </w:pPr>
            <w:r>
              <w:rPr>
                <w:sz w:val="20"/>
              </w:rPr>
              <w:t>0,051</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510A0000">
            <w:pPr>
              <w:ind/>
              <w:jc w:val="center"/>
              <w:rPr>
                <w:sz w:val="20"/>
              </w:rPr>
            </w:pPr>
            <w:r>
              <w:rPr>
                <w:sz w:val="20"/>
              </w:rPr>
              <w:t>0,043</w:t>
            </w:r>
          </w:p>
        </w:tc>
      </w:tr>
      <w:tr>
        <w:trPr>
          <w:trHeight w:hRule="exact" w:val="283"/>
        </w:trPr>
        <w:tc>
          <w:tcPr>
            <w:tcW w:type="dxa" w:w="3700"/>
            <w:tcBorders>
              <w:top w:sz="4" w:val="nil"/>
              <w:left w:color="000000" w:sz="4" w:val="single"/>
              <w:bottom w:color="000000" w:sz="4" w:val="single"/>
              <w:right w:color="000000" w:sz="4" w:val="single"/>
            </w:tcBorders>
            <w:tcMar>
              <w:left w:type="dxa" w:w="40"/>
              <w:right w:type="dxa" w:w="40"/>
            </w:tcMar>
            <w:vAlign w:val="center"/>
          </w:tcPr>
          <w:p w14:paraId="520A0000">
            <w:pPr>
              <w:ind/>
              <w:jc w:val="center"/>
              <w:rPr>
                <w:sz w:val="20"/>
              </w:rPr>
            </w:pPr>
            <w:r>
              <w:rPr>
                <w:sz w:val="20"/>
              </w:rPr>
              <w:t>с. Куйбышево, ул. Цветаева, 31</w:t>
            </w:r>
          </w:p>
        </w:tc>
        <w:tc>
          <w:tcPr>
            <w:tcW w:type="dxa" w:w="1362"/>
            <w:tcBorders>
              <w:top w:sz="4" w:val="nil"/>
              <w:left w:sz="4" w:val="nil"/>
              <w:bottom w:color="000000" w:sz="4" w:val="single"/>
              <w:right w:color="000000" w:sz="4" w:val="single"/>
            </w:tcBorders>
            <w:tcMar>
              <w:left w:type="dxa" w:w="40"/>
              <w:right w:type="dxa" w:w="40"/>
            </w:tcMar>
            <w:vAlign w:val="center"/>
          </w:tcPr>
          <w:p w14:paraId="530A0000">
            <w:pPr>
              <w:ind/>
              <w:jc w:val="center"/>
              <w:rPr>
                <w:sz w:val="20"/>
              </w:rPr>
            </w:pPr>
            <w:r>
              <w:rPr>
                <w:sz w:val="20"/>
              </w:rPr>
              <w:t>0,020</w:t>
            </w:r>
          </w:p>
        </w:tc>
        <w:tc>
          <w:tcPr>
            <w:tcW w:type="dxa" w:w="1615"/>
            <w:tcBorders>
              <w:top w:sz="4" w:val="nil"/>
              <w:left w:sz="4" w:val="nil"/>
              <w:bottom w:color="000000" w:sz="4" w:val="single"/>
              <w:right w:color="000000" w:sz="4" w:val="single"/>
            </w:tcBorders>
            <w:tcMar>
              <w:left w:type="dxa" w:w="40"/>
              <w:right w:type="dxa" w:w="40"/>
            </w:tcMar>
            <w:vAlign w:val="center"/>
          </w:tcPr>
          <w:p w14:paraId="540A0000">
            <w:pPr>
              <w:ind/>
              <w:jc w:val="center"/>
              <w:rPr>
                <w:sz w:val="20"/>
              </w:rPr>
            </w:pPr>
            <w:r>
              <w:rPr>
                <w:sz w:val="20"/>
              </w:rPr>
              <w:t>0,020</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550A0000">
            <w:pPr>
              <w:ind/>
              <w:jc w:val="center"/>
              <w:rPr>
                <w:sz w:val="20"/>
              </w:rPr>
            </w:pPr>
            <w:r>
              <w:rPr>
                <w:sz w:val="20"/>
              </w:rPr>
              <w:t>0,012</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560A0000">
            <w:pPr>
              <w:ind/>
              <w:jc w:val="center"/>
              <w:rPr>
                <w:sz w:val="20"/>
              </w:rPr>
            </w:pPr>
            <w:r>
              <w:rPr>
                <w:sz w:val="20"/>
              </w:rPr>
              <w:t>0,008</w:t>
            </w:r>
          </w:p>
        </w:tc>
      </w:tr>
      <w:tr>
        <w:trPr>
          <w:trHeight w:hRule="exact" w:val="292"/>
        </w:trPr>
        <w:tc>
          <w:tcPr>
            <w:tcW w:type="dxa" w:w="3700"/>
            <w:tcBorders>
              <w:top w:sz="4" w:val="nil"/>
              <w:left w:color="000000" w:sz="4" w:val="single"/>
              <w:bottom w:color="000000" w:sz="4" w:val="single"/>
              <w:right w:color="000000" w:sz="4" w:val="single"/>
            </w:tcBorders>
            <w:tcMar>
              <w:left w:type="dxa" w:w="40"/>
              <w:right w:type="dxa" w:w="40"/>
            </w:tcMar>
            <w:vAlign w:val="center"/>
          </w:tcPr>
          <w:p w14:paraId="570A0000">
            <w:pPr>
              <w:ind/>
              <w:jc w:val="center"/>
              <w:rPr>
                <w:sz w:val="20"/>
              </w:rPr>
            </w:pPr>
            <w:r>
              <w:rPr>
                <w:sz w:val="20"/>
              </w:rPr>
              <w:t>с. Куйбышево, ул. Куйбышевская, 24</w:t>
            </w:r>
          </w:p>
        </w:tc>
        <w:tc>
          <w:tcPr>
            <w:tcW w:type="dxa" w:w="1362"/>
            <w:tcBorders>
              <w:top w:sz="4" w:val="nil"/>
              <w:left w:sz="4" w:val="nil"/>
              <w:bottom w:color="000000" w:sz="4" w:val="single"/>
              <w:right w:color="000000" w:sz="4" w:val="single"/>
            </w:tcBorders>
            <w:tcMar>
              <w:left w:type="dxa" w:w="40"/>
              <w:right w:type="dxa" w:w="40"/>
            </w:tcMar>
            <w:vAlign w:val="center"/>
          </w:tcPr>
          <w:p w14:paraId="580A0000">
            <w:pPr>
              <w:ind/>
              <w:jc w:val="center"/>
              <w:rPr>
                <w:sz w:val="20"/>
              </w:rPr>
            </w:pPr>
            <w:r>
              <w:rPr>
                <w:sz w:val="20"/>
              </w:rPr>
              <w:t>0,165</w:t>
            </w:r>
          </w:p>
        </w:tc>
        <w:tc>
          <w:tcPr>
            <w:tcW w:type="dxa" w:w="1615"/>
            <w:tcBorders>
              <w:top w:sz="4" w:val="nil"/>
              <w:left w:sz="4" w:val="nil"/>
              <w:bottom w:color="000000" w:sz="4" w:val="single"/>
              <w:right w:color="000000" w:sz="4" w:val="single"/>
            </w:tcBorders>
            <w:tcMar>
              <w:left w:type="dxa" w:w="40"/>
              <w:right w:type="dxa" w:w="40"/>
            </w:tcMar>
            <w:vAlign w:val="center"/>
          </w:tcPr>
          <w:p w14:paraId="590A0000">
            <w:pPr>
              <w:ind/>
              <w:jc w:val="center"/>
              <w:rPr>
                <w:sz w:val="20"/>
              </w:rPr>
            </w:pPr>
            <w:r>
              <w:rPr>
                <w:sz w:val="20"/>
              </w:rPr>
              <w:t>0,165</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5A0A0000">
            <w:pPr>
              <w:ind/>
              <w:jc w:val="center"/>
              <w:rPr>
                <w:sz w:val="20"/>
              </w:rPr>
            </w:pPr>
            <w:r>
              <w:rPr>
                <w:sz w:val="20"/>
              </w:rPr>
              <w:t>0,153</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5B0A0000">
            <w:pPr>
              <w:ind/>
              <w:jc w:val="center"/>
              <w:rPr>
                <w:sz w:val="20"/>
              </w:rPr>
            </w:pPr>
            <w:r>
              <w:rPr>
                <w:sz w:val="20"/>
              </w:rPr>
              <w:t>0,012</w:t>
            </w:r>
          </w:p>
        </w:tc>
      </w:tr>
      <w:tr>
        <w:trPr>
          <w:trHeight w:hRule="exact" w:val="282"/>
        </w:trPr>
        <w:tc>
          <w:tcPr>
            <w:tcW w:type="dxa" w:w="3700"/>
            <w:tcBorders>
              <w:top w:sz="4" w:val="nil"/>
              <w:left w:color="000000" w:sz="4" w:val="single"/>
              <w:bottom w:color="000000" w:sz="4" w:val="single"/>
              <w:right w:color="000000" w:sz="4" w:val="single"/>
            </w:tcBorders>
            <w:tcMar>
              <w:left w:type="dxa" w:w="40"/>
              <w:right w:type="dxa" w:w="40"/>
            </w:tcMar>
            <w:vAlign w:val="center"/>
          </w:tcPr>
          <w:p w14:paraId="5C0A0000">
            <w:pPr>
              <w:ind/>
              <w:jc w:val="center"/>
              <w:rPr>
                <w:sz w:val="20"/>
              </w:rPr>
            </w:pPr>
            <w:r>
              <w:rPr>
                <w:sz w:val="20"/>
              </w:rPr>
              <w:t xml:space="preserve">с. Куйбышево, ул. </w:t>
            </w:r>
            <w:r>
              <w:rPr>
                <w:sz w:val="20"/>
              </w:rPr>
              <w:t>Куйбышевская, 20</w:t>
            </w:r>
          </w:p>
        </w:tc>
        <w:tc>
          <w:tcPr>
            <w:tcW w:type="dxa" w:w="1362"/>
            <w:tcBorders>
              <w:top w:sz="4" w:val="nil"/>
              <w:left w:sz="4" w:val="nil"/>
              <w:bottom w:color="000000" w:sz="4" w:val="single"/>
              <w:right w:color="000000" w:sz="4" w:val="single"/>
            </w:tcBorders>
            <w:tcMar>
              <w:left w:type="dxa" w:w="40"/>
              <w:right w:type="dxa" w:w="40"/>
            </w:tcMar>
            <w:vAlign w:val="center"/>
          </w:tcPr>
          <w:p w14:paraId="5D0A0000">
            <w:pPr>
              <w:ind/>
              <w:jc w:val="center"/>
              <w:rPr>
                <w:sz w:val="20"/>
              </w:rPr>
            </w:pPr>
            <w:r>
              <w:rPr>
                <w:sz w:val="20"/>
              </w:rPr>
              <w:t>0,027</w:t>
            </w:r>
          </w:p>
        </w:tc>
        <w:tc>
          <w:tcPr>
            <w:tcW w:type="dxa" w:w="1615"/>
            <w:tcBorders>
              <w:top w:sz="4" w:val="nil"/>
              <w:left w:sz="4" w:val="nil"/>
              <w:bottom w:color="000000" w:sz="4" w:val="single"/>
              <w:right w:color="000000" w:sz="4" w:val="single"/>
            </w:tcBorders>
            <w:tcMar>
              <w:left w:type="dxa" w:w="40"/>
              <w:right w:type="dxa" w:w="40"/>
            </w:tcMar>
            <w:vAlign w:val="center"/>
          </w:tcPr>
          <w:p w14:paraId="5E0A0000">
            <w:pPr>
              <w:ind/>
              <w:jc w:val="center"/>
              <w:rPr>
                <w:sz w:val="20"/>
              </w:rPr>
            </w:pPr>
            <w:r>
              <w:rPr>
                <w:sz w:val="20"/>
              </w:rPr>
              <w:t>0,027</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5F0A0000">
            <w:pPr>
              <w:ind/>
              <w:jc w:val="center"/>
              <w:rPr>
                <w:sz w:val="20"/>
              </w:rPr>
            </w:pPr>
            <w:r>
              <w:rPr>
                <w:sz w:val="20"/>
              </w:rPr>
              <w:t>0,021</w:t>
            </w:r>
          </w:p>
        </w:tc>
        <w:tc>
          <w:tcPr>
            <w:tcW w:type="dxa" w:w="2007"/>
            <w:tcBorders>
              <w:top w:color="000000" w:sz="4" w:val="single"/>
              <w:left w:sz="4" w:val="nil"/>
              <w:bottom w:color="000000" w:sz="4" w:val="single"/>
              <w:right w:color="000000" w:sz="4" w:val="single"/>
            </w:tcBorders>
            <w:tcMar>
              <w:left w:type="dxa" w:w="40"/>
              <w:right w:type="dxa" w:w="40"/>
            </w:tcMar>
            <w:vAlign w:val="center"/>
          </w:tcPr>
          <w:p w14:paraId="600A0000">
            <w:pPr>
              <w:ind/>
              <w:jc w:val="center"/>
              <w:rPr>
                <w:sz w:val="20"/>
              </w:rPr>
            </w:pPr>
            <w:r>
              <w:rPr>
                <w:sz w:val="20"/>
              </w:rPr>
              <w:t>0,006</w:t>
            </w:r>
          </w:p>
        </w:tc>
      </w:tr>
      <w:tr>
        <w:trPr>
          <w:trHeight w:hRule="exact" w:val="307"/>
        </w:trPr>
        <w:tc>
          <w:tcPr>
            <w:tcW w:type="dxa" w:w="3700"/>
            <w:tcBorders>
              <w:top w:sz="4" w:val="nil"/>
              <w:left w:color="000000" w:sz="4" w:val="single"/>
              <w:bottom w:color="000000" w:sz="4" w:val="single"/>
              <w:right w:color="000000" w:sz="4" w:val="single"/>
            </w:tcBorders>
            <w:tcMar>
              <w:left w:type="dxa" w:w="40"/>
              <w:right w:type="dxa" w:w="40"/>
            </w:tcMar>
            <w:vAlign w:val="center"/>
          </w:tcPr>
          <w:p w14:paraId="610A0000">
            <w:pPr>
              <w:ind/>
              <w:jc w:val="center"/>
              <w:rPr>
                <w:sz w:val="20"/>
              </w:rPr>
            </w:pPr>
            <w:r>
              <w:rPr>
                <w:sz w:val="20"/>
              </w:rPr>
              <w:t>с. Куйбышево, ул. Миусская, 3</w:t>
            </w:r>
          </w:p>
        </w:tc>
        <w:tc>
          <w:tcPr>
            <w:tcW w:type="dxa" w:w="1362"/>
            <w:tcBorders>
              <w:top w:sz="4" w:val="nil"/>
              <w:left w:sz="4" w:val="nil"/>
              <w:bottom w:color="000000" w:sz="4" w:val="single"/>
              <w:right w:color="000000" w:sz="4" w:val="single"/>
            </w:tcBorders>
            <w:tcMar>
              <w:left w:type="dxa" w:w="40"/>
              <w:right w:type="dxa" w:w="40"/>
            </w:tcMar>
            <w:vAlign w:val="center"/>
          </w:tcPr>
          <w:p w14:paraId="620A0000">
            <w:pPr>
              <w:ind/>
              <w:jc w:val="center"/>
              <w:rPr>
                <w:sz w:val="20"/>
              </w:rPr>
            </w:pPr>
            <w:r>
              <w:rPr>
                <w:sz w:val="20"/>
              </w:rPr>
              <w:t>0,165</w:t>
            </w:r>
          </w:p>
        </w:tc>
        <w:tc>
          <w:tcPr>
            <w:tcW w:type="dxa" w:w="1615"/>
            <w:tcBorders>
              <w:top w:sz="4" w:val="nil"/>
              <w:left w:sz="4" w:val="nil"/>
              <w:bottom w:color="000000" w:sz="4" w:val="single"/>
              <w:right w:color="000000" w:sz="4" w:val="single"/>
            </w:tcBorders>
            <w:tcMar>
              <w:left w:type="dxa" w:w="40"/>
              <w:right w:type="dxa" w:w="40"/>
            </w:tcMar>
            <w:vAlign w:val="center"/>
          </w:tcPr>
          <w:p w14:paraId="630A0000">
            <w:pPr>
              <w:ind/>
              <w:jc w:val="center"/>
              <w:rPr>
                <w:sz w:val="20"/>
              </w:rPr>
            </w:pPr>
            <w:r>
              <w:rPr>
                <w:sz w:val="20"/>
              </w:rPr>
              <w:t>0,165</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640A0000">
            <w:pPr>
              <w:ind/>
              <w:jc w:val="center"/>
              <w:rPr>
                <w:sz w:val="20"/>
              </w:rPr>
            </w:pPr>
            <w:r>
              <w:rPr>
                <w:sz w:val="20"/>
              </w:rPr>
              <w:t>0,105</w:t>
            </w:r>
          </w:p>
        </w:tc>
        <w:tc>
          <w:tcPr>
            <w:tcW w:type="dxa" w:w="2007"/>
            <w:tcBorders>
              <w:top w:color="000000" w:sz="4" w:val="single"/>
              <w:left w:color="000000" w:sz="4" w:val="single"/>
              <w:bottom w:color="000000" w:sz="4" w:val="single"/>
              <w:right w:color="000000" w:sz="4" w:val="single"/>
            </w:tcBorders>
            <w:tcMar>
              <w:left w:type="dxa" w:w="40"/>
              <w:right w:type="dxa" w:w="40"/>
            </w:tcMar>
            <w:vAlign w:val="center"/>
          </w:tcPr>
          <w:p w14:paraId="650A0000">
            <w:pPr>
              <w:ind/>
              <w:jc w:val="center"/>
              <w:rPr>
                <w:sz w:val="20"/>
              </w:rPr>
            </w:pPr>
            <w:r>
              <w:rPr>
                <w:sz w:val="20"/>
              </w:rPr>
              <w:t>0,06</w:t>
            </w:r>
          </w:p>
        </w:tc>
      </w:tr>
      <w:tr>
        <w:trPr>
          <w:trHeight w:hRule="exact" w:val="371"/>
        </w:trPr>
        <w:tc>
          <w:tcPr>
            <w:tcW w:type="dxa" w:w="3700"/>
            <w:tcBorders>
              <w:top w:sz="4" w:val="nil"/>
              <w:left w:color="000000" w:sz="4" w:val="single"/>
              <w:bottom w:color="000000" w:sz="4" w:val="single"/>
              <w:right w:color="000000" w:sz="4" w:val="single"/>
            </w:tcBorders>
            <w:tcMar>
              <w:left w:type="dxa" w:w="40"/>
              <w:right w:type="dxa" w:w="40"/>
            </w:tcMar>
            <w:vAlign w:val="center"/>
          </w:tcPr>
          <w:p w14:paraId="660A0000">
            <w:pPr>
              <w:ind/>
              <w:jc w:val="center"/>
              <w:rPr>
                <w:sz w:val="20"/>
              </w:rPr>
            </w:pPr>
            <w:r>
              <w:rPr>
                <w:sz w:val="20"/>
              </w:rPr>
              <w:t>с. Куйбышево, ул. Миусская, 3</w:t>
            </w:r>
          </w:p>
        </w:tc>
        <w:tc>
          <w:tcPr>
            <w:tcW w:type="dxa" w:w="1362"/>
            <w:tcBorders>
              <w:top w:sz="4" w:val="nil"/>
              <w:left w:sz="4" w:val="nil"/>
              <w:bottom w:color="000000" w:sz="4" w:val="single"/>
              <w:right w:color="000000" w:sz="4" w:val="single"/>
            </w:tcBorders>
            <w:tcMar>
              <w:left w:type="dxa" w:w="40"/>
              <w:right w:type="dxa" w:w="40"/>
            </w:tcMar>
            <w:vAlign w:val="center"/>
          </w:tcPr>
          <w:p w14:paraId="670A0000">
            <w:pPr>
              <w:ind/>
              <w:jc w:val="center"/>
              <w:rPr>
                <w:sz w:val="20"/>
              </w:rPr>
            </w:pPr>
            <w:r>
              <w:rPr>
                <w:sz w:val="20"/>
              </w:rPr>
              <w:t>0,086</w:t>
            </w:r>
          </w:p>
        </w:tc>
        <w:tc>
          <w:tcPr>
            <w:tcW w:type="dxa" w:w="1615"/>
            <w:tcBorders>
              <w:top w:sz="4" w:val="nil"/>
              <w:left w:sz="4" w:val="nil"/>
              <w:bottom w:color="000000" w:sz="4" w:val="single"/>
              <w:right w:color="000000" w:sz="4" w:val="single"/>
            </w:tcBorders>
            <w:tcMar>
              <w:left w:type="dxa" w:w="40"/>
              <w:right w:type="dxa" w:w="40"/>
            </w:tcMar>
            <w:vAlign w:val="center"/>
          </w:tcPr>
          <w:p w14:paraId="680A0000">
            <w:pPr>
              <w:ind/>
              <w:jc w:val="center"/>
              <w:rPr>
                <w:sz w:val="20"/>
              </w:rPr>
            </w:pPr>
            <w:r>
              <w:rPr>
                <w:sz w:val="20"/>
              </w:rPr>
              <w:t>0,086</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690A0000">
            <w:pPr>
              <w:ind/>
              <w:jc w:val="center"/>
              <w:rPr>
                <w:sz w:val="20"/>
              </w:rPr>
            </w:pPr>
            <w:r>
              <w:rPr>
                <w:sz w:val="20"/>
              </w:rPr>
              <w:t>0,060</w:t>
            </w:r>
          </w:p>
        </w:tc>
        <w:tc>
          <w:tcPr>
            <w:tcW w:type="dxa" w:w="2007"/>
            <w:tcBorders>
              <w:top w:color="000000" w:sz="4" w:val="single"/>
              <w:left w:color="000000" w:sz="4" w:val="single"/>
              <w:bottom w:color="000000" w:sz="4" w:val="single"/>
              <w:right w:color="000000" w:sz="4" w:val="single"/>
            </w:tcBorders>
            <w:tcMar>
              <w:left w:type="dxa" w:w="40"/>
              <w:right w:type="dxa" w:w="40"/>
            </w:tcMar>
            <w:vAlign w:val="center"/>
          </w:tcPr>
          <w:p w14:paraId="6A0A0000">
            <w:pPr>
              <w:ind/>
              <w:jc w:val="center"/>
              <w:rPr>
                <w:sz w:val="20"/>
              </w:rPr>
            </w:pPr>
            <w:r>
              <w:rPr>
                <w:sz w:val="20"/>
              </w:rPr>
              <w:t>0,026</w:t>
            </w:r>
          </w:p>
        </w:tc>
      </w:tr>
      <w:tr>
        <w:trPr>
          <w:trHeight w:hRule="exact" w:val="371"/>
        </w:trPr>
        <w:tc>
          <w:tcPr>
            <w:tcW w:type="dxa" w:w="3700"/>
            <w:tcBorders>
              <w:top w:sz="4" w:val="nil"/>
              <w:left w:color="000000" w:sz="4" w:val="single"/>
              <w:bottom w:color="000000" w:sz="4" w:val="single"/>
              <w:right w:color="000000" w:sz="4" w:val="single"/>
            </w:tcBorders>
            <w:tcMar>
              <w:left w:type="dxa" w:w="40"/>
              <w:right w:type="dxa" w:w="40"/>
            </w:tcMar>
            <w:vAlign w:val="center"/>
          </w:tcPr>
          <w:p w14:paraId="6B0A0000">
            <w:pPr>
              <w:ind/>
              <w:jc w:val="center"/>
              <w:rPr>
                <w:sz w:val="20"/>
              </w:rPr>
            </w:pPr>
            <w:r>
              <w:rPr>
                <w:sz w:val="20"/>
              </w:rPr>
              <w:t>с. Куйбышево, ул. Миусская, 3</w:t>
            </w:r>
          </w:p>
        </w:tc>
        <w:tc>
          <w:tcPr>
            <w:tcW w:type="dxa" w:w="1362"/>
            <w:tcBorders>
              <w:top w:sz="4" w:val="nil"/>
              <w:left w:sz="4" w:val="nil"/>
              <w:bottom w:color="000000" w:sz="4" w:val="single"/>
              <w:right w:color="000000" w:sz="4" w:val="single"/>
            </w:tcBorders>
            <w:tcMar>
              <w:left w:type="dxa" w:w="40"/>
              <w:right w:type="dxa" w:w="40"/>
            </w:tcMar>
            <w:vAlign w:val="center"/>
          </w:tcPr>
          <w:p w14:paraId="6C0A0000">
            <w:pPr>
              <w:ind/>
              <w:jc w:val="center"/>
              <w:rPr>
                <w:sz w:val="20"/>
              </w:rPr>
            </w:pPr>
            <w:r>
              <w:rPr>
                <w:sz w:val="20"/>
              </w:rPr>
              <w:t>0,017</w:t>
            </w:r>
          </w:p>
        </w:tc>
        <w:tc>
          <w:tcPr>
            <w:tcW w:type="dxa" w:w="1615"/>
            <w:tcBorders>
              <w:top w:sz="4" w:val="nil"/>
              <w:left w:sz="4" w:val="nil"/>
              <w:bottom w:color="000000" w:sz="4" w:val="single"/>
              <w:right w:color="000000" w:sz="4" w:val="single"/>
            </w:tcBorders>
            <w:tcMar>
              <w:left w:type="dxa" w:w="40"/>
              <w:right w:type="dxa" w:w="40"/>
            </w:tcMar>
            <w:vAlign w:val="center"/>
          </w:tcPr>
          <w:p w14:paraId="6D0A0000">
            <w:pPr>
              <w:ind/>
              <w:jc w:val="center"/>
              <w:rPr>
                <w:sz w:val="20"/>
              </w:rPr>
            </w:pPr>
            <w:r>
              <w:rPr>
                <w:sz w:val="20"/>
              </w:rPr>
              <w:t>0,017</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6E0A0000">
            <w:pPr>
              <w:ind/>
              <w:jc w:val="center"/>
              <w:rPr>
                <w:sz w:val="20"/>
              </w:rPr>
            </w:pPr>
            <w:r>
              <w:rPr>
                <w:sz w:val="20"/>
              </w:rPr>
              <w:t>0,017</w:t>
            </w:r>
          </w:p>
        </w:tc>
        <w:tc>
          <w:tcPr>
            <w:tcW w:type="dxa" w:w="2007"/>
            <w:tcBorders>
              <w:top w:color="000000" w:sz="4" w:val="single"/>
              <w:left w:color="000000" w:sz="4" w:val="single"/>
              <w:bottom w:color="000000" w:sz="4" w:val="single"/>
              <w:right w:color="000000" w:sz="4" w:val="single"/>
            </w:tcBorders>
            <w:tcMar>
              <w:left w:type="dxa" w:w="40"/>
              <w:right w:type="dxa" w:w="40"/>
            </w:tcMar>
            <w:vAlign w:val="center"/>
          </w:tcPr>
          <w:p w14:paraId="6F0A0000">
            <w:pPr>
              <w:ind/>
              <w:jc w:val="center"/>
              <w:rPr>
                <w:sz w:val="20"/>
              </w:rPr>
            </w:pPr>
            <w:r>
              <w:rPr>
                <w:sz w:val="20"/>
              </w:rPr>
              <w:t>-</w:t>
            </w:r>
          </w:p>
        </w:tc>
      </w:tr>
      <w:tr>
        <w:trPr>
          <w:trHeight w:hRule="exact" w:val="371"/>
        </w:trPr>
        <w:tc>
          <w:tcPr>
            <w:tcW w:type="dxa" w:w="3700"/>
            <w:tcBorders>
              <w:top w:sz="4" w:val="nil"/>
              <w:left w:color="000000" w:sz="4" w:val="single"/>
              <w:bottom w:color="000000" w:sz="4" w:val="single"/>
              <w:right w:color="000000" w:sz="4" w:val="single"/>
            </w:tcBorders>
            <w:tcMar>
              <w:left w:type="dxa" w:w="40"/>
              <w:right w:type="dxa" w:w="40"/>
            </w:tcMar>
            <w:vAlign w:val="center"/>
          </w:tcPr>
          <w:p w14:paraId="700A0000">
            <w:pPr>
              <w:ind/>
              <w:jc w:val="center"/>
              <w:rPr>
                <w:sz w:val="20"/>
              </w:rPr>
            </w:pPr>
            <w:r>
              <w:rPr>
                <w:sz w:val="20"/>
              </w:rPr>
              <w:t>с. Куйбышево, ул. Миусская, 3</w:t>
            </w:r>
          </w:p>
        </w:tc>
        <w:tc>
          <w:tcPr>
            <w:tcW w:type="dxa" w:w="1362"/>
            <w:tcBorders>
              <w:top w:sz="4" w:val="nil"/>
              <w:left w:sz="4" w:val="nil"/>
              <w:bottom w:color="000000" w:sz="4" w:val="single"/>
              <w:right w:color="000000" w:sz="4" w:val="single"/>
            </w:tcBorders>
            <w:tcMar>
              <w:left w:type="dxa" w:w="40"/>
              <w:right w:type="dxa" w:w="40"/>
            </w:tcMar>
            <w:vAlign w:val="center"/>
          </w:tcPr>
          <w:p w14:paraId="710A0000">
            <w:pPr>
              <w:ind/>
              <w:jc w:val="center"/>
              <w:rPr>
                <w:sz w:val="20"/>
              </w:rPr>
            </w:pPr>
            <w:r>
              <w:rPr>
                <w:sz w:val="20"/>
              </w:rPr>
              <w:t>0,020</w:t>
            </w:r>
          </w:p>
        </w:tc>
        <w:tc>
          <w:tcPr>
            <w:tcW w:type="dxa" w:w="1615"/>
            <w:tcBorders>
              <w:top w:sz="4" w:val="nil"/>
              <w:left w:sz="4" w:val="nil"/>
              <w:bottom w:color="000000" w:sz="4" w:val="single"/>
              <w:right w:color="000000" w:sz="4" w:val="single"/>
            </w:tcBorders>
            <w:tcMar>
              <w:left w:type="dxa" w:w="40"/>
              <w:right w:type="dxa" w:w="40"/>
            </w:tcMar>
            <w:vAlign w:val="center"/>
          </w:tcPr>
          <w:p w14:paraId="720A0000">
            <w:pPr>
              <w:ind/>
              <w:jc w:val="center"/>
              <w:rPr>
                <w:sz w:val="20"/>
              </w:rPr>
            </w:pPr>
            <w:r>
              <w:rPr>
                <w:sz w:val="20"/>
              </w:rPr>
              <w:t>0,020</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730A0000">
            <w:pPr>
              <w:ind/>
              <w:jc w:val="center"/>
              <w:rPr>
                <w:sz w:val="20"/>
              </w:rPr>
            </w:pPr>
            <w:r>
              <w:rPr>
                <w:sz w:val="20"/>
              </w:rPr>
              <w:t>0,019</w:t>
            </w:r>
          </w:p>
        </w:tc>
        <w:tc>
          <w:tcPr>
            <w:tcW w:type="dxa" w:w="2007"/>
            <w:tcBorders>
              <w:top w:color="000000" w:sz="4" w:val="single"/>
              <w:left w:color="000000" w:sz="4" w:val="single"/>
              <w:bottom w:color="000000" w:sz="4" w:val="single"/>
              <w:right w:color="000000" w:sz="4" w:val="single"/>
            </w:tcBorders>
            <w:tcMar>
              <w:left w:type="dxa" w:w="40"/>
              <w:right w:type="dxa" w:w="40"/>
            </w:tcMar>
            <w:vAlign w:val="center"/>
          </w:tcPr>
          <w:p w14:paraId="740A0000">
            <w:pPr>
              <w:ind/>
              <w:jc w:val="center"/>
              <w:rPr>
                <w:sz w:val="20"/>
              </w:rPr>
            </w:pPr>
            <w:r>
              <w:rPr>
                <w:sz w:val="20"/>
              </w:rPr>
              <w:t>0,001</w:t>
            </w:r>
          </w:p>
        </w:tc>
      </w:tr>
      <w:tr>
        <w:trPr>
          <w:trHeight w:hRule="exact" w:val="371"/>
        </w:trPr>
        <w:tc>
          <w:tcPr>
            <w:tcW w:type="dxa" w:w="3700"/>
            <w:tcBorders>
              <w:top w:sz="4" w:val="nil"/>
              <w:left w:color="000000" w:sz="4" w:val="single"/>
              <w:bottom w:color="000000" w:sz="4" w:val="single"/>
              <w:right w:color="000000" w:sz="4" w:val="single"/>
            </w:tcBorders>
            <w:tcMar>
              <w:left w:type="dxa" w:w="40"/>
              <w:right w:type="dxa" w:w="40"/>
            </w:tcMar>
            <w:vAlign w:val="center"/>
          </w:tcPr>
          <w:p w14:paraId="750A0000">
            <w:pPr>
              <w:ind/>
              <w:jc w:val="center"/>
              <w:rPr>
                <w:sz w:val="20"/>
              </w:rPr>
            </w:pPr>
            <w:r>
              <w:rPr>
                <w:sz w:val="20"/>
              </w:rPr>
              <w:t>с. Куйбышево, ул. Миусская, 3</w:t>
            </w:r>
          </w:p>
        </w:tc>
        <w:tc>
          <w:tcPr>
            <w:tcW w:type="dxa" w:w="1362"/>
            <w:tcBorders>
              <w:top w:sz="4" w:val="nil"/>
              <w:left w:sz="4" w:val="nil"/>
              <w:bottom w:color="000000" w:sz="4" w:val="single"/>
              <w:right w:color="000000" w:sz="4" w:val="single"/>
            </w:tcBorders>
            <w:tcMar>
              <w:left w:type="dxa" w:w="40"/>
              <w:right w:type="dxa" w:w="40"/>
            </w:tcMar>
            <w:vAlign w:val="center"/>
          </w:tcPr>
          <w:p w14:paraId="760A0000">
            <w:pPr>
              <w:ind/>
              <w:jc w:val="center"/>
              <w:rPr>
                <w:sz w:val="20"/>
              </w:rPr>
            </w:pPr>
            <w:r>
              <w:rPr>
                <w:sz w:val="20"/>
              </w:rPr>
              <w:t>0,011</w:t>
            </w:r>
          </w:p>
        </w:tc>
        <w:tc>
          <w:tcPr>
            <w:tcW w:type="dxa" w:w="1615"/>
            <w:tcBorders>
              <w:top w:sz="4" w:val="nil"/>
              <w:left w:sz="4" w:val="nil"/>
              <w:bottom w:color="000000" w:sz="4" w:val="single"/>
              <w:right w:color="000000" w:sz="4" w:val="single"/>
            </w:tcBorders>
            <w:tcMar>
              <w:left w:type="dxa" w:w="40"/>
              <w:right w:type="dxa" w:w="40"/>
            </w:tcMar>
            <w:vAlign w:val="center"/>
          </w:tcPr>
          <w:p w14:paraId="770A0000">
            <w:pPr>
              <w:ind/>
              <w:jc w:val="center"/>
              <w:rPr>
                <w:sz w:val="20"/>
              </w:rPr>
            </w:pPr>
            <w:r>
              <w:rPr>
                <w:sz w:val="20"/>
              </w:rPr>
              <w:t>0,011</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780A0000">
            <w:pPr>
              <w:ind/>
              <w:jc w:val="center"/>
              <w:rPr>
                <w:sz w:val="20"/>
              </w:rPr>
            </w:pPr>
            <w:r>
              <w:rPr>
                <w:sz w:val="20"/>
              </w:rPr>
              <w:t>0,011</w:t>
            </w:r>
          </w:p>
        </w:tc>
        <w:tc>
          <w:tcPr>
            <w:tcW w:type="dxa" w:w="2007"/>
            <w:tcBorders>
              <w:top w:color="000000" w:sz="4" w:val="single"/>
              <w:left w:color="000000" w:sz="4" w:val="single"/>
              <w:bottom w:color="000000" w:sz="4" w:val="single"/>
              <w:right w:color="000000" w:sz="4" w:val="single"/>
            </w:tcBorders>
            <w:tcMar>
              <w:left w:type="dxa" w:w="40"/>
              <w:right w:type="dxa" w:w="40"/>
            </w:tcMar>
            <w:vAlign w:val="center"/>
          </w:tcPr>
          <w:p w14:paraId="790A0000">
            <w:pPr>
              <w:ind/>
              <w:jc w:val="center"/>
              <w:rPr>
                <w:sz w:val="20"/>
              </w:rPr>
            </w:pPr>
            <w:r>
              <w:rPr>
                <w:sz w:val="20"/>
              </w:rPr>
              <w:t>-</w:t>
            </w:r>
          </w:p>
        </w:tc>
      </w:tr>
      <w:tr>
        <w:trPr>
          <w:trHeight w:hRule="exact" w:val="371"/>
        </w:trPr>
        <w:tc>
          <w:tcPr>
            <w:tcW w:type="dxa" w:w="3700"/>
            <w:tcBorders>
              <w:top w:sz="4" w:val="nil"/>
              <w:left w:color="000000" w:sz="4" w:val="single"/>
              <w:bottom w:color="000000" w:sz="4" w:val="single"/>
              <w:right w:color="000000" w:sz="4" w:val="single"/>
            </w:tcBorders>
            <w:tcMar>
              <w:left w:type="dxa" w:w="40"/>
              <w:right w:type="dxa" w:w="40"/>
            </w:tcMar>
            <w:vAlign w:val="center"/>
          </w:tcPr>
          <w:p w14:paraId="7A0A0000">
            <w:pPr>
              <w:ind/>
              <w:jc w:val="center"/>
              <w:rPr>
                <w:sz w:val="20"/>
              </w:rPr>
            </w:pPr>
            <w:r>
              <w:rPr>
                <w:sz w:val="20"/>
              </w:rPr>
              <w:t>с. Куйбышево, ул. Миусская, 3</w:t>
            </w:r>
          </w:p>
        </w:tc>
        <w:tc>
          <w:tcPr>
            <w:tcW w:type="dxa" w:w="1362"/>
            <w:tcBorders>
              <w:top w:sz="4" w:val="nil"/>
              <w:left w:sz="4" w:val="nil"/>
              <w:bottom w:color="000000" w:sz="4" w:val="single"/>
              <w:right w:color="000000" w:sz="4" w:val="single"/>
            </w:tcBorders>
            <w:tcMar>
              <w:left w:type="dxa" w:w="40"/>
              <w:right w:type="dxa" w:w="40"/>
            </w:tcMar>
            <w:vAlign w:val="center"/>
          </w:tcPr>
          <w:p w14:paraId="7B0A0000">
            <w:pPr>
              <w:ind/>
              <w:jc w:val="center"/>
              <w:rPr>
                <w:sz w:val="20"/>
              </w:rPr>
            </w:pPr>
            <w:r>
              <w:rPr>
                <w:sz w:val="20"/>
              </w:rPr>
              <w:t>0,027</w:t>
            </w:r>
          </w:p>
        </w:tc>
        <w:tc>
          <w:tcPr>
            <w:tcW w:type="dxa" w:w="1615"/>
            <w:tcBorders>
              <w:top w:sz="4" w:val="nil"/>
              <w:left w:sz="4" w:val="nil"/>
              <w:bottom w:color="000000" w:sz="4" w:val="single"/>
              <w:right w:color="000000" w:sz="4" w:val="single"/>
            </w:tcBorders>
            <w:tcMar>
              <w:left w:type="dxa" w:w="40"/>
              <w:right w:type="dxa" w:w="40"/>
            </w:tcMar>
            <w:vAlign w:val="center"/>
          </w:tcPr>
          <w:p w14:paraId="7C0A0000">
            <w:pPr>
              <w:ind/>
              <w:jc w:val="center"/>
              <w:rPr>
                <w:sz w:val="20"/>
              </w:rPr>
            </w:pPr>
            <w:r>
              <w:rPr>
                <w:sz w:val="20"/>
              </w:rPr>
              <w:t>0,027</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7D0A0000">
            <w:pPr>
              <w:ind/>
              <w:jc w:val="center"/>
              <w:rPr>
                <w:sz w:val="20"/>
              </w:rPr>
            </w:pPr>
            <w:r>
              <w:rPr>
                <w:sz w:val="20"/>
              </w:rPr>
              <w:t>0,010</w:t>
            </w:r>
          </w:p>
        </w:tc>
        <w:tc>
          <w:tcPr>
            <w:tcW w:type="dxa" w:w="2007"/>
            <w:tcBorders>
              <w:top w:color="000000" w:sz="4" w:val="single"/>
              <w:left w:color="000000" w:sz="4" w:val="single"/>
              <w:bottom w:color="000000" w:sz="4" w:val="single"/>
              <w:right w:color="000000" w:sz="4" w:val="single"/>
            </w:tcBorders>
            <w:tcMar>
              <w:left w:type="dxa" w:w="40"/>
              <w:right w:type="dxa" w:w="40"/>
            </w:tcMar>
            <w:vAlign w:val="center"/>
          </w:tcPr>
          <w:p w14:paraId="7E0A0000">
            <w:pPr>
              <w:ind/>
              <w:jc w:val="center"/>
              <w:rPr>
                <w:sz w:val="20"/>
              </w:rPr>
            </w:pPr>
            <w:r>
              <w:rPr>
                <w:sz w:val="20"/>
              </w:rPr>
              <w:t>0,017</w:t>
            </w:r>
          </w:p>
        </w:tc>
      </w:tr>
      <w:tr>
        <w:trPr>
          <w:trHeight w:hRule="exact" w:val="371"/>
        </w:trPr>
        <w:tc>
          <w:tcPr>
            <w:tcW w:type="dxa" w:w="3700"/>
            <w:tcBorders>
              <w:top w:sz="4" w:val="nil"/>
              <w:left w:color="000000" w:sz="4" w:val="single"/>
              <w:bottom w:color="000000" w:sz="4" w:val="single"/>
              <w:right w:color="000000" w:sz="4" w:val="single"/>
            </w:tcBorders>
            <w:tcMar>
              <w:left w:type="dxa" w:w="40"/>
              <w:right w:type="dxa" w:w="40"/>
            </w:tcMar>
            <w:vAlign w:val="center"/>
          </w:tcPr>
          <w:p w14:paraId="7F0A0000">
            <w:pPr>
              <w:ind/>
              <w:jc w:val="center"/>
              <w:rPr>
                <w:sz w:val="20"/>
              </w:rPr>
            </w:pPr>
            <w:r>
              <w:rPr>
                <w:sz w:val="20"/>
              </w:rPr>
              <w:t>с. Куйбышево, ул. Миусская, 3</w:t>
            </w:r>
          </w:p>
        </w:tc>
        <w:tc>
          <w:tcPr>
            <w:tcW w:type="dxa" w:w="1362"/>
            <w:tcBorders>
              <w:top w:sz="4" w:val="nil"/>
              <w:left w:sz="4" w:val="nil"/>
              <w:bottom w:color="000000" w:sz="4" w:val="single"/>
              <w:right w:color="000000" w:sz="4" w:val="single"/>
            </w:tcBorders>
            <w:tcMar>
              <w:left w:type="dxa" w:w="40"/>
              <w:right w:type="dxa" w:w="40"/>
            </w:tcMar>
            <w:vAlign w:val="center"/>
          </w:tcPr>
          <w:p w14:paraId="800A0000">
            <w:pPr>
              <w:ind/>
              <w:jc w:val="center"/>
              <w:rPr>
                <w:sz w:val="20"/>
              </w:rPr>
            </w:pPr>
            <w:r>
              <w:rPr>
                <w:sz w:val="20"/>
              </w:rPr>
              <w:t>0,010</w:t>
            </w:r>
          </w:p>
        </w:tc>
        <w:tc>
          <w:tcPr>
            <w:tcW w:type="dxa" w:w="1615"/>
            <w:tcBorders>
              <w:top w:sz="4" w:val="nil"/>
              <w:left w:sz="4" w:val="nil"/>
              <w:bottom w:color="000000" w:sz="4" w:val="single"/>
              <w:right w:color="000000" w:sz="4" w:val="single"/>
            </w:tcBorders>
            <w:tcMar>
              <w:left w:type="dxa" w:w="40"/>
              <w:right w:type="dxa" w:w="40"/>
            </w:tcMar>
            <w:vAlign w:val="center"/>
          </w:tcPr>
          <w:p w14:paraId="810A0000">
            <w:pPr>
              <w:ind/>
              <w:jc w:val="center"/>
              <w:rPr>
                <w:sz w:val="20"/>
              </w:rPr>
            </w:pPr>
            <w:r>
              <w:rPr>
                <w:sz w:val="20"/>
              </w:rPr>
              <w:t>0,010</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820A0000">
            <w:pPr>
              <w:ind/>
              <w:jc w:val="center"/>
              <w:rPr>
                <w:sz w:val="20"/>
              </w:rPr>
            </w:pPr>
            <w:r>
              <w:rPr>
                <w:sz w:val="20"/>
              </w:rPr>
              <w:t>0,006</w:t>
            </w:r>
          </w:p>
        </w:tc>
        <w:tc>
          <w:tcPr>
            <w:tcW w:type="dxa" w:w="2007"/>
            <w:tcBorders>
              <w:top w:color="000000" w:sz="4" w:val="single"/>
              <w:left w:color="000000" w:sz="4" w:val="single"/>
              <w:bottom w:color="000000" w:sz="4" w:val="single"/>
              <w:right w:color="000000" w:sz="4" w:val="single"/>
            </w:tcBorders>
            <w:tcMar>
              <w:left w:type="dxa" w:w="40"/>
              <w:right w:type="dxa" w:w="40"/>
            </w:tcMar>
            <w:vAlign w:val="center"/>
          </w:tcPr>
          <w:p w14:paraId="830A0000">
            <w:pPr>
              <w:ind/>
              <w:jc w:val="center"/>
              <w:rPr>
                <w:sz w:val="20"/>
              </w:rPr>
            </w:pPr>
            <w:r>
              <w:rPr>
                <w:sz w:val="20"/>
              </w:rPr>
              <w:t>0,004</w:t>
            </w:r>
          </w:p>
        </w:tc>
      </w:tr>
      <w:tr>
        <w:trPr>
          <w:trHeight w:hRule="exact" w:val="371"/>
        </w:trPr>
        <w:tc>
          <w:tcPr>
            <w:tcW w:type="dxa" w:w="3700"/>
            <w:tcBorders>
              <w:top w:sz="4" w:val="nil"/>
              <w:left w:color="000000" w:sz="4" w:val="single"/>
              <w:bottom w:color="000000" w:sz="4" w:val="single"/>
              <w:right w:color="000000" w:sz="4" w:val="single"/>
            </w:tcBorders>
            <w:tcMar>
              <w:left w:type="dxa" w:w="40"/>
              <w:right w:type="dxa" w:w="40"/>
            </w:tcMar>
            <w:vAlign w:val="center"/>
          </w:tcPr>
          <w:p w14:paraId="840A0000">
            <w:pPr>
              <w:ind/>
              <w:jc w:val="center"/>
              <w:rPr>
                <w:sz w:val="20"/>
              </w:rPr>
            </w:pPr>
            <w:r>
              <w:rPr>
                <w:sz w:val="20"/>
              </w:rPr>
              <w:t>с. Куйбышево, ул. Миусская, 3</w:t>
            </w:r>
          </w:p>
        </w:tc>
        <w:tc>
          <w:tcPr>
            <w:tcW w:type="dxa" w:w="1362"/>
            <w:tcBorders>
              <w:top w:sz="4" w:val="nil"/>
              <w:left w:sz="4" w:val="nil"/>
              <w:bottom w:color="000000" w:sz="4" w:val="single"/>
              <w:right w:color="000000" w:sz="4" w:val="single"/>
            </w:tcBorders>
            <w:tcMar>
              <w:left w:type="dxa" w:w="40"/>
              <w:right w:type="dxa" w:w="40"/>
            </w:tcMar>
            <w:vAlign w:val="center"/>
          </w:tcPr>
          <w:p w14:paraId="850A0000">
            <w:pPr>
              <w:ind/>
              <w:jc w:val="center"/>
              <w:rPr>
                <w:sz w:val="20"/>
              </w:rPr>
            </w:pPr>
            <w:r>
              <w:rPr>
                <w:sz w:val="20"/>
              </w:rPr>
              <w:t>0,017</w:t>
            </w:r>
          </w:p>
        </w:tc>
        <w:tc>
          <w:tcPr>
            <w:tcW w:type="dxa" w:w="1615"/>
            <w:tcBorders>
              <w:top w:sz="4" w:val="nil"/>
              <w:left w:sz="4" w:val="nil"/>
              <w:bottom w:color="000000" w:sz="4" w:val="single"/>
              <w:right w:color="000000" w:sz="4" w:val="single"/>
            </w:tcBorders>
            <w:tcMar>
              <w:left w:type="dxa" w:w="40"/>
              <w:right w:type="dxa" w:w="40"/>
            </w:tcMar>
            <w:vAlign w:val="center"/>
          </w:tcPr>
          <w:p w14:paraId="860A0000">
            <w:pPr>
              <w:ind/>
              <w:jc w:val="center"/>
              <w:rPr>
                <w:sz w:val="20"/>
              </w:rPr>
            </w:pPr>
            <w:r>
              <w:rPr>
                <w:sz w:val="20"/>
              </w:rPr>
              <w:t>0,017</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870A0000">
            <w:pPr>
              <w:ind/>
              <w:jc w:val="center"/>
              <w:rPr>
                <w:sz w:val="20"/>
              </w:rPr>
            </w:pPr>
            <w:r>
              <w:rPr>
                <w:sz w:val="20"/>
              </w:rPr>
              <w:t>0,017</w:t>
            </w:r>
          </w:p>
        </w:tc>
        <w:tc>
          <w:tcPr>
            <w:tcW w:type="dxa" w:w="2007"/>
            <w:tcBorders>
              <w:top w:color="000000" w:sz="4" w:val="single"/>
              <w:left w:color="000000" w:sz="4" w:val="single"/>
              <w:bottom w:color="000000" w:sz="4" w:val="single"/>
              <w:right w:color="000000" w:sz="4" w:val="single"/>
            </w:tcBorders>
            <w:tcMar>
              <w:left w:type="dxa" w:w="40"/>
              <w:right w:type="dxa" w:w="40"/>
            </w:tcMar>
            <w:vAlign w:val="center"/>
          </w:tcPr>
          <w:p w14:paraId="880A0000">
            <w:pPr>
              <w:ind/>
              <w:jc w:val="center"/>
              <w:rPr>
                <w:sz w:val="20"/>
              </w:rPr>
            </w:pPr>
            <w:r>
              <w:rPr>
                <w:sz w:val="20"/>
              </w:rPr>
              <w:t>-</w:t>
            </w:r>
          </w:p>
        </w:tc>
      </w:tr>
      <w:tr>
        <w:trPr>
          <w:trHeight w:hRule="exact" w:val="273"/>
        </w:trPr>
        <w:tc>
          <w:tcPr>
            <w:tcW w:type="dxa" w:w="3700"/>
            <w:tcBorders>
              <w:top w:sz="4" w:val="nil"/>
              <w:left w:color="000000" w:sz="4" w:val="single"/>
              <w:bottom w:color="000000" w:sz="4" w:val="single"/>
              <w:right w:color="000000" w:sz="4" w:val="single"/>
            </w:tcBorders>
            <w:tcMar>
              <w:left w:type="dxa" w:w="40"/>
              <w:right w:type="dxa" w:w="40"/>
            </w:tcMar>
            <w:vAlign w:val="center"/>
          </w:tcPr>
          <w:p w14:paraId="890A0000">
            <w:pPr>
              <w:ind/>
              <w:jc w:val="center"/>
              <w:rPr>
                <w:sz w:val="20"/>
              </w:rPr>
            </w:pPr>
            <w:r>
              <w:rPr>
                <w:sz w:val="20"/>
              </w:rPr>
              <w:t>с. Куйбышево, ул. Миусская, 3</w:t>
            </w:r>
          </w:p>
        </w:tc>
        <w:tc>
          <w:tcPr>
            <w:tcW w:type="dxa" w:w="1362"/>
            <w:tcBorders>
              <w:top w:sz="4" w:val="nil"/>
              <w:left w:sz="4" w:val="nil"/>
              <w:bottom w:color="000000" w:sz="4" w:val="single"/>
              <w:right w:color="000000" w:sz="4" w:val="single"/>
            </w:tcBorders>
            <w:tcMar>
              <w:left w:type="dxa" w:w="40"/>
              <w:right w:type="dxa" w:w="40"/>
            </w:tcMar>
            <w:vAlign w:val="center"/>
          </w:tcPr>
          <w:p w14:paraId="8A0A0000">
            <w:pPr>
              <w:ind/>
              <w:jc w:val="center"/>
              <w:rPr>
                <w:sz w:val="20"/>
              </w:rPr>
            </w:pPr>
            <w:r>
              <w:rPr>
                <w:sz w:val="20"/>
              </w:rPr>
              <w:t>0,054</w:t>
            </w:r>
          </w:p>
        </w:tc>
        <w:tc>
          <w:tcPr>
            <w:tcW w:type="dxa" w:w="1615"/>
            <w:tcBorders>
              <w:top w:sz="4" w:val="nil"/>
              <w:left w:sz="4" w:val="nil"/>
              <w:bottom w:color="000000" w:sz="4" w:val="single"/>
              <w:right w:color="000000" w:sz="4" w:val="single"/>
            </w:tcBorders>
            <w:tcMar>
              <w:left w:type="dxa" w:w="40"/>
              <w:right w:type="dxa" w:w="40"/>
            </w:tcMar>
            <w:vAlign w:val="center"/>
          </w:tcPr>
          <w:p w14:paraId="8B0A0000">
            <w:pPr>
              <w:ind/>
              <w:jc w:val="center"/>
              <w:rPr>
                <w:sz w:val="20"/>
              </w:rPr>
            </w:pPr>
            <w:r>
              <w:rPr>
                <w:sz w:val="20"/>
              </w:rPr>
              <w:t>0,054</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8C0A0000">
            <w:pPr>
              <w:ind/>
              <w:jc w:val="center"/>
              <w:rPr>
                <w:sz w:val="20"/>
              </w:rPr>
            </w:pPr>
            <w:r>
              <w:rPr>
                <w:sz w:val="20"/>
              </w:rPr>
              <w:t>0,036</w:t>
            </w:r>
          </w:p>
        </w:tc>
        <w:tc>
          <w:tcPr>
            <w:tcW w:type="dxa" w:w="2007"/>
            <w:tcBorders>
              <w:top w:color="000000" w:sz="4" w:val="single"/>
              <w:left w:color="000000" w:sz="4" w:val="single"/>
              <w:bottom w:color="000000" w:sz="4" w:val="single"/>
              <w:right w:color="000000" w:sz="4" w:val="single"/>
            </w:tcBorders>
            <w:tcMar>
              <w:left w:type="dxa" w:w="40"/>
              <w:right w:type="dxa" w:w="40"/>
            </w:tcMar>
            <w:vAlign w:val="center"/>
          </w:tcPr>
          <w:p w14:paraId="8D0A0000">
            <w:pPr>
              <w:ind/>
              <w:jc w:val="center"/>
              <w:rPr>
                <w:sz w:val="20"/>
              </w:rPr>
            </w:pPr>
            <w:r>
              <w:rPr>
                <w:sz w:val="20"/>
              </w:rPr>
              <w:t>0,018</w:t>
            </w:r>
          </w:p>
        </w:tc>
      </w:tr>
      <w:tr>
        <w:trPr>
          <w:trHeight w:hRule="exact" w:val="322"/>
        </w:trPr>
        <w:tc>
          <w:tcPr>
            <w:tcW w:type="dxa" w:w="3700"/>
            <w:tcBorders>
              <w:top w:sz="4" w:val="nil"/>
              <w:left w:color="000000" w:sz="4" w:val="single"/>
              <w:bottom w:color="000000" w:sz="4" w:val="single"/>
              <w:right w:color="000000" w:sz="4" w:val="single"/>
            </w:tcBorders>
            <w:tcMar>
              <w:left w:type="dxa" w:w="40"/>
              <w:right w:type="dxa" w:w="40"/>
            </w:tcMar>
            <w:vAlign w:val="center"/>
          </w:tcPr>
          <w:p w14:paraId="8E0A0000">
            <w:pPr>
              <w:ind/>
              <w:jc w:val="center"/>
              <w:rPr>
                <w:sz w:val="20"/>
              </w:rPr>
            </w:pPr>
            <w:r>
              <w:rPr>
                <w:sz w:val="20"/>
              </w:rPr>
              <w:t>с. Куйбышево, ул. Миусская, 3</w:t>
            </w:r>
          </w:p>
        </w:tc>
        <w:tc>
          <w:tcPr>
            <w:tcW w:type="dxa" w:w="1362"/>
            <w:tcBorders>
              <w:top w:sz="4" w:val="nil"/>
              <w:left w:sz="4" w:val="nil"/>
              <w:bottom w:color="000000" w:sz="4" w:val="single"/>
              <w:right w:color="000000" w:sz="4" w:val="single"/>
            </w:tcBorders>
            <w:tcMar>
              <w:left w:type="dxa" w:w="40"/>
              <w:right w:type="dxa" w:w="40"/>
            </w:tcMar>
            <w:vAlign w:val="center"/>
          </w:tcPr>
          <w:p w14:paraId="8F0A0000">
            <w:pPr>
              <w:ind/>
              <w:jc w:val="center"/>
              <w:rPr>
                <w:sz w:val="20"/>
              </w:rPr>
            </w:pPr>
            <w:r>
              <w:rPr>
                <w:sz w:val="20"/>
              </w:rPr>
              <w:t>0,036</w:t>
            </w:r>
          </w:p>
        </w:tc>
        <w:tc>
          <w:tcPr>
            <w:tcW w:type="dxa" w:w="1615"/>
            <w:tcBorders>
              <w:top w:sz="4" w:val="nil"/>
              <w:left w:sz="4" w:val="nil"/>
              <w:bottom w:color="000000" w:sz="4" w:val="single"/>
              <w:right w:color="000000" w:sz="4" w:val="single"/>
            </w:tcBorders>
            <w:tcMar>
              <w:left w:type="dxa" w:w="40"/>
              <w:right w:type="dxa" w:w="40"/>
            </w:tcMar>
            <w:vAlign w:val="center"/>
          </w:tcPr>
          <w:p w14:paraId="900A0000">
            <w:pPr>
              <w:ind/>
              <w:jc w:val="center"/>
              <w:rPr>
                <w:sz w:val="20"/>
              </w:rPr>
            </w:pPr>
            <w:r>
              <w:rPr>
                <w:sz w:val="20"/>
              </w:rPr>
              <w:t>0,036</w:t>
            </w:r>
          </w:p>
        </w:tc>
        <w:tc>
          <w:tcPr>
            <w:tcW w:type="dxa" w:w="633"/>
            <w:tcBorders>
              <w:top w:sz="4" w:val="nil"/>
              <w:left w:color="000000" w:sz="4" w:val="single"/>
              <w:bottom w:color="000000" w:sz="4" w:val="single"/>
              <w:right w:color="000000" w:sz="4" w:val="single"/>
            </w:tcBorders>
            <w:tcMar>
              <w:left w:type="dxa" w:w="40"/>
              <w:right w:type="dxa" w:w="40"/>
            </w:tcMar>
            <w:vAlign w:val="center"/>
          </w:tcPr>
          <w:p w14:paraId="910A0000">
            <w:pPr>
              <w:ind/>
              <w:jc w:val="center"/>
              <w:rPr>
                <w:sz w:val="20"/>
              </w:rPr>
            </w:pPr>
            <w:r>
              <w:rPr>
                <w:sz w:val="20"/>
              </w:rPr>
              <w:t>0,030</w:t>
            </w:r>
          </w:p>
        </w:tc>
        <w:tc>
          <w:tcPr>
            <w:tcW w:type="dxa" w:w="2007"/>
            <w:tcBorders>
              <w:top w:color="000000" w:sz="4" w:val="single"/>
              <w:left w:color="000000" w:sz="4" w:val="single"/>
              <w:bottom w:color="000000" w:sz="4" w:val="single"/>
              <w:right w:color="000000" w:sz="4" w:val="single"/>
            </w:tcBorders>
            <w:tcMar>
              <w:left w:type="dxa" w:w="40"/>
              <w:right w:type="dxa" w:w="40"/>
            </w:tcMar>
            <w:vAlign w:val="center"/>
          </w:tcPr>
          <w:p w14:paraId="920A0000">
            <w:pPr>
              <w:ind/>
              <w:jc w:val="center"/>
              <w:rPr>
                <w:sz w:val="20"/>
              </w:rPr>
            </w:pPr>
            <w:r>
              <w:rPr>
                <w:sz w:val="20"/>
              </w:rPr>
              <w:t>0,006</w:t>
            </w:r>
          </w:p>
        </w:tc>
      </w:tr>
    </w:tbl>
    <w:p w14:paraId="930A0000">
      <w:pPr>
        <w:spacing w:beforeAutospacing="on" w:line="240" w:lineRule="auto"/>
        <w:ind w:firstLine="709" w:left="0"/>
        <w:jc w:val="both"/>
        <w:rPr>
          <w:sz w:val="28"/>
        </w:rPr>
      </w:pPr>
      <w:r>
        <w:rPr>
          <w:sz w:val="28"/>
        </w:rPr>
        <w:t xml:space="preserve">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w:t>
      </w:r>
      <w:r>
        <w:rPr>
          <w:sz w:val="28"/>
        </w:rPr>
        <w:t xml:space="preserve">от источника тепловой энергии к потребителю. </w:t>
      </w:r>
    </w:p>
    <w:p w14:paraId="940A0000">
      <w:pPr>
        <w:spacing w:afterAutospacing="on" w:beforeAutospacing="on" w:line="240" w:lineRule="auto"/>
        <w:ind w:firstLine="709" w:left="0"/>
        <w:jc w:val="both"/>
        <w:rPr>
          <w:sz w:val="28"/>
        </w:rPr>
      </w:pPr>
      <w:r>
        <w:rPr>
          <w:sz w:val="28"/>
        </w:rPr>
        <w:t>Источники тепловой энергии обеспечивает передачу тепловой энергии потребителям на расстоянии, не превышающим 50-100 м. Резерв тепловой мощности суммарно по котельным составляет 3,073 Гкал/ч. Зоны теплоснабжения</w:t>
      </w:r>
      <w:r>
        <w:rPr>
          <w:sz w:val="28"/>
        </w:rPr>
        <w:t xml:space="preserve"> источников тепловой энергии компактная. </w:t>
      </w:r>
    </w:p>
    <w:p w14:paraId="950A0000">
      <w:pPr>
        <w:spacing w:afterAutospacing="on" w:beforeAutospacing="on" w:line="240" w:lineRule="auto"/>
        <w:ind w:firstLine="709" w:left="0"/>
        <w:jc w:val="both"/>
        <w:rPr>
          <w:sz w:val="28"/>
        </w:rPr>
      </w:pPr>
      <w:r>
        <w:rPr>
          <w:sz w:val="28"/>
        </w:rPr>
        <w:t xml:space="preserve">г) Описание причины возникновения дефицитов тепловой мощности и последствий влияния дефицитов на качество теплоснабжения. </w:t>
      </w:r>
    </w:p>
    <w:p w14:paraId="960A0000">
      <w:pPr>
        <w:spacing w:afterAutospacing="on" w:beforeAutospacing="on" w:line="240" w:lineRule="auto"/>
        <w:ind w:firstLine="709" w:left="0"/>
        <w:jc w:val="both"/>
        <w:rPr>
          <w:sz w:val="28"/>
        </w:rPr>
      </w:pPr>
      <w:r>
        <w:rPr>
          <w:sz w:val="28"/>
        </w:rPr>
        <w:t>Дефицит тепловой мощности по котельным отсутствует.</w:t>
      </w:r>
    </w:p>
    <w:p w14:paraId="970A0000">
      <w:pPr>
        <w:spacing w:beforeAutospacing="on" w:line="240" w:lineRule="auto"/>
        <w:ind w:firstLine="709" w:left="0"/>
        <w:jc w:val="both"/>
        <w:rPr>
          <w:sz w:val="28"/>
        </w:rPr>
      </w:pPr>
      <w:r>
        <w:rPr>
          <w:sz w:val="28"/>
        </w:rPr>
        <w:t xml:space="preserve">д) Описание резервов тепловой мощности </w:t>
      </w:r>
      <w:r>
        <w:rPr>
          <w:sz w:val="28"/>
        </w:rPr>
        <w:t>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980A0000">
      <w:pPr>
        <w:spacing w:beforeAutospacing="on" w:line="240" w:lineRule="auto"/>
        <w:ind w:firstLine="709" w:left="0"/>
        <w:jc w:val="both"/>
        <w:rPr>
          <w:sz w:val="28"/>
        </w:rPr>
      </w:pPr>
      <w:r>
        <w:rPr>
          <w:sz w:val="28"/>
        </w:rPr>
        <w:t>На 2024 года резерв тепловой мощности нетто суммарно по</w:t>
      </w:r>
      <w:r>
        <w:rPr>
          <w:sz w:val="28"/>
        </w:rPr>
        <w:t xml:space="preserve"> источникам тепловой энергии составляет 3,073 Гкал/ч. Расширение технологической зоны действия источников тепловой энергии не планируется.</w:t>
      </w:r>
    </w:p>
    <w:p w14:paraId="990A0000">
      <w:pPr>
        <w:pStyle w:val="Style_8"/>
        <w:spacing w:before="200"/>
        <w:ind w:firstLine="709" w:left="0"/>
        <w:jc w:val="center"/>
        <w:rPr>
          <w:b w:val="1"/>
          <w:sz w:val="28"/>
        </w:rPr>
      </w:pPr>
      <w:r>
        <w:rPr>
          <w:b w:val="1"/>
          <w:sz w:val="28"/>
        </w:rPr>
        <w:t>Часть 7 «Балансы теплоносителя Куйбышевского сельского поселения Куйбышевского района»</w:t>
      </w:r>
    </w:p>
    <w:p w14:paraId="9A0A0000">
      <w:pPr>
        <w:pStyle w:val="Style_8"/>
        <w:ind w:firstLine="709" w:left="0"/>
        <w:jc w:val="both"/>
        <w:rPr>
          <w:sz w:val="28"/>
        </w:rPr>
      </w:pPr>
      <w:r>
        <w:rPr>
          <w:sz w:val="28"/>
        </w:rPr>
        <w:t xml:space="preserve">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w:t>
      </w:r>
      <w:r>
        <w:rPr>
          <w:sz w:val="28"/>
        </w:rPr>
        <w:t xml:space="preserve">тепловой энергии, в том числе работающих на единую тепловую сеть. </w:t>
      </w:r>
    </w:p>
    <w:p w14:paraId="9B0A0000">
      <w:pPr>
        <w:pStyle w:val="Style_8"/>
        <w:ind w:firstLine="709" w:left="0"/>
        <w:jc w:val="both"/>
        <w:rPr>
          <w:sz w:val="28"/>
        </w:rPr>
      </w:pPr>
      <w:r>
        <w:rPr>
          <w:sz w:val="28"/>
        </w:rPr>
        <w:t xml:space="preserve">На территорииКуйбышевского сельского поселения, ВПУ в перспективных зонах действия, не предусмотрены. </w:t>
      </w:r>
    </w:p>
    <w:p w14:paraId="9C0A0000">
      <w:pPr>
        <w:pStyle w:val="Style_8"/>
        <w:ind w:firstLine="709" w:left="0"/>
        <w:jc w:val="both"/>
        <w:rPr>
          <w:sz w:val="28"/>
        </w:rPr>
      </w:pPr>
      <w:r>
        <w:rPr>
          <w:sz w:val="28"/>
        </w:rPr>
        <w:t>б) Описание балансов производительности водоподготовительных установок теплоносителя д</w:t>
      </w:r>
      <w:r>
        <w:rPr>
          <w:sz w:val="28"/>
        </w:rPr>
        <w:t>ля тепловых сетей и максимального потребления теплоносителя в аварийных режимах систем теплоснабжения.</w:t>
      </w:r>
    </w:p>
    <w:p w14:paraId="9D0A0000">
      <w:pPr>
        <w:pStyle w:val="Style_8"/>
        <w:ind w:firstLine="709" w:left="0"/>
        <w:jc w:val="both"/>
        <w:rPr>
          <w:sz w:val="28"/>
        </w:rPr>
      </w:pPr>
      <w:r>
        <w:rPr>
          <w:sz w:val="28"/>
        </w:rPr>
        <w:t>На территории Куйбышевского сельского поселения, ВПУ в аварийных режимах не предусмотрены.</w:t>
      </w:r>
    </w:p>
    <w:p w14:paraId="9E0A0000">
      <w:pPr>
        <w:pStyle w:val="Style_8"/>
        <w:ind w:firstLine="709" w:left="0"/>
        <w:jc w:val="center"/>
        <w:rPr>
          <w:sz w:val="28"/>
        </w:rPr>
      </w:pPr>
      <w:r>
        <w:rPr>
          <w:b w:val="1"/>
          <w:sz w:val="28"/>
        </w:rPr>
        <w:t>Часть 8 «Топливные балансы источников тепловой энергии исистем</w:t>
      </w:r>
      <w:r>
        <w:rPr>
          <w:b w:val="1"/>
          <w:sz w:val="28"/>
        </w:rPr>
        <w:t>а обеспечения топливом Куйбышевского сельского поселения Куйбышевского района»</w:t>
      </w:r>
    </w:p>
    <w:p w14:paraId="9F0A0000">
      <w:pPr>
        <w:pStyle w:val="Style_8"/>
        <w:ind w:firstLine="709" w:left="0"/>
        <w:jc w:val="both"/>
        <w:rPr>
          <w:sz w:val="28"/>
        </w:rPr>
      </w:pPr>
      <w:r>
        <w:rPr>
          <w:sz w:val="28"/>
        </w:rPr>
        <w:t>а) Описание видов и количества используемого основного топлива для каждого источника тепловой энергии.</w:t>
      </w:r>
    </w:p>
    <w:p w14:paraId="A00A0000">
      <w:pPr>
        <w:pStyle w:val="Style_8"/>
        <w:ind w:firstLine="709" w:left="0"/>
        <w:jc w:val="both"/>
        <w:rPr>
          <w:sz w:val="28"/>
        </w:rPr>
      </w:pPr>
      <w:r>
        <w:rPr>
          <w:sz w:val="28"/>
        </w:rPr>
        <w:t>Вид используемого топлива котельных – газ. Количество основного топлива дл</w:t>
      </w:r>
      <w:r>
        <w:rPr>
          <w:sz w:val="28"/>
        </w:rPr>
        <w:t>я источников тепловой энергии определяется по фактическому расходу котельного оборудования. Годовой расход топлива составляет 797,9 тыс. м</w:t>
      </w:r>
      <w:r>
        <w:rPr>
          <w:sz w:val="28"/>
          <w:vertAlign w:val="superscript"/>
        </w:rPr>
        <w:t>3</w:t>
      </w:r>
      <w:r>
        <w:rPr>
          <w:sz w:val="28"/>
        </w:rPr>
        <w:t xml:space="preserve">. </w:t>
      </w:r>
    </w:p>
    <w:p w14:paraId="A10A0000">
      <w:pPr>
        <w:pStyle w:val="Style_8"/>
        <w:ind w:firstLine="709" w:left="0"/>
        <w:jc w:val="both"/>
        <w:rPr>
          <w:sz w:val="28"/>
        </w:rPr>
      </w:pPr>
      <w:r>
        <w:rPr>
          <w:sz w:val="28"/>
        </w:rPr>
        <w:t>б) Описание видов резервного и аварийного топлива и возможности их обеспечения в соответствии с нормативными требо</w:t>
      </w:r>
      <w:r>
        <w:rPr>
          <w:sz w:val="28"/>
        </w:rPr>
        <w:t xml:space="preserve">ваниями. </w:t>
      </w:r>
    </w:p>
    <w:p w14:paraId="A20A0000">
      <w:pPr>
        <w:pStyle w:val="Style_8"/>
        <w:ind w:firstLine="709" w:left="0"/>
        <w:jc w:val="both"/>
        <w:rPr>
          <w:sz w:val="28"/>
        </w:rPr>
      </w:pPr>
      <w:r>
        <w:rPr>
          <w:sz w:val="28"/>
        </w:rPr>
        <w:t>Резервное и аварийное топливо не предусмотрено.</w:t>
      </w:r>
    </w:p>
    <w:p w14:paraId="A30A0000">
      <w:pPr>
        <w:pStyle w:val="Style_8"/>
        <w:ind w:firstLine="709" w:left="0"/>
        <w:jc w:val="both"/>
        <w:rPr>
          <w:sz w:val="28"/>
        </w:rPr>
      </w:pPr>
      <w:r>
        <w:rPr>
          <w:sz w:val="28"/>
        </w:rPr>
        <w:t xml:space="preserve">в) Описание особенностей характеристик видов топлива в зависимости от мест поставки. </w:t>
      </w:r>
    </w:p>
    <w:p w14:paraId="A40A0000">
      <w:pPr>
        <w:pStyle w:val="Style_8"/>
        <w:ind w:firstLine="709" w:left="0"/>
        <w:jc w:val="both"/>
        <w:rPr>
          <w:sz w:val="28"/>
        </w:rPr>
      </w:pPr>
      <w:r>
        <w:rPr>
          <w:sz w:val="28"/>
        </w:rPr>
        <w:t>Основной составной частью природного газа является метан (CH4). Кроме метана в состав природного газа входят его</w:t>
      </w:r>
      <w:r>
        <w:rPr>
          <w:sz w:val="28"/>
        </w:rPr>
        <w:t xml:space="preserve"> ближайшие гомологи: этан, пропан, бутан. Содержание метана в природном газе обратно пропорционально общей молекулярной массе углеводорода. Различный состав имеет природный газ различных месторождений. Состав: метан-80,97%, этан - 0,5-0,4, пропан-0,2-1,5%,</w:t>
      </w:r>
      <w:r>
        <w:rPr>
          <w:sz w:val="28"/>
        </w:rPr>
        <w:t xml:space="preserve"> бутан-0,1-1%, пентан 0-1%. На другие газы приходится от 2% до 13% объема. Физические свойства: плотность: с = 0,7 кг/м (сухой газообразный). Температура возгорания: t = 650 °C. Теплота сгорания: 16 - 35 МДж/м. Октановое число при использовании на двигател</w:t>
      </w:r>
      <w:r>
        <w:rPr>
          <w:sz w:val="28"/>
        </w:rPr>
        <w:t xml:space="preserve">ях сгорания: 120 - 130. </w:t>
      </w:r>
    </w:p>
    <w:p w14:paraId="A50A0000">
      <w:pPr>
        <w:pStyle w:val="Style_8"/>
        <w:ind w:firstLine="709" w:left="0"/>
        <w:jc w:val="both"/>
        <w:rPr>
          <w:sz w:val="28"/>
        </w:rPr>
      </w:pPr>
      <w:r>
        <w:rPr>
          <w:sz w:val="28"/>
        </w:rPr>
        <w:t xml:space="preserve">г) Описание использования местных видов топлива. </w:t>
      </w:r>
    </w:p>
    <w:p w14:paraId="A60A0000">
      <w:pPr>
        <w:pStyle w:val="Style_8"/>
        <w:ind w:firstLine="709" w:left="0"/>
        <w:jc w:val="both"/>
        <w:rPr>
          <w:sz w:val="28"/>
        </w:rPr>
      </w:pPr>
      <w:r>
        <w:rPr>
          <w:sz w:val="28"/>
        </w:rPr>
        <w:t xml:space="preserve">На территории Куйбышевского сельского поселения местные виды топлива не используются. </w:t>
      </w:r>
    </w:p>
    <w:p w14:paraId="A70A0000">
      <w:pPr>
        <w:pStyle w:val="Style_8"/>
        <w:ind w:firstLine="709" w:left="0"/>
        <w:jc w:val="both"/>
        <w:rPr>
          <w:sz w:val="28"/>
        </w:rPr>
      </w:pPr>
      <w:r>
        <w:rPr>
          <w:sz w:val="28"/>
        </w:rPr>
        <w:t>д) Описание видов топлива, их доли и значения низшей теплоты сгорания топлива, используемые дл</w:t>
      </w:r>
      <w:r>
        <w:rPr>
          <w:sz w:val="28"/>
        </w:rPr>
        <w:t>я производства тепловой энергии по каждой системе</w:t>
      </w:r>
    </w:p>
    <w:p w14:paraId="A80A0000">
      <w:pPr>
        <w:pStyle w:val="Style_8"/>
        <w:ind/>
        <w:jc w:val="both"/>
        <w:rPr>
          <w:sz w:val="28"/>
        </w:rPr>
      </w:pPr>
      <w:r>
        <w:rPr>
          <w:sz w:val="28"/>
        </w:rPr>
        <w:t>теплоснабжения.</w:t>
      </w:r>
    </w:p>
    <w:p w14:paraId="A90A0000">
      <w:pPr>
        <w:pStyle w:val="Style_8"/>
        <w:ind w:firstLine="709" w:left="0"/>
        <w:jc w:val="both"/>
        <w:rPr>
          <w:sz w:val="28"/>
        </w:rPr>
      </w:pPr>
      <w:r>
        <w:rPr>
          <w:sz w:val="28"/>
        </w:rPr>
        <w:t>Вид топлива – природный газ. По Генеральному плану принята доля и значение низшей теплоты сгорания топлива, используемые для производства тепловой энергии – 35,88 МДж/м3, 8062 ккал/м</w:t>
      </w:r>
      <w:r>
        <w:rPr>
          <w:sz w:val="28"/>
          <w:vertAlign w:val="superscript"/>
        </w:rPr>
        <w:t>3</w:t>
      </w:r>
      <w:r>
        <w:rPr>
          <w:sz w:val="28"/>
        </w:rPr>
        <w:t>.</w:t>
      </w:r>
    </w:p>
    <w:p w14:paraId="AA0A0000">
      <w:pPr>
        <w:pStyle w:val="Style_8"/>
        <w:ind w:firstLine="709" w:left="0"/>
        <w:jc w:val="both"/>
        <w:rPr>
          <w:sz w:val="28"/>
        </w:rPr>
      </w:pPr>
      <w:r>
        <w:rPr>
          <w:sz w:val="28"/>
        </w:rPr>
        <w:t>е) Оп</w:t>
      </w:r>
      <w:r>
        <w:rPr>
          <w:sz w:val="28"/>
        </w:rPr>
        <w:t xml:space="preserve">исание преобладающего в Куйбышевском сельском поселении Куйбышевского района, вида топлива, определяемого по совокупности всех систем теплоснабжения, находящихся в Куйбышевском сельском поселении Куйбышевского района. </w:t>
      </w:r>
    </w:p>
    <w:p w14:paraId="AB0A0000">
      <w:pPr>
        <w:pStyle w:val="Style_8"/>
        <w:ind w:firstLine="709" w:left="0"/>
        <w:jc w:val="both"/>
        <w:rPr>
          <w:sz w:val="28"/>
        </w:rPr>
      </w:pPr>
      <w:r>
        <w:rPr>
          <w:sz w:val="28"/>
        </w:rPr>
        <w:t xml:space="preserve">Преобладающим видом топлива является </w:t>
      </w:r>
      <w:r>
        <w:rPr>
          <w:sz w:val="28"/>
        </w:rPr>
        <w:t>природный газ.</w:t>
      </w:r>
    </w:p>
    <w:p w14:paraId="AC0A0000">
      <w:pPr>
        <w:pStyle w:val="Style_8"/>
        <w:ind w:firstLine="709" w:left="0"/>
        <w:jc w:val="both"/>
        <w:rPr>
          <w:sz w:val="28"/>
        </w:rPr>
      </w:pPr>
      <w:r>
        <w:rPr>
          <w:sz w:val="28"/>
        </w:rPr>
        <w:t>ж) Описание приоритетного направления развития топливного баланса Куйбышевского сельского поселения Куйбышевского района.</w:t>
      </w:r>
    </w:p>
    <w:p w14:paraId="AD0A0000">
      <w:pPr>
        <w:pStyle w:val="Style_8"/>
        <w:ind w:firstLine="709" w:left="0"/>
        <w:jc w:val="both"/>
        <w:rPr>
          <w:sz w:val="28"/>
        </w:rPr>
      </w:pPr>
      <w:r>
        <w:rPr>
          <w:sz w:val="28"/>
        </w:rPr>
        <w:t>Топливный баланс отражен в Утверждаемой части схемы.</w:t>
      </w:r>
    </w:p>
    <w:p w14:paraId="AE0A0000">
      <w:pPr>
        <w:spacing w:before="200" w:line="240" w:lineRule="auto"/>
        <w:ind w:firstLine="709" w:left="0"/>
        <w:jc w:val="center"/>
        <w:rPr>
          <w:b w:val="1"/>
          <w:sz w:val="28"/>
        </w:rPr>
      </w:pPr>
      <w:r>
        <w:rPr>
          <w:b w:val="1"/>
          <w:sz w:val="28"/>
        </w:rPr>
        <w:t>Часть 9 «Надёжность Куйбышевского сельского поселения Куйбышевског</w:t>
      </w:r>
      <w:r>
        <w:rPr>
          <w:b w:val="1"/>
          <w:sz w:val="28"/>
        </w:rPr>
        <w:t>о района»</w:t>
      </w:r>
    </w:p>
    <w:p w14:paraId="AF0A0000">
      <w:pPr>
        <w:spacing w:line="240" w:lineRule="auto"/>
        <w:ind w:firstLine="709" w:left="0"/>
        <w:jc w:val="both"/>
        <w:rPr>
          <w:sz w:val="28"/>
        </w:rPr>
      </w:pPr>
      <w:r>
        <w:rPr>
          <w:sz w:val="28"/>
        </w:rPr>
        <w:t xml:space="preserve">а) Поток отказов (частота отказов) участков тепловых сетей. </w:t>
      </w:r>
    </w:p>
    <w:p w14:paraId="B00A0000">
      <w:pPr>
        <w:spacing w:after="0" w:line="240" w:lineRule="auto"/>
        <w:ind w:firstLine="709" w:left="0"/>
        <w:jc w:val="both"/>
        <w:rPr>
          <w:sz w:val="28"/>
        </w:rPr>
      </w:pPr>
      <w:r>
        <w:rPr>
          <w:sz w:val="28"/>
        </w:rPr>
        <w:t xml:space="preserve">Оценка надежности теплоснабжения разрабатывается в соответствии с пп. «и» п. 19, 46 Требований к схемам теплоснабжения. Нормативные требования к надёжности теплоснабжения установлены в </w:t>
      </w:r>
      <w:r>
        <w:rPr>
          <w:sz w:val="28"/>
        </w:rPr>
        <w:t xml:space="preserve">СП 124.13330.2012 «Тепловые сети» в части пп. 6.27-6.31 р. «Надежность». </w:t>
      </w:r>
    </w:p>
    <w:p w14:paraId="B10A0000">
      <w:pPr>
        <w:spacing w:after="0" w:line="240" w:lineRule="auto"/>
        <w:ind w:firstLine="709" w:left="0"/>
        <w:jc w:val="both"/>
        <w:rPr>
          <w:sz w:val="28"/>
        </w:rPr>
      </w:pPr>
      <w:r>
        <w:rPr>
          <w:sz w:val="28"/>
        </w:rPr>
        <w:t>Нормативные показатели безотказности тепловых сетей обеспечиваются следующими мероприятиями:</w:t>
      </w:r>
    </w:p>
    <w:p w14:paraId="B20A0000">
      <w:pPr>
        <w:spacing w:after="0" w:line="240" w:lineRule="auto"/>
        <w:ind w:firstLine="709" w:left="0"/>
        <w:jc w:val="both"/>
        <w:rPr>
          <w:sz w:val="28"/>
        </w:rPr>
      </w:pPr>
      <w:r>
        <w:rPr>
          <w:sz w:val="28"/>
        </w:rPr>
        <w:t>• необходимость замены участков теплопроводов на более надежные;</w:t>
      </w:r>
    </w:p>
    <w:p w14:paraId="B30A0000">
      <w:pPr>
        <w:spacing w:after="0" w:line="240" w:lineRule="auto"/>
        <w:ind w:firstLine="709" w:left="0"/>
        <w:jc w:val="both"/>
        <w:rPr>
          <w:sz w:val="28"/>
        </w:rPr>
      </w:pPr>
      <w:r>
        <w:rPr>
          <w:sz w:val="28"/>
        </w:rPr>
        <w:t>• очередность ремонтов и</w:t>
      </w:r>
      <w:r>
        <w:rPr>
          <w:sz w:val="28"/>
        </w:rPr>
        <w:t xml:space="preserve"> замен теплопроводов, частично или полностью утративших свой ресурс.</w:t>
      </w:r>
    </w:p>
    <w:p w14:paraId="B40A0000">
      <w:pPr>
        <w:spacing w:after="0" w:line="240" w:lineRule="auto"/>
        <w:ind w:firstLine="709" w:left="0"/>
        <w:jc w:val="both"/>
        <w:rPr>
          <w:sz w:val="28"/>
        </w:rPr>
      </w:pPr>
      <w:r>
        <w:rPr>
          <w:sz w:val="28"/>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w:t>
      </w:r>
      <w:r>
        <w:rPr>
          <w:sz w:val="28"/>
        </w:rPr>
        <w:t>ты, а также - числу часов нерасчетных температур наружного воздуха в данной местности.</w:t>
      </w:r>
    </w:p>
    <w:p w14:paraId="B50A0000">
      <w:pPr>
        <w:spacing w:after="0" w:line="240" w:lineRule="auto"/>
        <w:ind w:firstLine="709" w:left="0"/>
        <w:jc w:val="both"/>
        <w:rPr>
          <w:sz w:val="28"/>
        </w:rPr>
      </w:pPr>
      <w:r>
        <w:rPr>
          <w:sz w:val="28"/>
        </w:rPr>
        <w:t>Минимально допустимый показатель готовности СЦТ к исправной работе К</w:t>
      </w:r>
      <w:r>
        <w:rPr>
          <w:sz w:val="28"/>
          <w:vertAlign w:val="subscript"/>
        </w:rPr>
        <w:t>г</w:t>
      </w:r>
      <w:r>
        <w:rPr>
          <w:sz w:val="28"/>
        </w:rPr>
        <w:t xml:space="preserve"> принимается 0,97.</w:t>
      </w:r>
    </w:p>
    <w:p w14:paraId="B60A0000">
      <w:pPr>
        <w:spacing w:after="0" w:line="240" w:lineRule="auto"/>
        <w:ind w:firstLine="709" w:left="0"/>
        <w:jc w:val="both"/>
        <w:rPr>
          <w:sz w:val="28"/>
        </w:rPr>
      </w:pPr>
      <w:r>
        <w:rPr>
          <w:sz w:val="28"/>
        </w:rPr>
        <w:t>Нормативные показатели готовности систем теплоснабжения обеспечиваются следующими</w:t>
      </w:r>
      <w:r>
        <w:rPr>
          <w:sz w:val="28"/>
        </w:rPr>
        <w:t xml:space="preserve"> мероприятиями:</w:t>
      </w:r>
    </w:p>
    <w:p w14:paraId="B70A0000">
      <w:pPr>
        <w:spacing w:after="0" w:line="240" w:lineRule="auto"/>
        <w:ind w:firstLine="709" w:left="0"/>
        <w:jc w:val="both"/>
        <w:rPr>
          <w:sz w:val="28"/>
        </w:rPr>
      </w:pPr>
      <w:r>
        <w:rPr>
          <w:sz w:val="28"/>
        </w:rPr>
        <w:t>• готовностью СЦТ к отопительному сезону;</w:t>
      </w:r>
    </w:p>
    <w:p w14:paraId="B80A0000">
      <w:pPr>
        <w:spacing w:after="0" w:line="240" w:lineRule="auto"/>
        <w:ind w:firstLine="709" w:left="0"/>
        <w:jc w:val="both"/>
        <w:rPr>
          <w:sz w:val="28"/>
        </w:rPr>
      </w:pPr>
      <w:r>
        <w:rPr>
          <w:sz w:val="28"/>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B90A0000">
      <w:pPr>
        <w:spacing w:after="0" w:line="240" w:lineRule="auto"/>
        <w:ind w:firstLine="709" w:left="0"/>
        <w:jc w:val="both"/>
        <w:rPr>
          <w:sz w:val="28"/>
        </w:rPr>
      </w:pPr>
      <w:r>
        <w:rPr>
          <w:sz w:val="28"/>
        </w:rPr>
        <w:t>• способностью тепловых сете</w:t>
      </w:r>
      <w:r>
        <w:rPr>
          <w:sz w:val="28"/>
        </w:rPr>
        <w:t xml:space="preserve">й обеспечить исправное функционирование </w:t>
      </w:r>
    </w:p>
    <w:p w14:paraId="BA0A0000">
      <w:pPr>
        <w:spacing w:after="0" w:line="240" w:lineRule="auto"/>
        <w:ind/>
        <w:jc w:val="both"/>
        <w:rPr>
          <w:sz w:val="28"/>
        </w:rPr>
      </w:pPr>
      <w:r>
        <w:rPr>
          <w:sz w:val="28"/>
        </w:rPr>
        <w:t>СЦТ при нерасчетных похолоданиях;</w:t>
      </w:r>
    </w:p>
    <w:p w14:paraId="BB0A0000">
      <w:pPr>
        <w:spacing w:after="0" w:line="240" w:lineRule="auto"/>
        <w:ind w:firstLine="709" w:left="0"/>
        <w:jc w:val="both"/>
        <w:rPr>
          <w:sz w:val="28"/>
        </w:rPr>
      </w:pPr>
      <w:r>
        <w:rPr>
          <w:sz w:val="28"/>
        </w:rPr>
        <w:t>• организационными и техническими мерами, необходимые для обеспечения исправного функционирования СЦТ на уровне заданной готовности;</w:t>
      </w:r>
    </w:p>
    <w:p w14:paraId="BC0A0000">
      <w:pPr>
        <w:spacing w:line="240" w:lineRule="auto"/>
        <w:ind w:firstLine="709" w:left="0"/>
        <w:jc w:val="both"/>
        <w:rPr>
          <w:sz w:val="28"/>
        </w:rPr>
      </w:pPr>
      <w:r>
        <w:rPr>
          <w:sz w:val="28"/>
        </w:rPr>
        <w:t>• максимально допустимым числом часов готовности</w:t>
      </w:r>
      <w:r>
        <w:rPr>
          <w:sz w:val="28"/>
        </w:rPr>
        <w:t xml:space="preserve"> для источника теплоты.</w:t>
      </w:r>
    </w:p>
    <w:p w14:paraId="BD0A0000">
      <w:pPr>
        <w:spacing w:line="240" w:lineRule="auto"/>
        <w:ind w:firstLine="709" w:left="0"/>
        <w:jc w:val="both"/>
        <w:rPr>
          <w:sz w:val="28"/>
        </w:rPr>
      </w:pPr>
      <w:r>
        <w:rPr>
          <w:sz w:val="28"/>
        </w:rPr>
        <w:t xml:space="preserve">б) Частота отключений потребителей. </w:t>
      </w:r>
    </w:p>
    <w:p w14:paraId="BE0A0000">
      <w:pPr>
        <w:spacing w:line="240" w:lineRule="auto"/>
        <w:ind w:firstLine="709" w:left="0"/>
        <w:jc w:val="both"/>
        <w:rPr>
          <w:sz w:val="28"/>
        </w:rPr>
      </w:pPr>
      <w:r>
        <w:rPr>
          <w:sz w:val="28"/>
        </w:rPr>
        <w:t xml:space="preserve">За последние 3 года факты аварийных отключений системы теплоснабжения не зафиксировано. </w:t>
      </w:r>
    </w:p>
    <w:p w14:paraId="BF0A0000">
      <w:pPr>
        <w:spacing w:line="240" w:lineRule="auto"/>
        <w:ind w:firstLine="709" w:left="0"/>
        <w:jc w:val="both"/>
        <w:rPr>
          <w:sz w:val="28"/>
        </w:rPr>
      </w:pPr>
      <w:r>
        <w:rPr>
          <w:sz w:val="28"/>
        </w:rPr>
        <w:t xml:space="preserve">в) Поток (частота) и время восстановления теплоснабжения потребителей после отключений. </w:t>
      </w:r>
    </w:p>
    <w:p w14:paraId="C00A0000">
      <w:pPr>
        <w:spacing w:line="240" w:lineRule="auto"/>
        <w:ind w:firstLine="709" w:left="0"/>
        <w:jc w:val="both"/>
        <w:rPr>
          <w:sz w:val="28"/>
        </w:rPr>
      </w:pPr>
      <w:r>
        <w:rPr>
          <w:sz w:val="28"/>
        </w:rPr>
        <w:t>Время восстановле</w:t>
      </w:r>
      <w:r>
        <w:rPr>
          <w:sz w:val="28"/>
        </w:rPr>
        <w:t>ния потребителей после аварийных отключений не превышает нормативного - 12 часов.</w:t>
      </w:r>
    </w:p>
    <w:p w14:paraId="C10A0000">
      <w:pPr>
        <w:spacing w:line="240" w:lineRule="auto"/>
        <w:ind w:firstLine="709" w:left="0"/>
        <w:jc w:val="both"/>
        <w:rPr>
          <w:sz w:val="28"/>
        </w:rPr>
      </w:pPr>
      <w:r>
        <w:rPr>
          <w:sz w:val="28"/>
        </w:rPr>
        <w:t xml:space="preserve">г) Графические материалы (карты-схемы тепловых сетей и зон ненормативной надежности и безопасности теплоснабжения). </w:t>
      </w:r>
    </w:p>
    <w:p w14:paraId="C20A0000">
      <w:pPr>
        <w:spacing w:line="240" w:lineRule="auto"/>
        <w:ind w:firstLine="709" w:left="0"/>
        <w:jc w:val="both"/>
        <w:rPr>
          <w:sz w:val="28"/>
        </w:rPr>
      </w:pPr>
      <w:r>
        <w:rPr>
          <w:sz w:val="28"/>
        </w:rPr>
        <w:t xml:space="preserve">Ввиду отсутствия зон ненормативной надежности, данный </w:t>
      </w:r>
      <w:r>
        <w:rPr>
          <w:sz w:val="28"/>
        </w:rPr>
        <w:t>подпункт не заполняется.</w:t>
      </w:r>
    </w:p>
    <w:p w14:paraId="C30A0000">
      <w:pPr>
        <w:spacing w:line="240" w:lineRule="auto"/>
        <w:ind w:firstLine="709" w:left="0"/>
        <w:jc w:val="both"/>
        <w:rPr>
          <w:sz w:val="28"/>
        </w:rPr>
      </w:pPr>
      <w:r>
        <w:rPr>
          <w:sz w:val="28"/>
        </w:rPr>
        <w:t xml:space="preserve">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w:t>
      </w:r>
      <w:r>
        <w:rPr>
          <w:sz w:val="28"/>
        </w:rPr>
        <w:t>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г. № 1114 «О расследовании причин аварийных ситуаций при теплоснабжении и о призна</w:t>
      </w:r>
      <w:r>
        <w:rPr>
          <w:sz w:val="28"/>
        </w:rPr>
        <w:t>нии утратившими силу отдельных положений Правил расследования причин аварий в электроэнергетике».</w:t>
      </w:r>
    </w:p>
    <w:p w14:paraId="C40A0000">
      <w:pPr>
        <w:spacing w:line="240" w:lineRule="auto"/>
        <w:ind w:firstLine="709" w:left="0"/>
        <w:jc w:val="both"/>
        <w:rPr>
          <w:sz w:val="28"/>
        </w:rPr>
      </w:pPr>
      <w:r>
        <w:rPr>
          <w:sz w:val="28"/>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w:t>
      </w:r>
      <w:r>
        <w:rPr>
          <w:sz w:val="28"/>
        </w:rPr>
        <w:t xml:space="preserve">федерального государственного энергетического надзора, на территории Куйбышевского сельского поселения отсутствуют. </w:t>
      </w:r>
    </w:p>
    <w:p w14:paraId="C50A0000">
      <w:pPr>
        <w:spacing w:line="240" w:lineRule="auto"/>
        <w:ind w:firstLine="709" w:left="0"/>
        <w:jc w:val="both"/>
        <w:rPr>
          <w:sz w:val="28"/>
        </w:rPr>
      </w:pPr>
      <w:r>
        <w:rPr>
          <w:sz w:val="28"/>
        </w:rPr>
        <w:t>е) Результаты анализа времени восстановления теплоснабжения потребителей, отключенных в результате аварийных ситуаций при теплоснабжении, у</w:t>
      </w:r>
      <w:r>
        <w:rPr>
          <w:sz w:val="28"/>
        </w:rPr>
        <w:t>казанных в подпункте «д» настоящего пункта.</w:t>
      </w:r>
    </w:p>
    <w:p w14:paraId="C60A0000">
      <w:pPr>
        <w:spacing w:line="240" w:lineRule="auto"/>
        <w:ind w:firstLine="709" w:left="0"/>
        <w:jc w:val="both"/>
        <w:rPr>
          <w:sz w:val="28"/>
        </w:rPr>
      </w:pPr>
      <w:r>
        <w:rPr>
          <w:sz w:val="28"/>
        </w:rPr>
        <w:t xml:space="preserve">Аварийные ситуации при теплоснабжении, указанных в подпункте «д» настоящего пункта, настоящей схемы, отсутствуют. </w:t>
      </w:r>
    </w:p>
    <w:p w14:paraId="C70A0000">
      <w:pPr>
        <w:spacing w:line="240" w:lineRule="auto"/>
        <w:ind w:firstLine="709" w:left="0"/>
        <w:jc w:val="center"/>
        <w:rPr>
          <w:b w:val="1"/>
          <w:sz w:val="28"/>
        </w:rPr>
      </w:pPr>
      <w:r>
        <w:rPr>
          <w:b w:val="1"/>
          <w:sz w:val="28"/>
        </w:rPr>
        <w:t>Часть 10 «Технико – экономические показатели теплоснабжающих и теплосетевых организаций Куйбышевс</w:t>
      </w:r>
      <w:r>
        <w:rPr>
          <w:b w:val="1"/>
          <w:sz w:val="28"/>
        </w:rPr>
        <w:t>кого сельского поселения Куйбышевского района»</w:t>
      </w:r>
    </w:p>
    <w:p w14:paraId="C80A0000">
      <w:pPr>
        <w:spacing w:line="240" w:lineRule="auto"/>
        <w:ind/>
        <w:jc w:val="both"/>
        <w:rPr>
          <w:b w:val="1"/>
          <w:sz w:val="28"/>
        </w:rPr>
      </w:pPr>
      <w:r>
        <w:rPr>
          <w:sz w:val="28"/>
        </w:rPr>
        <w:t>Таблица 28 Основные технико-экономические показатели работы</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17"/>
        <w:gridCol w:w="3647"/>
        <w:gridCol w:w="1963"/>
        <w:gridCol w:w="3503"/>
      </w:tblGrid>
      <w:tr>
        <w:trPr>
          <w:trHeight w:hRule="atLeast" w:val="704"/>
        </w:trPr>
        <w:tc>
          <w:tcPr>
            <w:tcW w:type="dxa" w:w="417"/>
            <w:tcBorders>
              <w:top w:color="000000" w:sz="4" w:val="single"/>
              <w:left w:color="000000" w:sz="4" w:val="single"/>
              <w:bottom w:color="000000" w:sz="4" w:val="single"/>
              <w:right w:color="000000" w:sz="4" w:val="single"/>
            </w:tcBorders>
            <w:vAlign w:val="center"/>
          </w:tcPr>
          <w:p w14:paraId="C90A0000">
            <w:pPr>
              <w:spacing w:line="240" w:lineRule="auto"/>
              <w:ind/>
              <w:jc w:val="center"/>
              <w:rPr>
                <w:sz w:val="20"/>
              </w:rPr>
            </w:pPr>
            <w:r>
              <w:rPr>
                <w:sz w:val="20"/>
              </w:rPr>
              <w:t>№</w:t>
            </w:r>
          </w:p>
        </w:tc>
        <w:tc>
          <w:tcPr>
            <w:tcW w:type="dxa" w:w="3647"/>
            <w:tcBorders>
              <w:top w:color="000000" w:sz="4" w:val="single"/>
              <w:left w:color="000000" w:sz="4" w:val="single"/>
              <w:bottom w:color="000000" w:sz="4" w:val="single"/>
              <w:right w:color="000000" w:sz="4" w:val="single"/>
            </w:tcBorders>
            <w:vAlign w:val="center"/>
          </w:tcPr>
          <w:p w14:paraId="CA0A0000">
            <w:pPr>
              <w:spacing w:line="240" w:lineRule="auto"/>
              <w:ind/>
              <w:jc w:val="center"/>
              <w:rPr>
                <w:sz w:val="20"/>
              </w:rPr>
            </w:pPr>
            <w:r>
              <w:rPr>
                <w:sz w:val="20"/>
              </w:rPr>
              <w:t>Наименование показателя</w:t>
            </w:r>
          </w:p>
        </w:tc>
        <w:tc>
          <w:tcPr>
            <w:tcW w:type="dxa" w:w="1963"/>
            <w:tcBorders>
              <w:top w:color="000000" w:sz="4" w:val="single"/>
              <w:left w:color="000000" w:sz="4" w:val="single"/>
              <w:bottom w:color="000000" w:sz="4" w:val="single"/>
              <w:right w:color="000000" w:sz="4" w:val="single"/>
            </w:tcBorders>
            <w:vAlign w:val="center"/>
          </w:tcPr>
          <w:p w14:paraId="CB0A0000">
            <w:pPr>
              <w:spacing w:line="240" w:lineRule="auto"/>
              <w:ind/>
              <w:jc w:val="center"/>
              <w:rPr>
                <w:sz w:val="20"/>
              </w:rPr>
            </w:pPr>
            <w:r>
              <w:rPr>
                <w:sz w:val="20"/>
              </w:rPr>
              <w:t>Единица измерения</w:t>
            </w:r>
          </w:p>
        </w:tc>
        <w:tc>
          <w:tcPr>
            <w:tcW w:type="dxa" w:w="3503"/>
            <w:tcBorders>
              <w:top w:color="000000" w:sz="4" w:val="single"/>
              <w:left w:color="000000" w:sz="4" w:val="single"/>
              <w:bottom w:color="000000" w:sz="4" w:val="single"/>
              <w:right w:color="000000" w:sz="4" w:val="single"/>
            </w:tcBorders>
            <w:vAlign w:val="center"/>
          </w:tcPr>
          <w:p w14:paraId="CC0A0000">
            <w:pPr>
              <w:spacing w:line="240" w:lineRule="auto"/>
              <w:ind/>
              <w:jc w:val="center"/>
              <w:rPr>
                <w:sz w:val="20"/>
              </w:rPr>
            </w:pPr>
            <w:r>
              <w:rPr>
                <w:sz w:val="20"/>
              </w:rPr>
              <w:t>Сводные показатели теплоснабжающих организаций</w:t>
            </w:r>
          </w:p>
        </w:tc>
      </w:tr>
      <w:tr>
        <w:tc>
          <w:tcPr>
            <w:tcW w:type="dxa" w:w="417"/>
            <w:tcBorders>
              <w:top w:color="000000" w:sz="4" w:val="single"/>
              <w:left w:color="000000" w:sz="4" w:val="single"/>
              <w:bottom w:color="000000" w:sz="4" w:val="single"/>
              <w:right w:color="000000" w:sz="4" w:val="single"/>
            </w:tcBorders>
            <w:vAlign w:val="center"/>
          </w:tcPr>
          <w:p w14:paraId="CD0A0000">
            <w:pPr>
              <w:spacing w:line="240" w:lineRule="auto"/>
              <w:ind/>
              <w:jc w:val="center"/>
              <w:rPr>
                <w:sz w:val="20"/>
              </w:rPr>
            </w:pPr>
            <w:r>
              <w:rPr>
                <w:sz w:val="20"/>
              </w:rPr>
              <w:t>1</w:t>
            </w:r>
          </w:p>
        </w:tc>
        <w:tc>
          <w:tcPr>
            <w:tcW w:type="dxa" w:w="3647"/>
            <w:tcBorders>
              <w:top w:color="000000" w:sz="4" w:val="single"/>
              <w:left w:color="000000" w:sz="4" w:val="single"/>
              <w:bottom w:color="000000" w:sz="4" w:val="single"/>
              <w:right w:color="000000" w:sz="4" w:val="single"/>
            </w:tcBorders>
            <w:vAlign w:val="center"/>
          </w:tcPr>
          <w:p w14:paraId="CE0A0000">
            <w:pPr>
              <w:spacing w:line="240" w:lineRule="auto"/>
              <w:ind/>
              <w:jc w:val="center"/>
              <w:rPr>
                <w:sz w:val="20"/>
              </w:rPr>
            </w:pPr>
            <w:r>
              <w:rPr>
                <w:sz w:val="20"/>
              </w:rPr>
              <w:t>Установленная тепловая мощность</w:t>
            </w:r>
          </w:p>
        </w:tc>
        <w:tc>
          <w:tcPr>
            <w:tcW w:type="dxa" w:w="1963"/>
            <w:tcBorders>
              <w:top w:color="000000" w:sz="4" w:val="single"/>
              <w:left w:color="000000" w:sz="4" w:val="single"/>
              <w:bottom w:color="000000" w:sz="4" w:val="single"/>
              <w:right w:color="000000" w:sz="4" w:val="single"/>
            </w:tcBorders>
            <w:vAlign w:val="center"/>
          </w:tcPr>
          <w:p w14:paraId="CF0A0000">
            <w:pPr>
              <w:spacing w:line="240" w:lineRule="auto"/>
              <w:ind/>
              <w:jc w:val="center"/>
              <w:rPr>
                <w:sz w:val="20"/>
              </w:rPr>
            </w:pPr>
            <w:r>
              <w:rPr>
                <w:sz w:val="20"/>
              </w:rPr>
              <w:t>Гкал/ч</w:t>
            </w:r>
          </w:p>
        </w:tc>
        <w:tc>
          <w:tcPr>
            <w:tcW w:type="dxa" w:w="3503"/>
            <w:tcBorders>
              <w:top w:color="000000" w:sz="4" w:val="single"/>
              <w:left w:color="000000" w:sz="4" w:val="single"/>
              <w:bottom w:color="000000" w:sz="4" w:val="single"/>
              <w:right w:color="000000" w:sz="4" w:val="single"/>
            </w:tcBorders>
            <w:vAlign w:val="center"/>
          </w:tcPr>
          <w:p w14:paraId="D00A0000">
            <w:pPr>
              <w:ind/>
              <w:jc w:val="center"/>
              <w:rPr>
                <w:sz w:val="20"/>
              </w:rPr>
            </w:pPr>
            <w:r>
              <w:rPr>
                <w:sz w:val="20"/>
              </w:rPr>
              <w:t>5,125</w:t>
            </w:r>
          </w:p>
        </w:tc>
      </w:tr>
      <w:tr>
        <w:tc>
          <w:tcPr>
            <w:tcW w:type="dxa" w:w="417"/>
            <w:tcBorders>
              <w:top w:color="000000" w:sz="4" w:val="single"/>
              <w:left w:color="000000" w:sz="4" w:val="single"/>
              <w:bottom w:color="000000" w:sz="4" w:val="single"/>
              <w:right w:color="000000" w:sz="4" w:val="single"/>
            </w:tcBorders>
            <w:vAlign w:val="center"/>
          </w:tcPr>
          <w:p w14:paraId="D10A0000">
            <w:pPr>
              <w:spacing w:line="240" w:lineRule="auto"/>
              <w:ind/>
              <w:jc w:val="center"/>
              <w:rPr>
                <w:sz w:val="20"/>
              </w:rPr>
            </w:pPr>
            <w:r>
              <w:rPr>
                <w:sz w:val="20"/>
              </w:rPr>
              <w:t>2</w:t>
            </w:r>
          </w:p>
        </w:tc>
        <w:tc>
          <w:tcPr>
            <w:tcW w:type="dxa" w:w="3647"/>
            <w:tcBorders>
              <w:top w:color="000000" w:sz="4" w:val="single"/>
              <w:left w:color="000000" w:sz="4" w:val="single"/>
              <w:bottom w:color="000000" w:sz="4" w:val="single"/>
              <w:right w:color="000000" w:sz="4" w:val="single"/>
            </w:tcBorders>
            <w:vAlign w:val="center"/>
          </w:tcPr>
          <w:p w14:paraId="D20A0000">
            <w:pPr>
              <w:spacing w:line="240" w:lineRule="auto"/>
              <w:ind/>
              <w:jc w:val="center"/>
              <w:rPr>
                <w:sz w:val="20"/>
              </w:rPr>
            </w:pPr>
            <w:r>
              <w:rPr>
                <w:sz w:val="20"/>
              </w:rPr>
              <w:t xml:space="preserve">Количество котельных </w:t>
            </w:r>
          </w:p>
        </w:tc>
        <w:tc>
          <w:tcPr>
            <w:tcW w:type="dxa" w:w="1963"/>
            <w:tcBorders>
              <w:top w:color="000000" w:sz="4" w:val="single"/>
              <w:left w:color="000000" w:sz="4" w:val="single"/>
              <w:bottom w:color="000000" w:sz="4" w:val="single"/>
              <w:right w:color="000000" w:sz="4" w:val="single"/>
            </w:tcBorders>
            <w:vAlign w:val="center"/>
          </w:tcPr>
          <w:p w14:paraId="D30A0000">
            <w:pPr>
              <w:spacing w:line="240" w:lineRule="auto"/>
              <w:ind/>
              <w:jc w:val="center"/>
              <w:rPr>
                <w:sz w:val="20"/>
              </w:rPr>
            </w:pPr>
            <w:r>
              <w:rPr>
                <w:sz w:val="20"/>
              </w:rPr>
              <w:t>единиц</w:t>
            </w:r>
          </w:p>
        </w:tc>
        <w:tc>
          <w:tcPr>
            <w:tcW w:type="dxa" w:w="3503"/>
            <w:tcBorders>
              <w:top w:color="000000" w:sz="4" w:val="single"/>
              <w:left w:color="000000" w:sz="4" w:val="single"/>
              <w:bottom w:color="000000" w:sz="4" w:val="single"/>
              <w:right w:color="000000" w:sz="4" w:val="single"/>
            </w:tcBorders>
            <w:vAlign w:val="center"/>
          </w:tcPr>
          <w:p w14:paraId="D40A0000">
            <w:pPr>
              <w:spacing w:line="240" w:lineRule="auto"/>
              <w:ind/>
              <w:jc w:val="center"/>
              <w:rPr>
                <w:sz w:val="20"/>
              </w:rPr>
            </w:pPr>
            <w:r>
              <w:rPr>
                <w:sz w:val="20"/>
              </w:rPr>
              <w:t>26</w:t>
            </w:r>
          </w:p>
        </w:tc>
      </w:tr>
      <w:tr>
        <w:tc>
          <w:tcPr>
            <w:tcW w:type="dxa" w:w="417"/>
            <w:tcBorders>
              <w:top w:color="000000" w:sz="4" w:val="single"/>
              <w:left w:color="000000" w:sz="4" w:val="single"/>
              <w:bottom w:color="000000" w:sz="4" w:val="single"/>
              <w:right w:color="000000" w:sz="4" w:val="single"/>
            </w:tcBorders>
            <w:vAlign w:val="center"/>
          </w:tcPr>
          <w:p w14:paraId="D50A0000">
            <w:pPr>
              <w:spacing w:line="240" w:lineRule="auto"/>
              <w:ind/>
              <w:jc w:val="center"/>
              <w:rPr>
                <w:sz w:val="20"/>
              </w:rPr>
            </w:pPr>
            <w:r>
              <w:rPr>
                <w:sz w:val="20"/>
              </w:rPr>
              <w:t>3</w:t>
            </w:r>
          </w:p>
        </w:tc>
        <w:tc>
          <w:tcPr>
            <w:tcW w:type="dxa" w:w="3647"/>
            <w:tcBorders>
              <w:top w:color="000000" w:sz="4" w:val="single"/>
              <w:left w:color="000000" w:sz="4" w:val="single"/>
              <w:bottom w:color="000000" w:sz="4" w:val="single"/>
              <w:right w:color="000000" w:sz="4" w:val="single"/>
            </w:tcBorders>
            <w:vAlign w:val="center"/>
          </w:tcPr>
          <w:p w14:paraId="D60A0000">
            <w:pPr>
              <w:spacing w:line="240" w:lineRule="auto"/>
              <w:ind/>
              <w:jc w:val="center"/>
              <w:rPr>
                <w:sz w:val="20"/>
              </w:rPr>
            </w:pPr>
            <w:r>
              <w:rPr>
                <w:sz w:val="20"/>
              </w:rPr>
              <w:t>Расчетная нагрузка</w:t>
            </w:r>
          </w:p>
        </w:tc>
        <w:tc>
          <w:tcPr>
            <w:tcW w:type="dxa" w:w="1963"/>
            <w:tcBorders>
              <w:top w:color="000000" w:sz="4" w:val="single"/>
              <w:left w:color="000000" w:sz="4" w:val="single"/>
              <w:bottom w:color="000000" w:sz="4" w:val="single"/>
              <w:right w:color="000000" w:sz="4" w:val="single"/>
            </w:tcBorders>
            <w:vAlign w:val="center"/>
          </w:tcPr>
          <w:p w14:paraId="D70A0000">
            <w:pPr>
              <w:spacing w:line="240" w:lineRule="auto"/>
              <w:ind/>
              <w:jc w:val="center"/>
              <w:rPr>
                <w:sz w:val="20"/>
              </w:rPr>
            </w:pPr>
            <w:r>
              <w:rPr>
                <w:sz w:val="20"/>
              </w:rPr>
              <w:t>Гкал/ч</w:t>
            </w:r>
          </w:p>
        </w:tc>
        <w:tc>
          <w:tcPr>
            <w:tcW w:type="dxa" w:w="3503"/>
            <w:tcBorders>
              <w:top w:color="000000" w:sz="4" w:val="single"/>
              <w:left w:color="000000" w:sz="4" w:val="single"/>
              <w:bottom w:color="000000" w:sz="4" w:val="single"/>
              <w:right w:color="000000" w:sz="4" w:val="single"/>
            </w:tcBorders>
            <w:vAlign w:val="center"/>
          </w:tcPr>
          <w:p w14:paraId="D80A0000">
            <w:pPr>
              <w:spacing w:line="240" w:lineRule="auto"/>
              <w:ind/>
              <w:jc w:val="center"/>
              <w:rPr>
                <w:sz w:val="20"/>
              </w:rPr>
            </w:pPr>
            <w:r>
              <w:rPr>
                <w:sz w:val="20"/>
              </w:rPr>
              <w:t>2,052</w:t>
            </w:r>
          </w:p>
        </w:tc>
      </w:tr>
      <w:tr>
        <w:trPr>
          <w:trHeight w:hRule="atLeast" w:val="431"/>
        </w:trPr>
        <w:tc>
          <w:tcPr>
            <w:tcW w:type="dxa" w:w="417"/>
            <w:tcBorders>
              <w:top w:color="000000" w:sz="4" w:val="single"/>
              <w:left w:color="000000" w:sz="4" w:val="single"/>
              <w:bottom w:color="000000" w:sz="4" w:val="single"/>
              <w:right w:color="000000" w:sz="4" w:val="single"/>
            </w:tcBorders>
            <w:vAlign w:val="center"/>
          </w:tcPr>
          <w:p w14:paraId="D90A0000">
            <w:pPr>
              <w:spacing w:line="240" w:lineRule="auto"/>
              <w:ind/>
              <w:jc w:val="center"/>
              <w:rPr>
                <w:sz w:val="20"/>
              </w:rPr>
            </w:pPr>
            <w:r>
              <w:rPr>
                <w:sz w:val="20"/>
              </w:rPr>
              <w:t>4</w:t>
            </w:r>
          </w:p>
        </w:tc>
        <w:tc>
          <w:tcPr>
            <w:tcW w:type="dxa" w:w="3647"/>
            <w:tcBorders>
              <w:top w:color="000000" w:sz="4" w:val="single"/>
              <w:left w:color="000000" w:sz="4" w:val="single"/>
              <w:bottom w:color="000000" w:sz="4" w:val="single"/>
              <w:right w:color="000000" w:sz="4" w:val="single"/>
            </w:tcBorders>
            <w:vAlign w:val="center"/>
          </w:tcPr>
          <w:p w14:paraId="DA0A0000">
            <w:pPr>
              <w:spacing w:line="240" w:lineRule="auto"/>
              <w:ind/>
              <w:jc w:val="center"/>
              <w:rPr>
                <w:sz w:val="20"/>
              </w:rPr>
            </w:pPr>
            <w:r>
              <w:rPr>
                <w:sz w:val="20"/>
              </w:rPr>
              <w:t xml:space="preserve">Средний удельный расход топлива </w:t>
            </w:r>
          </w:p>
        </w:tc>
        <w:tc>
          <w:tcPr>
            <w:tcW w:type="dxa" w:w="1963"/>
            <w:tcBorders>
              <w:top w:color="000000" w:sz="4" w:val="single"/>
              <w:left w:color="000000" w:sz="4" w:val="single"/>
              <w:bottom w:color="000000" w:sz="4" w:val="single"/>
              <w:right w:color="000000" w:sz="4" w:val="single"/>
            </w:tcBorders>
            <w:vAlign w:val="center"/>
          </w:tcPr>
          <w:p w14:paraId="DB0A0000">
            <w:pPr>
              <w:spacing w:line="240" w:lineRule="auto"/>
              <w:ind/>
              <w:jc w:val="center"/>
              <w:rPr>
                <w:sz w:val="20"/>
              </w:rPr>
            </w:pPr>
            <w:r>
              <w:rPr>
                <w:sz w:val="20"/>
              </w:rPr>
              <w:t>кг. у. т./Гкал</w:t>
            </w:r>
          </w:p>
        </w:tc>
        <w:tc>
          <w:tcPr>
            <w:tcW w:type="dxa" w:w="3503"/>
            <w:tcBorders>
              <w:top w:color="000000" w:sz="4" w:val="single"/>
              <w:left w:color="000000" w:sz="4" w:val="single"/>
              <w:bottom w:color="000000" w:sz="4" w:val="single"/>
              <w:right w:color="000000" w:sz="4" w:val="single"/>
            </w:tcBorders>
            <w:vAlign w:val="center"/>
          </w:tcPr>
          <w:p w14:paraId="DC0A0000">
            <w:pPr>
              <w:spacing w:line="240" w:lineRule="auto"/>
              <w:ind/>
              <w:jc w:val="center"/>
              <w:rPr>
                <w:sz w:val="20"/>
              </w:rPr>
            </w:pPr>
            <w:r>
              <w:rPr>
                <w:sz w:val="20"/>
              </w:rPr>
              <w:t>165,2</w:t>
            </w:r>
          </w:p>
        </w:tc>
      </w:tr>
      <w:tr>
        <w:tc>
          <w:tcPr>
            <w:tcW w:type="dxa" w:w="417"/>
            <w:tcBorders>
              <w:top w:color="000000" w:sz="4" w:val="single"/>
              <w:left w:color="000000" w:sz="4" w:val="single"/>
              <w:bottom w:color="000000" w:sz="4" w:val="single"/>
              <w:right w:color="000000" w:sz="4" w:val="single"/>
            </w:tcBorders>
            <w:vAlign w:val="center"/>
          </w:tcPr>
          <w:p w14:paraId="DD0A0000">
            <w:pPr>
              <w:spacing w:line="240" w:lineRule="auto"/>
              <w:ind/>
              <w:jc w:val="center"/>
              <w:rPr>
                <w:sz w:val="20"/>
              </w:rPr>
            </w:pPr>
            <w:r>
              <w:rPr>
                <w:sz w:val="20"/>
              </w:rPr>
              <w:t>5</w:t>
            </w:r>
          </w:p>
        </w:tc>
        <w:tc>
          <w:tcPr>
            <w:tcW w:type="dxa" w:w="3647"/>
            <w:tcBorders>
              <w:top w:color="000000" w:sz="4" w:val="single"/>
              <w:left w:color="000000" w:sz="4" w:val="single"/>
              <w:bottom w:color="000000" w:sz="4" w:val="single"/>
              <w:right w:color="000000" w:sz="4" w:val="single"/>
            </w:tcBorders>
            <w:vAlign w:val="center"/>
          </w:tcPr>
          <w:p w14:paraId="DE0A0000">
            <w:pPr>
              <w:spacing w:line="240" w:lineRule="auto"/>
              <w:ind/>
              <w:jc w:val="center"/>
              <w:rPr>
                <w:sz w:val="20"/>
              </w:rPr>
            </w:pPr>
            <w:r>
              <w:rPr>
                <w:sz w:val="20"/>
              </w:rPr>
              <w:t>Величина потерь к материальной характеристике тепловой сети</w:t>
            </w:r>
          </w:p>
        </w:tc>
        <w:tc>
          <w:tcPr>
            <w:tcW w:type="dxa" w:w="1963"/>
            <w:tcBorders>
              <w:top w:color="000000" w:sz="4" w:val="single"/>
              <w:left w:color="000000" w:sz="4" w:val="single"/>
              <w:bottom w:color="000000" w:sz="4" w:val="single"/>
              <w:right w:color="000000" w:sz="4" w:val="single"/>
            </w:tcBorders>
            <w:vAlign w:val="center"/>
          </w:tcPr>
          <w:p w14:paraId="DF0A0000">
            <w:pPr>
              <w:spacing w:line="240" w:lineRule="auto"/>
              <w:ind/>
              <w:jc w:val="center"/>
              <w:rPr>
                <w:sz w:val="20"/>
                <w:vertAlign w:val="superscript"/>
              </w:rPr>
            </w:pPr>
            <w:r>
              <w:rPr>
                <w:sz w:val="20"/>
              </w:rPr>
              <w:t>Гкал/м</w:t>
            </w:r>
            <w:r>
              <w:rPr>
                <w:sz w:val="20"/>
                <w:vertAlign w:val="superscript"/>
              </w:rPr>
              <w:t>2</w:t>
            </w:r>
          </w:p>
        </w:tc>
        <w:tc>
          <w:tcPr>
            <w:tcW w:type="dxa" w:w="3503"/>
            <w:tcBorders>
              <w:top w:color="000000" w:sz="4" w:val="single"/>
              <w:left w:color="000000" w:sz="4" w:val="single"/>
              <w:bottom w:color="000000" w:sz="4" w:val="single"/>
              <w:right w:color="000000" w:sz="4" w:val="single"/>
            </w:tcBorders>
            <w:vAlign w:val="center"/>
          </w:tcPr>
          <w:p w14:paraId="E00A0000">
            <w:pPr>
              <w:spacing w:line="240" w:lineRule="auto"/>
              <w:ind/>
              <w:jc w:val="center"/>
              <w:rPr>
                <w:sz w:val="20"/>
              </w:rPr>
            </w:pPr>
            <w:r>
              <w:rPr>
                <w:sz w:val="20"/>
              </w:rPr>
              <w:t>-</w:t>
            </w:r>
          </w:p>
        </w:tc>
      </w:tr>
      <w:tr>
        <w:tc>
          <w:tcPr>
            <w:tcW w:type="dxa" w:w="417"/>
            <w:tcBorders>
              <w:top w:color="000000" w:sz="4" w:val="single"/>
              <w:left w:color="000000" w:sz="4" w:val="single"/>
              <w:bottom w:color="000000" w:sz="4" w:val="single"/>
              <w:right w:color="000000" w:sz="4" w:val="single"/>
            </w:tcBorders>
            <w:vAlign w:val="center"/>
          </w:tcPr>
          <w:p w14:paraId="E10A0000">
            <w:pPr>
              <w:spacing w:line="240" w:lineRule="auto"/>
              <w:ind/>
              <w:jc w:val="center"/>
              <w:rPr>
                <w:sz w:val="20"/>
              </w:rPr>
            </w:pPr>
            <w:r>
              <w:rPr>
                <w:sz w:val="20"/>
              </w:rPr>
              <w:t>6</w:t>
            </w:r>
          </w:p>
        </w:tc>
        <w:tc>
          <w:tcPr>
            <w:tcW w:type="dxa" w:w="3647"/>
            <w:tcBorders>
              <w:top w:color="000000" w:sz="4" w:val="single"/>
              <w:left w:color="000000" w:sz="4" w:val="single"/>
              <w:bottom w:color="000000" w:sz="4" w:val="single"/>
              <w:right w:color="000000" w:sz="4" w:val="single"/>
            </w:tcBorders>
            <w:vAlign w:val="center"/>
          </w:tcPr>
          <w:p w14:paraId="E20A0000">
            <w:pPr>
              <w:spacing w:line="240" w:lineRule="auto"/>
              <w:ind/>
              <w:jc w:val="center"/>
              <w:rPr>
                <w:sz w:val="20"/>
              </w:rPr>
            </w:pPr>
            <w:r>
              <w:rPr>
                <w:sz w:val="20"/>
              </w:rPr>
              <w:t>Технологические потери</w:t>
            </w:r>
          </w:p>
        </w:tc>
        <w:tc>
          <w:tcPr>
            <w:tcW w:type="dxa" w:w="1963"/>
            <w:tcBorders>
              <w:top w:color="000000" w:sz="4" w:val="single"/>
              <w:left w:color="000000" w:sz="4" w:val="single"/>
              <w:bottom w:color="000000" w:sz="4" w:val="single"/>
              <w:right w:color="000000" w:sz="4" w:val="single"/>
            </w:tcBorders>
            <w:vAlign w:val="center"/>
          </w:tcPr>
          <w:p w14:paraId="E30A0000">
            <w:pPr>
              <w:spacing w:line="240" w:lineRule="auto"/>
              <w:ind/>
              <w:jc w:val="center"/>
              <w:rPr>
                <w:sz w:val="20"/>
              </w:rPr>
            </w:pPr>
            <w:r>
              <w:rPr>
                <w:sz w:val="20"/>
              </w:rPr>
              <w:t>Гкал</w:t>
            </w:r>
          </w:p>
        </w:tc>
        <w:tc>
          <w:tcPr>
            <w:tcW w:type="dxa" w:w="3503"/>
            <w:tcBorders>
              <w:top w:color="000000" w:sz="4" w:val="single"/>
              <w:left w:color="000000" w:sz="4" w:val="single"/>
              <w:bottom w:color="000000" w:sz="4" w:val="single"/>
              <w:right w:color="000000" w:sz="4" w:val="single"/>
            </w:tcBorders>
            <w:vAlign w:val="center"/>
          </w:tcPr>
          <w:p w14:paraId="E40A0000">
            <w:pPr>
              <w:spacing w:line="240" w:lineRule="auto"/>
              <w:ind/>
              <w:jc w:val="center"/>
              <w:rPr>
                <w:sz w:val="20"/>
              </w:rPr>
            </w:pPr>
            <w:r>
              <w:rPr>
                <w:sz w:val="20"/>
              </w:rPr>
              <w:t>-</w:t>
            </w:r>
          </w:p>
        </w:tc>
      </w:tr>
      <w:tr>
        <w:trPr>
          <w:trHeight w:hRule="atLeast" w:val="193"/>
        </w:trPr>
        <w:tc>
          <w:tcPr>
            <w:tcW w:type="dxa" w:w="417"/>
            <w:tcBorders>
              <w:top w:color="000000" w:sz="4" w:val="single"/>
              <w:left w:color="000000" w:sz="4" w:val="single"/>
              <w:bottom w:color="000000" w:sz="4" w:val="single"/>
              <w:right w:color="000000" w:sz="4" w:val="single"/>
            </w:tcBorders>
            <w:vAlign w:val="center"/>
          </w:tcPr>
          <w:p w14:paraId="E50A0000">
            <w:pPr>
              <w:spacing w:line="240" w:lineRule="auto"/>
              <w:ind/>
              <w:jc w:val="center"/>
              <w:rPr>
                <w:sz w:val="20"/>
              </w:rPr>
            </w:pPr>
            <w:r>
              <w:rPr>
                <w:sz w:val="20"/>
              </w:rPr>
              <w:t>7</w:t>
            </w:r>
          </w:p>
        </w:tc>
        <w:tc>
          <w:tcPr>
            <w:tcW w:type="dxa" w:w="3647"/>
            <w:tcBorders>
              <w:top w:color="000000" w:sz="4" w:val="single"/>
              <w:left w:color="000000" w:sz="4" w:val="single"/>
              <w:bottom w:color="000000" w:sz="4" w:val="single"/>
              <w:right w:color="000000" w:sz="4" w:val="single"/>
            </w:tcBorders>
            <w:vAlign w:val="center"/>
          </w:tcPr>
          <w:p w14:paraId="E60A0000">
            <w:pPr>
              <w:spacing w:line="240" w:lineRule="auto"/>
              <w:ind/>
              <w:jc w:val="center"/>
              <w:rPr>
                <w:sz w:val="20"/>
              </w:rPr>
            </w:pPr>
            <w:r>
              <w:rPr>
                <w:sz w:val="20"/>
              </w:rPr>
              <w:t xml:space="preserve">Структура тарифа на производство и передачу тепловой энергии </w:t>
            </w:r>
          </w:p>
        </w:tc>
        <w:tc>
          <w:tcPr>
            <w:tcW w:type="dxa" w:w="1963"/>
            <w:tcBorders>
              <w:top w:color="000000" w:sz="4" w:val="single"/>
              <w:left w:color="000000" w:sz="4" w:val="single"/>
              <w:bottom w:color="000000" w:sz="4" w:val="single"/>
              <w:right w:color="000000" w:sz="4" w:val="single"/>
            </w:tcBorders>
            <w:vAlign w:val="center"/>
          </w:tcPr>
          <w:p w14:paraId="E70A0000">
            <w:pPr>
              <w:spacing w:line="240" w:lineRule="auto"/>
              <w:ind/>
              <w:jc w:val="center"/>
              <w:rPr>
                <w:sz w:val="20"/>
              </w:rPr>
            </w:pPr>
            <w:r>
              <w:rPr>
                <w:sz w:val="20"/>
              </w:rPr>
              <w:t>метод</w:t>
            </w:r>
          </w:p>
        </w:tc>
        <w:tc>
          <w:tcPr>
            <w:tcW w:type="dxa" w:w="3503"/>
            <w:tcBorders>
              <w:top w:color="000000" w:sz="4" w:val="single"/>
              <w:left w:color="000000" w:sz="4" w:val="single"/>
              <w:bottom w:color="000000" w:sz="4" w:val="single"/>
              <w:right w:color="000000" w:sz="4" w:val="single"/>
            </w:tcBorders>
            <w:vAlign w:val="center"/>
          </w:tcPr>
          <w:p w14:paraId="E80A0000">
            <w:pPr>
              <w:spacing w:line="240" w:lineRule="auto"/>
              <w:ind/>
              <w:jc w:val="center"/>
              <w:rPr>
                <w:sz w:val="20"/>
              </w:rPr>
            </w:pPr>
            <w:r>
              <w:rPr>
                <w:sz w:val="20"/>
              </w:rPr>
              <w:t>индексации установленных тарифов</w:t>
            </w:r>
          </w:p>
        </w:tc>
      </w:tr>
    </w:tbl>
    <w:p w14:paraId="E90A0000">
      <w:pPr>
        <w:spacing w:before="200" w:line="240" w:lineRule="auto"/>
        <w:ind/>
        <w:jc w:val="center"/>
        <w:rPr>
          <w:b w:val="1"/>
          <w:sz w:val="28"/>
        </w:rPr>
      </w:pPr>
      <w:r>
        <w:rPr>
          <w:b w:val="1"/>
          <w:sz w:val="28"/>
        </w:rPr>
        <w:t>Часть 11 «Цены (тарифы) в сфере теплоснабжения Куйбышевского сельского поселения Куйбышевского района»</w:t>
      </w:r>
    </w:p>
    <w:p w14:paraId="EA0A0000">
      <w:pPr>
        <w:spacing w:line="240" w:lineRule="auto"/>
        <w:ind w:firstLine="709" w:left="0"/>
        <w:jc w:val="both"/>
        <w:rPr>
          <w:sz w:val="28"/>
        </w:rPr>
      </w:pPr>
      <w:r>
        <w:rPr>
          <w:sz w:val="28"/>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w:t>
      </w:r>
      <w:r>
        <w:rPr>
          <w:sz w:val="28"/>
        </w:rPr>
        <w:t xml:space="preserve">плоснабжающей организации с учетом последних 3 лет. </w:t>
      </w:r>
    </w:p>
    <w:p w14:paraId="EB0A0000">
      <w:pPr>
        <w:spacing w:line="240" w:lineRule="auto"/>
        <w:ind/>
        <w:jc w:val="both"/>
        <w:rPr>
          <w:sz w:val="28"/>
        </w:rPr>
      </w:pPr>
      <w:r>
        <w:rPr>
          <w:sz w:val="28"/>
        </w:rPr>
        <w:t xml:space="preserve">Таблица 29 Динамика изменения тарифов в сфере теплоснабжения </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504"/>
        <w:gridCol w:w="2102"/>
        <w:gridCol w:w="1963"/>
        <w:gridCol w:w="1962"/>
      </w:tblGrid>
      <w:tr>
        <w:trPr>
          <w:trHeight w:hRule="atLeast" w:val="488"/>
        </w:trPr>
        <w:tc>
          <w:tcPr>
            <w:tcW w:type="dxa" w:w="3504"/>
            <w:vMerge w:val="restart"/>
            <w:tcBorders>
              <w:top w:color="000000" w:sz="4" w:val="single"/>
              <w:left w:color="000000" w:sz="4" w:val="single"/>
              <w:bottom w:color="000000" w:sz="4" w:val="single"/>
              <w:right w:color="000000" w:sz="4" w:val="single"/>
            </w:tcBorders>
            <w:vAlign w:val="center"/>
          </w:tcPr>
          <w:p w14:paraId="EC0A0000">
            <w:pPr>
              <w:spacing w:line="240" w:lineRule="auto"/>
              <w:ind/>
              <w:jc w:val="center"/>
              <w:rPr>
                <w:sz w:val="20"/>
              </w:rPr>
            </w:pPr>
            <w:r>
              <w:rPr>
                <w:sz w:val="20"/>
              </w:rPr>
              <w:t xml:space="preserve">тариф на тепловую энергию </w:t>
            </w:r>
          </w:p>
        </w:tc>
        <w:tc>
          <w:tcPr>
            <w:tcW w:type="dxa" w:w="2102"/>
            <w:tcBorders>
              <w:top w:color="000000" w:sz="4" w:val="single"/>
              <w:left w:color="000000" w:sz="4" w:val="single"/>
              <w:bottom w:color="000000" w:sz="4" w:val="single"/>
              <w:right w:color="000000" w:sz="4" w:val="single"/>
            </w:tcBorders>
            <w:vAlign w:val="center"/>
          </w:tcPr>
          <w:p w14:paraId="ED0A0000">
            <w:pPr>
              <w:spacing w:after="0" w:line="240" w:lineRule="auto"/>
              <w:ind/>
              <w:jc w:val="center"/>
              <w:rPr>
                <w:sz w:val="20"/>
              </w:rPr>
            </w:pPr>
            <w:r>
              <w:rPr>
                <w:sz w:val="20"/>
              </w:rPr>
              <w:t>2020 год, руб./Гкал</w:t>
            </w:r>
          </w:p>
        </w:tc>
        <w:tc>
          <w:tcPr>
            <w:tcW w:type="dxa" w:w="1963"/>
            <w:tcBorders>
              <w:top w:color="000000" w:sz="4" w:val="single"/>
              <w:left w:color="000000" w:sz="4" w:val="single"/>
              <w:bottom w:color="000000" w:sz="4" w:val="single"/>
              <w:right w:color="000000" w:sz="4" w:val="single"/>
            </w:tcBorders>
            <w:vAlign w:val="center"/>
          </w:tcPr>
          <w:p w14:paraId="EE0A0000">
            <w:pPr>
              <w:spacing w:after="0" w:line="240" w:lineRule="auto"/>
              <w:ind/>
              <w:jc w:val="center"/>
              <w:rPr>
                <w:sz w:val="20"/>
              </w:rPr>
            </w:pPr>
            <w:r>
              <w:rPr>
                <w:sz w:val="20"/>
              </w:rPr>
              <w:t>2021 год, руб./Гкал</w:t>
            </w:r>
          </w:p>
        </w:tc>
        <w:tc>
          <w:tcPr>
            <w:tcW w:type="dxa" w:w="1962"/>
            <w:tcBorders>
              <w:top w:color="000000" w:sz="4" w:val="single"/>
              <w:left w:color="000000" w:sz="4" w:val="single"/>
              <w:bottom w:color="000000" w:sz="4" w:val="single"/>
              <w:right w:color="000000" w:sz="4" w:val="single"/>
            </w:tcBorders>
            <w:vAlign w:val="center"/>
          </w:tcPr>
          <w:p w14:paraId="EF0A0000">
            <w:pPr>
              <w:spacing w:after="0" w:line="240" w:lineRule="auto"/>
              <w:ind/>
              <w:jc w:val="center"/>
              <w:rPr>
                <w:sz w:val="20"/>
              </w:rPr>
            </w:pPr>
            <w:r>
              <w:rPr>
                <w:sz w:val="20"/>
              </w:rPr>
              <w:t>2022 год, руб./Гкал</w:t>
            </w:r>
          </w:p>
        </w:tc>
      </w:tr>
      <w:tr>
        <w:trPr>
          <w:trHeight w:hRule="atLeast" w:val="181"/>
        </w:trPr>
        <w:tc>
          <w:tcPr>
            <w:tcW w:type="dxa" w:w="3504"/>
            <w:gridSpan w:val="1"/>
            <w:vMerge w:val="continue"/>
            <w:tcBorders>
              <w:top w:color="000000" w:sz="4" w:val="single"/>
              <w:left w:color="000000" w:sz="4" w:val="single"/>
              <w:bottom w:color="000000" w:sz="4" w:val="single"/>
              <w:right w:color="000000" w:sz="4" w:val="single"/>
            </w:tcBorders>
            <w:vAlign w:val="center"/>
          </w:tcPr>
          <w:p/>
        </w:tc>
        <w:tc>
          <w:tcPr>
            <w:tcW w:type="dxa" w:w="2102"/>
            <w:tcBorders>
              <w:top w:color="000000" w:sz="4" w:val="single"/>
              <w:left w:color="000000" w:sz="4" w:val="single"/>
              <w:bottom w:color="000000" w:sz="4" w:val="single"/>
              <w:right w:color="000000" w:sz="4" w:val="single"/>
            </w:tcBorders>
            <w:vAlign w:val="center"/>
          </w:tcPr>
          <w:p w14:paraId="F00A0000">
            <w:pPr>
              <w:spacing w:line="240" w:lineRule="atLeast"/>
              <w:ind/>
              <w:jc w:val="center"/>
              <w:rPr>
                <w:sz w:val="20"/>
              </w:rPr>
            </w:pPr>
            <w:r>
              <w:rPr>
                <w:sz w:val="20"/>
              </w:rPr>
              <w:t>3130,93</w:t>
            </w:r>
          </w:p>
        </w:tc>
        <w:tc>
          <w:tcPr>
            <w:tcW w:type="dxa" w:w="1963"/>
            <w:tcBorders>
              <w:top w:color="000000" w:sz="4" w:val="single"/>
              <w:left w:color="000000" w:sz="4" w:val="single"/>
              <w:bottom w:color="000000" w:sz="4" w:val="single"/>
              <w:right w:color="000000" w:sz="4" w:val="single"/>
            </w:tcBorders>
            <w:vAlign w:val="center"/>
          </w:tcPr>
          <w:p w14:paraId="F10A0000">
            <w:pPr>
              <w:spacing w:line="240" w:lineRule="atLeast"/>
              <w:ind/>
              <w:jc w:val="center"/>
              <w:rPr>
                <w:sz w:val="20"/>
              </w:rPr>
            </w:pPr>
            <w:r>
              <w:rPr>
                <w:sz w:val="20"/>
              </w:rPr>
              <w:t>3549,92</w:t>
            </w:r>
          </w:p>
        </w:tc>
        <w:tc>
          <w:tcPr>
            <w:tcW w:type="dxa" w:w="1962"/>
            <w:tcBorders>
              <w:top w:color="000000" w:sz="4" w:val="single"/>
              <w:left w:color="000000" w:sz="4" w:val="single"/>
              <w:bottom w:color="000000" w:sz="4" w:val="single"/>
              <w:right w:color="000000" w:sz="4" w:val="single"/>
            </w:tcBorders>
            <w:vAlign w:val="center"/>
          </w:tcPr>
          <w:p w14:paraId="F20A0000">
            <w:pPr>
              <w:spacing w:line="240" w:lineRule="atLeast"/>
              <w:ind/>
              <w:jc w:val="center"/>
              <w:rPr>
                <w:sz w:val="20"/>
              </w:rPr>
            </w:pPr>
            <w:r>
              <w:rPr>
                <w:sz w:val="20"/>
              </w:rPr>
              <w:t>4068,07</w:t>
            </w:r>
          </w:p>
        </w:tc>
      </w:tr>
    </w:tbl>
    <w:p w14:paraId="F30A0000">
      <w:pPr>
        <w:spacing w:after="0" w:line="240" w:lineRule="auto"/>
        <w:ind/>
        <w:jc w:val="both"/>
        <w:rPr>
          <w:sz w:val="28"/>
        </w:rPr>
      </w:pPr>
    </w:p>
    <w:p w14:paraId="F40A0000">
      <w:pPr>
        <w:spacing w:line="240" w:lineRule="auto"/>
        <w:ind w:firstLine="709" w:left="0"/>
        <w:jc w:val="both"/>
        <w:rPr>
          <w:sz w:val="28"/>
        </w:rPr>
      </w:pPr>
      <w:r>
        <w:rPr>
          <w:sz w:val="28"/>
        </w:rPr>
        <w:t xml:space="preserve">Из таблицы 29 следует, что тарифы на тепловую энергию неуклонно растут. Основной причиной увеличения тарифов на тепловую энергию, производимую теплоснабжающей организацией, является постоянное повышение цены на энергоносители, необходимые для производства </w:t>
      </w:r>
      <w:r>
        <w:rPr>
          <w:sz w:val="28"/>
        </w:rPr>
        <w:t>тепловой энергии. В последнее время рост тарифов на тепловую энергию ограничен и не может превышать 15 % в год. Политика сдерживания роста тарифов на коммунальные услуги населению приводит к ограничению ежегодного роста тарифов на тепловую энергию. Огранич</w:t>
      </w:r>
      <w:r>
        <w:rPr>
          <w:sz w:val="28"/>
        </w:rPr>
        <w:t>ение ежегодного роста тарифов на тепловую энергию в свою очередь приводит к снижению затрат на ремонты и фонд оплаты труда основного производственного персонала, включаемых в тарифы на тепловую энергию, в результате чего энергоснабжающие компании и теплосе</w:t>
      </w:r>
      <w:r>
        <w:rPr>
          <w:sz w:val="28"/>
        </w:rPr>
        <w:t xml:space="preserve">тевые организации не имеют возможности обновлять свое </w:t>
      </w:r>
      <w:r>
        <w:rPr>
          <w:sz w:val="28"/>
        </w:rPr>
        <w:t>оборудование. Увеличиваются удельные расходы топлива при производстве тепловой энергии при ее транспортировке.</w:t>
      </w:r>
    </w:p>
    <w:p w14:paraId="F50A0000">
      <w:pPr>
        <w:spacing w:line="240" w:lineRule="auto"/>
        <w:ind w:firstLine="709" w:left="0"/>
        <w:jc w:val="both"/>
        <w:rPr>
          <w:sz w:val="28"/>
        </w:rPr>
      </w:pPr>
      <w:r>
        <w:rPr>
          <w:sz w:val="28"/>
        </w:rPr>
        <w:t>б) Описание структуры цен (тарифов), установленных на момент разработки схемы теплоснабжени</w:t>
      </w:r>
      <w:r>
        <w:rPr>
          <w:sz w:val="28"/>
        </w:rPr>
        <w:t>я.</w:t>
      </w:r>
    </w:p>
    <w:p w14:paraId="F60A0000">
      <w:pPr>
        <w:spacing w:before="200" w:line="240" w:lineRule="auto"/>
        <w:ind/>
        <w:jc w:val="both"/>
        <w:rPr>
          <w:sz w:val="28"/>
        </w:rPr>
      </w:pPr>
      <w:r>
        <w:rPr>
          <w:sz w:val="28"/>
        </w:rPr>
        <w:t>Таблица 30 Структура тарифа на производство и передачу тепловой энергии</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21"/>
        <w:gridCol w:w="3924"/>
        <w:gridCol w:w="1121"/>
        <w:gridCol w:w="4064"/>
      </w:tblGrid>
      <w:tr>
        <w:trPr>
          <w:trHeight w:hRule="atLeast" w:val="923"/>
        </w:trPr>
        <w:tc>
          <w:tcPr>
            <w:tcW w:type="dxa" w:w="421"/>
            <w:tcBorders>
              <w:top w:color="000000" w:sz="4" w:val="single"/>
              <w:left w:color="000000" w:sz="4" w:val="single"/>
              <w:bottom w:color="000000" w:sz="4" w:val="single"/>
              <w:right w:color="000000" w:sz="4" w:val="single"/>
            </w:tcBorders>
            <w:vAlign w:val="center"/>
          </w:tcPr>
          <w:p w14:paraId="F70A0000">
            <w:pPr>
              <w:spacing w:line="240" w:lineRule="auto"/>
              <w:ind/>
              <w:jc w:val="center"/>
              <w:rPr>
                <w:sz w:val="20"/>
              </w:rPr>
            </w:pPr>
            <w:r>
              <w:rPr>
                <w:sz w:val="20"/>
              </w:rPr>
              <w:t>№</w:t>
            </w:r>
          </w:p>
        </w:tc>
        <w:tc>
          <w:tcPr>
            <w:tcW w:type="dxa" w:w="3924"/>
            <w:tcBorders>
              <w:top w:color="000000" w:sz="4" w:val="single"/>
              <w:left w:color="000000" w:sz="4" w:val="single"/>
              <w:bottom w:color="000000" w:sz="4" w:val="single"/>
              <w:right w:color="000000" w:sz="4" w:val="single"/>
            </w:tcBorders>
            <w:vAlign w:val="center"/>
          </w:tcPr>
          <w:p w14:paraId="F80A0000">
            <w:pPr>
              <w:spacing w:line="240" w:lineRule="auto"/>
              <w:ind/>
              <w:jc w:val="center"/>
              <w:rPr>
                <w:sz w:val="20"/>
              </w:rPr>
            </w:pPr>
            <w:r>
              <w:rPr>
                <w:sz w:val="20"/>
              </w:rPr>
              <w:t>Наименование показателя на 2023 год</w:t>
            </w:r>
          </w:p>
        </w:tc>
        <w:tc>
          <w:tcPr>
            <w:tcW w:type="dxa" w:w="1121"/>
            <w:tcBorders>
              <w:top w:color="000000" w:sz="4" w:val="single"/>
              <w:left w:color="000000" w:sz="4" w:val="single"/>
              <w:bottom w:color="000000" w:sz="4" w:val="single"/>
              <w:right w:color="000000" w:sz="4" w:val="single"/>
            </w:tcBorders>
            <w:vAlign w:val="center"/>
          </w:tcPr>
          <w:p w14:paraId="F90A0000">
            <w:pPr>
              <w:spacing w:line="240" w:lineRule="auto"/>
              <w:ind/>
              <w:jc w:val="center"/>
              <w:rPr>
                <w:sz w:val="20"/>
              </w:rPr>
            </w:pPr>
            <w:r>
              <w:rPr>
                <w:sz w:val="20"/>
              </w:rPr>
              <w:t>Единица измерения</w:t>
            </w:r>
          </w:p>
        </w:tc>
        <w:tc>
          <w:tcPr>
            <w:tcW w:type="dxa" w:w="4064"/>
            <w:tcBorders>
              <w:top w:color="000000" w:sz="4" w:val="single"/>
              <w:left w:color="000000" w:sz="4" w:val="single"/>
              <w:bottom w:color="000000" w:sz="4" w:val="single"/>
              <w:right w:color="000000" w:sz="4" w:val="single"/>
            </w:tcBorders>
            <w:vAlign w:val="center"/>
          </w:tcPr>
          <w:p w14:paraId="FA0A0000">
            <w:pPr>
              <w:spacing w:line="240" w:lineRule="auto"/>
              <w:ind/>
              <w:jc w:val="center"/>
              <w:rPr>
                <w:sz w:val="20"/>
              </w:rPr>
            </w:pPr>
            <w:r>
              <w:rPr>
                <w:sz w:val="20"/>
              </w:rPr>
              <w:t>Показатель теплоснабжающих организаций</w:t>
            </w:r>
          </w:p>
        </w:tc>
      </w:tr>
      <w:tr>
        <w:tc>
          <w:tcPr>
            <w:tcW w:type="dxa" w:w="421"/>
            <w:tcBorders>
              <w:top w:color="000000" w:sz="4" w:val="single"/>
              <w:left w:color="000000" w:sz="4" w:val="single"/>
              <w:bottom w:color="000000" w:sz="4" w:val="single"/>
              <w:right w:color="000000" w:sz="4" w:val="single"/>
            </w:tcBorders>
            <w:vAlign w:val="center"/>
          </w:tcPr>
          <w:p w14:paraId="FB0A0000">
            <w:pPr>
              <w:spacing w:line="240" w:lineRule="auto"/>
              <w:ind/>
              <w:jc w:val="center"/>
              <w:rPr>
                <w:sz w:val="20"/>
              </w:rPr>
            </w:pPr>
            <w:r>
              <w:rPr>
                <w:sz w:val="20"/>
              </w:rPr>
              <w:t>1</w:t>
            </w:r>
          </w:p>
        </w:tc>
        <w:tc>
          <w:tcPr>
            <w:tcW w:type="dxa" w:w="3924"/>
            <w:tcBorders>
              <w:top w:color="000000" w:sz="4" w:val="single"/>
              <w:left w:color="000000" w:sz="4" w:val="single"/>
              <w:bottom w:color="000000" w:sz="4" w:val="single"/>
              <w:right w:color="000000" w:sz="4" w:val="single"/>
            </w:tcBorders>
            <w:vAlign w:val="center"/>
          </w:tcPr>
          <w:p w14:paraId="FC0A0000">
            <w:pPr>
              <w:spacing w:line="240" w:lineRule="auto"/>
              <w:ind/>
              <w:jc w:val="center"/>
              <w:rPr>
                <w:sz w:val="20"/>
              </w:rPr>
            </w:pPr>
            <w:r>
              <w:rPr>
                <w:sz w:val="20"/>
              </w:rPr>
              <w:t xml:space="preserve">Базовый уровень операционный расходов </w:t>
            </w:r>
          </w:p>
        </w:tc>
        <w:tc>
          <w:tcPr>
            <w:tcW w:type="dxa" w:w="1121"/>
            <w:tcBorders>
              <w:top w:color="000000" w:sz="4" w:val="single"/>
              <w:left w:color="000000" w:sz="4" w:val="single"/>
              <w:bottom w:color="000000" w:sz="4" w:val="single"/>
              <w:right w:color="000000" w:sz="4" w:val="single"/>
            </w:tcBorders>
            <w:vAlign w:val="center"/>
          </w:tcPr>
          <w:p w14:paraId="FD0A0000">
            <w:pPr>
              <w:spacing w:line="240" w:lineRule="auto"/>
              <w:ind/>
              <w:jc w:val="center"/>
              <w:rPr>
                <w:sz w:val="20"/>
              </w:rPr>
            </w:pPr>
            <w:r>
              <w:rPr>
                <w:sz w:val="20"/>
              </w:rPr>
              <w:t>тыс. руб.</w:t>
            </w:r>
          </w:p>
        </w:tc>
        <w:tc>
          <w:tcPr>
            <w:tcW w:type="dxa" w:w="4064"/>
            <w:tcBorders>
              <w:top w:color="000000" w:sz="4" w:val="single"/>
              <w:left w:color="000000" w:sz="4" w:val="single"/>
              <w:bottom w:color="000000" w:sz="4" w:val="single"/>
              <w:right w:color="000000" w:sz="4" w:val="single"/>
            </w:tcBorders>
            <w:vAlign w:val="center"/>
          </w:tcPr>
          <w:p w14:paraId="FE0A0000">
            <w:pPr>
              <w:spacing w:line="240" w:lineRule="auto"/>
              <w:ind/>
              <w:jc w:val="center"/>
              <w:rPr>
                <w:sz w:val="20"/>
              </w:rPr>
            </w:pPr>
            <w:r>
              <w:rPr>
                <w:sz w:val="20"/>
              </w:rPr>
              <w:t>-</w:t>
            </w:r>
          </w:p>
        </w:tc>
      </w:tr>
      <w:tr>
        <w:tc>
          <w:tcPr>
            <w:tcW w:type="dxa" w:w="421"/>
            <w:tcBorders>
              <w:top w:color="000000" w:sz="4" w:val="single"/>
              <w:left w:color="000000" w:sz="4" w:val="single"/>
              <w:bottom w:color="000000" w:sz="4" w:val="single"/>
              <w:right w:color="000000" w:sz="4" w:val="single"/>
            </w:tcBorders>
            <w:vAlign w:val="center"/>
          </w:tcPr>
          <w:p w14:paraId="FF0A0000">
            <w:pPr>
              <w:spacing w:line="240" w:lineRule="auto"/>
              <w:ind/>
              <w:jc w:val="center"/>
              <w:rPr>
                <w:sz w:val="20"/>
              </w:rPr>
            </w:pPr>
            <w:r>
              <w:rPr>
                <w:sz w:val="20"/>
              </w:rPr>
              <w:t>2</w:t>
            </w:r>
          </w:p>
        </w:tc>
        <w:tc>
          <w:tcPr>
            <w:tcW w:type="dxa" w:w="3924"/>
            <w:tcBorders>
              <w:top w:color="000000" w:sz="4" w:val="single"/>
              <w:left w:color="000000" w:sz="4" w:val="single"/>
              <w:bottom w:color="000000" w:sz="4" w:val="single"/>
              <w:right w:color="000000" w:sz="4" w:val="single"/>
            </w:tcBorders>
            <w:vAlign w:val="center"/>
          </w:tcPr>
          <w:p w14:paraId="000B0000">
            <w:pPr>
              <w:spacing w:line="240" w:lineRule="auto"/>
              <w:ind/>
              <w:jc w:val="center"/>
              <w:rPr>
                <w:sz w:val="20"/>
              </w:rPr>
            </w:pPr>
            <w:r>
              <w:rPr>
                <w:sz w:val="20"/>
              </w:rPr>
              <w:t xml:space="preserve">Индекс эффективности операционных расходов </w:t>
            </w:r>
          </w:p>
        </w:tc>
        <w:tc>
          <w:tcPr>
            <w:tcW w:type="dxa" w:w="1121"/>
            <w:tcBorders>
              <w:top w:color="000000" w:sz="4" w:val="single"/>
              <w:left w:color="000000" w:sz="4" w:val="single"/>
              <w:bottom w:color="000000" w:sz="4" w:val="single"/>
              <w:right w:color="000000" w:sz="4" w:val="single"/>
            </w:tcBorders>
            <w:vAlign w:val="center"/>
          </w:tcPr>
          <w:p w14:paraId="010B0000">
            <w:pPr>
              <w:spacing w:line="240" w:lineRule="auto"/>
              <w:ind/>
              <w:jc w:val="center"/>
              <w:rPr>
                <w:sz w:val="20"/>
              </w:rPr>
            </w:pPr>
            <w:r>
              <w:rPr>
                <w:sz w:val="20"/>
              </w:rPr>
              <w:t>%</w:t>
            </w:r>
          </w:p>
        </w:tc>
        <w:tc>
          <w:tcPr>
            <w:tcW w:type="dxa" w:w="4064"/>
            <w:tcBorders>
              <w:top w:color="000000" w:sz="4" w:val="single"/>
              <w:left w:color="000000" w:sz="4" w:val="single"/>
              <w:bottom w:color="000000" w:sz="4" w:val="single"/>
              <w:right w:color="000000" w:sz="4" w:val="single"/>
            </w:tcBorders>
            <w:vAlign w:val="center"/>
          </w:tcPr>
          <w:p w14:paraId="020B0000">
            <w:pPr>
              <w:spacing w:line="240" w:lineRule="auto"/>
              <w:ind/>
              <w:jc w:val="center"/>
              <w:rPr>
                <w:sz w:val="20"/>
              </w:rPr>
            </w:pPr>
            <w:r>
              <w:rPr>
                <w:sz w:val="20"/>
              </w:rPr>
              <w:t>1</w:t>
            </w:r>
          </w:p>
        </w:tc>
      </w:tr>
    </w:tbl>
    <w:p w14:paraId="030B0000">
      <w:pPr>
        <w:spacing w:before="200" w:line="240" w:lineRule="auto"/>
        <w:ind w:firstLine="709" w:left="0"/>
        <w:jc w:val="both"/>
        <w:rPr>
          <w:sz w:val="28"/>
        </w:rPr>
      </w:pPr>
      <w:r>
        <w:rPr>
          <w:sz w:val="28"/>
        </w:rPr>
        <w:t xml:space="preserve">в) Описание платы за подключение к системе теплоснабжения. </w:t>
      </w:r>
    </w:p>
    <w:p w14:paraId="040B0000">
      <w:pPr>
        <w:spacing w:line="240" w:lineRule="auto"/>
        <w:ind w:firstLine="709" w:left="0"/>
        <w:jc w:val="both"/>
        <w:rPr>
          <w:sz w:val="28"/>
        </w:rPr>
      </w:pPr>
      <w:r>
        <w:rPr>
          <w:sz w:val="28"/>
        </w:rPr>
        <w:t>Сведения о размере платы за подключение к системе теплоснабжения и поступлении денежных средств от осуществления указанной деятельности отсутствуют</w:t>
      </w:r>
      <w:r>
        <w:rPr>
          <w:sz w:val="28"/>
        </w:rPr>
        <w:t>.</w:t>
      </w:r>
    </w:p>
    <w:p w14:paraId="050B0000">
      <w:pPr>
        <w:spacing w:line="240" w:lineRule="auto"/>
        <w:ind w:firstLine="709" w:left="0"/>
        <w:jc w:val="both"/>
        <w:rPr>
          <w:sz w:val="28"/>
        </w:rPr>
      </w:pPr>
      <w:r>
        <w:rPr>
          <w:sz w:val="28"/>
        </w:rPr>
        <w:t>г) Описание платы за услуги по поддержанию резервной тепловой мощности, в том числе для социально значимых категорий потребителей.</w:t>
      </w:r>
    </w:p>
    <w:p w14:paraId="060B0000">
      <w:pPr>
        <w:spacing w:line="240" w:lineRule="auto"/>
        <w:ind w:firstLine="709" w:left="0"/>
        <w:jc w:val="both"/>
        <w:rPr>
          <w:sz w:val="28"/>
        </w:rPr>
      </w:pPr>
      <w:r>
        <w:rPr>
          <w:sz w:val="28"/>
        </w:rPr>
        <w:t>Плата за услуги по поддержанию резервной тепловой мощности, в том числе для социально значимых категорий потребителей, отсу</w:t>
      </w:r>
      <w:r>
        <w:rPr>
          <w:sz w:val="28"/>
        </w:rPr>
        <w:t>тствует.</w:t>
      </w:r>
    </w:p>
    <w:p w14:paraId="070B0000">
      <w:pPr>
        <w:spacing w:line="240" w:lineRule="auto"/>
        <w:ind w:firstLine="709" w:left="0"/>
        <w:jc w:val="both"/>
        <w:rPr>
          <w:sz w:val="28"/>
        </w:rPr>
      </w:pPr>
      <w:r>
        <w:rPr>
          <w:sz w:val="28"/>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080B0000">
      <w:pPr>
        <w:spacing w:line="240" w:lineRule="auto"/>
        <w:ind w:firstLine="709" w:left="0"/>
        <w:jc w:val="both"/>
        <w:rPr>
          <w:sz w:val="28"/>
        </w:rPr>
      </w:pPr>
      <w:r>
        <w:rPr>
          <w:sz w:val="28"/>
        </w:rPr>
        <w:t>Так, на территории Куйбышевского сельского поселения, предельный уровень ц</w:t>
      </w:r>
      <w:r>
        <w:rPr>
          <w:sz w:val="28"/>
        </w:rPr>
        <w:t>ен не утвержден. Ввиду вышеуказанного, данный подпункт не заполняется.</w:t>
      </w:r>
    </w:p>
    <w:p w14:paraId="090B0000">
      <w:pPr>
        <w:spacing w:line="240" w:lineRule="auto"/>
        <w:ind w:firstLine="709" w:left="0"/>
        <w:jc w:val="both"/>
        <w:rPr>
          <w:sz w:val="28"/>
        </w:rPr>
      </w:pPr>
      <w:r>
        <w:rPr>
          <w:sz w:val="28"/>
        </w:rPr>
        <w:t xml:space="preserve">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w:t>
      </w:r>
      <w:r>
        <w:rPr>
          <w:sz w:val="28"/>
        </w:rPr>
        <w:t>теплоснабжения.</w:t>
      </w:r>
    </w:p>
    <w:p w14:paraId="0A0B0000">
      <w:pPr>
        <w:spacing w:line="240" w:lineRule="auto"/>
        <w:ind w:firstLine="709" w:left="0"/>
        <w:jc w:val="both"/>
        <w:rPr>
          <w:sz w:val="28"/>
        </w:rPr>
      </w:pPr>
      <w:r>
        <w:rPr>
          <w:sz w:val="28"/>
        </w:rPr>
        <w:t>Ценовые зоны теплоснабжения – населенные пункты, которые по решению местной власти перешли на метод «альтернативной котельной», то есть те, где цены на тепловую энергию для потребителей ограничены предельным уровнем. Для отнесения к ценовым</w:t>
      </w:r>
      <w:r>
        <w:rPr>
          <w:sz w:val="28"/>
        </w:rPr>
        <w:t xml:space="preserve"> зонам теплоснабжения сельское поселение и его территория должны соответствовать критериям (ч.1 ст. 23.3 ФЗ от 27.07.2010 № 190-ФЗ (ред. от 29.07.2018 г.) «О теплоснабжении»). Так как на территории Куйбышевского сельского поселения такие зоны отсутствуют, </w:t>
      </w:r>
      <w:r>
        <w:rPr>
          <w:sz w:val="28"/>
        </w:rPr>
        <w:t xml:space="preserve">данный подпункт не заполняется. </w:t>
      </w:r>
    </w:p>
    <w:p w14:paraId="0B0B0000">
      <w:pPr>
        <w:spacing w:line="240" w:lineRule="auto"/>
        <w:ind w:firstLine="709" w:left="0"/>
        <w:jc w:val="center"/>
        <w:rPr>
          <w:b w:val="1"/>
          <w:sz w:val="28"/>
        </w:rPr>
      </w:pPr>
      <w:r>
        <w:rPr>
          <w:b w:val="1"/>
          <w:sz w:val="28"/>
        </w:rPr>
        <w:t>Часть 12 «Описание существующих технических и технологических проблем в системах теплоснабжения Куйбышевского сельского поселения Куйбышевского района»</w:t>
      </w:r>
    </w:p>
    <w:p w14:paraId="0C0B0000">
      <w:pPr>
        <w:spacing w:line="240" w:lineRule="auto"/>
        <w:ind w:firstLine="709" w:left="0"/>
        <w:jc w:val="both"/>
        <w:rPr>
          <w:sz w:val="28"/>
        </w:rPr>
      </w:pPr>
      <w:r>
        <w:rPr>
          <w:sz w:val="28"/>
        </w:rPr>
        <w:t>а) Описание существующих проблем организации качественного теплоснабжен</w:t>
      </w:r>
      <w:r>
        <w:rPr>
          <w:sz w:val="28"/>
        </w:rPr>
        <w:t xml:space="preserve">ия (перечень причин, приводящих к снижению качества теплоснабжения, включая проблемы в работе теплопотребляющих установок потребителей). </w:t>
      </w:r>
    </w:p>
    <w:p w14:paraId="0D0B0000">
      <w:pPr>
        <w:spacing w:line="240" w:lineRule="auto"/>
        <w:ind w:firstLine="709" w:left="0"/>
        <w:jc w:val="both"/>
        <w:rPr>
          <w:sz w:val="28"/>
        </w:rPr>
      </w:pPr>
      <w:r>
        <w:rPr>
          <w:sz w:val="28"/>
        </w:rPr>
        <w:t>Проблемы организации качественного теплоснабжения (перечень причин, приводящих к снижению качества теплоснабжения, вкл</w:t>
      </w:r>
      <w:r>
        <w:rPr>
          <w:sz w:val="28"/>
        </w:rPr>
        <w:t xml:space="preserve">ючая проблемы в работе теплопотребляющих установок потребителей) отсутствуют. </w:t>
      </w:r>
    </w:p>
    <w:p w14:paraId="0E0B0000">
      <w:pPr>
        <w:spacing w:line="240" w:lineRule="auto"/>
        <w:ind w:firstLine="709" w:left="0"/>
        <w:jc w:val="both"/>
        <w:rPr>
          <w:sz w:val="28"/>
        </w:rPr>
      </w:pPr>
      <w:r>
        <w:rPr>
          <w:sz w:val="28"/>
        </w:rPr>
        <w:t>б) Описание существующих проблем организации надёжного теплоснабжения сельского поселения (перечень причин, приводящих к снижению надежности теплоснабжения, включая проблемы в р</w:t>
      </w:r>
      <w:r>
        <w:rPr>
          <w:sz w:val="28"/>
        </w:rPr>
        <w:t>аботе теплопотребляющих установок потребителей).</w:t>
      </w:r>
    </w:p>
    <w:p w14:paraId="0F0B0000">
      <w:pPr>
        <w:spacing w:line="240" w:lineRule="auto"/>
        <w:ind w:firstLine="709" w:left="0"/>
        <w:jc w:val="both"/>
        <w:rPr>
          <w:sz w:val="28"/>
        </w:rPr>
      </w:pPr>
      <w:r>
        <w:rPr>
          <w:sz w:val="28"/>
        </w:rPr>
        <w:t xml:space="preserve">Проблемы организации надежного теплоснабжения отсутствуют. </w:t>
      </w:r>
    </w:p>
    <w:p w14:paraId="100B0000">
      <w:pPr>
        <w:spacing w:line="240" w:lineRule="auto"/>
        <w:ind w:firstLine="709" w:left="0"/>
        <w:jc w:val="both"/>
        <w:rPr>
          <w:sz w:val="28"/>
        </w:rPr>
      </w:pPr>
      <w:r>
        <w:rPr>
          <w:sz w:val="28"/>
        </w:rPr>
        <w:t>в) Описание существующих проблем развития систем теплоснабжения.</w:t>
      </w:r>
    </w:p>
    <w:p w14:paraId="110B0000">
      <w:pPr>
        <w:spacing w:line="240" w:lineRule="auto"/>
        <w:ind w:firstLine="709" w:left="0"/>
        <w:jc w:val="both"/>
        <w:rPr>
          <w:sz w:val="28"/>
        </w:rPr>
      </w:pPr>
      <w:r>
        <w:rPr>
          <w:sz w:val="28"/>
        </w:rPr>
        <w:t xml:space="preserve">Проблемы развития систем теплоснабжения отсутствуют. </w:t>
      </w:r>
    </w:p>
    <w:p w14:paraId="120B0000">
      <w:pPr>
        <w:spacing w:line="240" w:lineRule="auto"/>
        <w:ind w:firstLine="709" w:left="0"/>
        <w:jc w:val="both"/>
        <w:rPr>
          <w:sz w:val="28"/>
        </w:rPr>
      </w:pPr>
      <w:r>
        <w:rPr>
          <w:sz w:val="28"/>
        </w:rPr>
        <w:t>г) Описание существующих про</w:t>
      </w:r>
      <w:r>
        <w:rPr>
          <w:sz w:val="28"/>
        </w:rPr>
        <w:t xml:space="preserve">блем надежного и эффективного снабжения топливом действующих систем теплоснабжения. </w:t>
      </w:r>
    </w:p>
    <w:p w14:paraId="130B0000">
      <w:pPr>
        <w:spacing w:line="240" w:lineRule="auto"/>
        <w:ind w:firstLine="709" w:left="0"/>
        <w:jc w:val="both"/>
        <w:rPr>
          <w:sz w:val="28"/>
        </w:rPr>
      </w:pPr>
      <w:r>
        <w:rPr>
          <w:sz w:val="28"/>
        </w:rPr>
        <w:t>Проблемы надежного и эффективного снабжения топливом действующих системы теплоснабжения отсутствуют.</w:t>
      </w:r>
    </w:p>
    <w:p w14:paraId="140B0000">
      <w:pPr>
        <w:spacing w:line="240" w:lineRule="auto"/>
        <w:ind w:firstLine="709" w:left="0"/>
        <w:jc w:val="both"/>
        <w:rPr>
          <w:sz w:val="28"/>
        </w:rPr>
      </w:pPr>
      <w:r>
        <w:rPr>
          <w:sz w:val="28"/>
        </w:rPr>
        <w:t xml:space="preserve">д) Анализ предписаний надзорных органов об устранении нарушений, влияющих на безопасность и надежность системы теплоснабжения. </w:t>
      </w:r>
    </w:p>
    <w:p w14:paraId="150B0000">
      <w:pPr>
        <w:spacing w:line="240" w:lineRule="auto"/>
        <w:ind w:firstLine="709" w:left="0"/>
        <w:jc w:val="both"/>
        <w:rPr>
          <w:sz w:val="28"/>
        </w:rPr>
      </w:pPr>
      <w:r>
        <w:rPr>
          <w:sz w:val="28"/>
        </w:rPr>
        <w:t>Предписания надзорных органов об устранении нарушений, влияющих на безопасность и надежность системы теплоснабжения, на момент р</w:t>
      </w:r>
      <w:r>
        <w:rPr>
          <w:sz w:val="28"/>
        </w:rPr>
        <w:t>азработки схемы отсутствуют.</w:t>
      </w:r>
    </w:p>
    <w:p w14:paraId="160B0000">
      <w:pPr>
        <w:spacing w:line="240" w:lineRule="auto"/>
        <w:ind/>
        <w:jc w:val="center"/>
        <w:rPr>
          <w:b w:val="1"/>
          <w:sz w:val="28"/>
        </w:rPr>
      </w:pPr>
    </w:p>
    <w:p w14:paraId="170B0000">
      <w:pPr>
        <w:spacing w:line="240" w:lineRule="auto"/>
        <w:ind/>
        <w:jc w:val="center"/>
        <w:rPr>
          <w:b w:val="1"/>
          <w:sz w:val="28"/>
        </w:rPr>
      </w:pPr>
      <w:r>
        <w:rPr>
          <w:b w:val="1"/>
          <w:sz w:val="28"/>
        </w:rPr>
        <w:t xml:space="preserve">Глава 2 «Перспективное потребление тепловой энергии на цели теплоснабжения Куйбышевского сельского поселения Куйбышевского района» </w:t>
      </w:r>
    </w:p>
    <w:p w14:paraId="180B0000">
      <w:pPr>
        <w:spacing w:line="240" w:lineRule="auto"/>
        <w:ind w:firstLine="709" w:left="0"/>
        <w:jc w:val="both"/>
        <w:rPr>
          <w:sz w:val="28"/>
        </w:rPr>
      </w:pPr>
      <w:r>
        <w:rPr>
          <w:sz w:val="28"/>
        </w:rPr>
        <w:t xml:space="preserve">а) Данные базового уровня потребления тепла на цели теплоснабжения. </w:t>
      </w:r>
    </w:p>
    <w:p w14:paraId="190B0000">
      <w:pPr>
        <w:spacing w:line="240" w:lineRule="auto"/>
        <w:ind w:firstLine="709" w:left="0"/>
        <w:jc w:val="both"/>
        <w:rPr>
          <w:sz w:val="28"/>
        </w:rPr>
      </w:pPr>
      <w:r>
        <w:rPr>
          <w:sz w:val="28"/>
        </w:rPr>
        <w:t xml:space="preserve">Отпуск тепловой энергии, </w:t>
      </w:r>
      <w:r>
        <w:rPr>
          <w:sz w:val="28"/>
        </w:rPr>
        <w:t xml:space="preserve">Гкал/ 2022 год – 3 540,434. </w:t>
      </w:r>
    </w:p>
    <w:p w14:paraId="1A0B0000">
      <w:pPr>
        <w:spacing w:line="240" w:lineRule="auto"/>
        <w:ind w:firstLine="709" w:left="0"/>
        <w:jc w:val="both"/>
        <w:rPr>
          <w:sz w:val="28"/>
        </w:rPr>
      </w:pPr>
      <w:r>
        <w:rPr>
          <w:sz w:val="28"/>
        </w:rPr>
        <w:t xml:space="preserve">б) Прогнозы приростов площади строительных фондов, сгруппированные по расчетным элементам территориального деления и по зонам действия </w:t>
      </w:r>
      <w:r>
        <w:rPr>
          <w:sz w:val="28"/>
        </w:rPr>
        <w:t>источников тепловой энергии с разделением объектов строительства на многоквартирные дома, ин</w:t>
      </w:r>
      <w:r>
        <w:rPr>
          <w:sz w:val="28"/>
        </w:rPr>
        <w:t>дивидуальные жилые дома, общественные здания, производственные здания промышленных предприятий, на каждом этапе.</w:t>
      </w:r>
    </w:p>
    <w:p w14:paraId="1B0B0000">
      <w:pPr>
        <w:spacing w:line="240" w:lineRule="auto"/>
        <w:ind w:firstLine="709" w:left="0"/>
        <w:jc w:val="both"/>
        <w:rPr>
          <w:sz w:val="28"/>
        </w:rPr>
      </w:pPr>
      <w:r>
        <w:rPr>
          <w:sz w:val="28"/>
        </w:rPr>
        <w:t>На основании Генерального плана объекты строительства многоквартирные дома, индивидуальные жилые дома, общественные здания, производственные зд</w:t>
      </w:r>
      <w:r>
        <w:rPr>
          <w:sz w:val="28"/>
        </w:rPr>
        <w:t xml:space="preserve">ания промышленных предприятий, запитанные от централизованного теплоснабжения, не предусматриваются. </w:t>
      </w:r>
    </w:p>
    <w:p w14:paraId="1C0B0000">
      <w:pPr>
        <w:spacing w:before="200" w:line="240" w:lineRule="auto"/>
        <w:ind w:firstLine="709" w:left="0"/>
        <w:jc w:val="both"/>
        <w:rPr>
          <w:sz w:val="28"/>
          <w:highlight w:val="white"/>
        </w:rPr>
      </w:pPr>
      <w:r>
        <w:rPr>
          <w:sz w:val="28"/>
          <w:highlight w:val="white"/>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w:t>
      </w:r>
      <w:r>
        <w:rPr>
          <w:sz w:val="28"/>
          <w:highlight w:val="white"/>
        </w:rPr>
        <w:t>ой эффективности объектов теплопотребления, устанавливаемых в соответствии с законодательством Российской Федерации.</w:t>
      </w:r>
    </w:p>
    <w:p w14:paraId="1D0B0000">
      <w:pPr>
        <w:spacing w:before="200" w:line="240" w:lineRule="auto"/>
        <w:ind w:firstLine="709" w:left="0"/>
        <w:jc w:val="both"/>
        <w:rPr>
          <w:sz w:val="28"/>
          <w:highlight w:val="white"/>
        </w:rPr>
      </w:pPr>
      <w:r>
        <w:rPr>
          <w:sz w:val="28"/>
        </w:rPr>
        <w:t>Ввиду отсутствия объектов строительства, подключаемых к системе центрального теплоснабжения, перспективные удельные расходы тепловойэнергии</w:t>
      </w:r>
      <w:r>
        <w:rPr>
          <w:sz w:val="28"/>
        </w:rPr>
        <w:t xml:space="preserve"> на отопление, вентиляцию, ГВС не предусматриваются. </w:t>
      </w:r>
    </w:p>
    <w:p w14:paraId="1E0B0000">
      <w:pPr>
        <w:spacing w:before="200" w:line="240" w:lineRule="auto"/>
        <w:ind w:firstLine="709" w:left="0"/>
        <w:jc w:val="both"/>
        <w:rPr>
          <w:sz w:val="28"/>
        </w:rPr>
      </w:pPr>
      <w:r>
        <w:rPr>
          <w:sz w:val="28"/>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w:t>
      </w:r>
      <w:r>
        <w:rPr>
          <w:sz w:val="28"/>
        </w:rPr>
        <w:t>го из существующих или предлагаемых для строительства источников тепловой энергии на каждом этапе.</w:t>
      </w:r>
    </w:p>
    <w:p w14:paraId="1F0B0000">
      <w:pPr>
        <w:spacing w:before="200" w:line="240" w:lineRule="auto"/>
        <w:ind/>
        <w:jc w:val="both"/>
        <w:rPr>
          <w:sz w:val="28"/>
        </w:rPr>
      </w:pPr>
      <w:r>
        <w:rPr>
          <w:sz w:val="28"/>
        </w:rPr>
        <w:t xml:space="preserve">Таблица 31 Прогнозы приростов объемов потребления тепловой энергии (мощности) зоне действия существующих источников тепловой энергии </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664"/>
        <w:gridCol w:w="840"/>
        <w:gridCol w:w="1121"/>
        <w:gridCol w:w="981"/>
        <w:gridCol w:w="982"/>
        <w:gridCol w:w="981"/>
        <w:gridCol w:w="981"/>
        <w:gridCol w:w="981"/>
      </w:tblGrid>
      <w:tr>
        <w:tc>
          <w:tcPr>
            <w:tcW w:type="dxa" w:w="2664"/>
            <w:tcBorders>
              <w:top w:color="000000" w:sz="4" w:val="single"/>
              <w:left w:color="000000" w:sz="4" w:val="single"/>
              <w:bottom w:color="000000" w:sz="4" w:val="single"/>
              <w:right w:color="000000" w:sz="4" w:val="single"/>
            </w:tcBorders>
            <w:vAlign w:val="center"/>
          </w:tcPr>
          <w:p w14:paraId="200B0000">
            <w:pPr>
              <w:spacing w:line="240" w:lineRule="auto"/>
              <w:ind/>
              <w:jc w:val="center"/>
              <w:rPr>
                <w:sz w:val="20"/>
              </w:rPr>
            </w:pPr>
            <w:r>
              <w:rPr>
                <w:sz w:val="20"/>
              </w:rPr>
              <w:t>Наименование</w:t>
            </w:r>
          </w:p>
        </w:tc>
        <w:tc>
          <w:tcPr>
            <w:tcW w:type="dxa" w:w="840"/>
            <w:tcBorders>
              <w:top w:color="000000" w:sz="4" w:val="single"/>
              <w:left w:color="000000" w:sz="4" w:val="single"/>
              <w:bottom w:color="000000" w:sz="4" w:val="single"/>
              <w:right w:color="000000" w:sz="4" w:val="single"/>
            </w:tcBorders>
            <w:vAlign w:val="center"/>
          </w:tcPr>
          <w:p w14:paraId="210B0000">
            <w:pPr>
              <w:spacing w:line="240" w:lineRule="auto"/>
              <w:ind/>
              <w:jc w:val="center"/>
              <w:rPr>
                <w:sz w:val="20"/>
              </w:rPr>
            </w:pPr>
            <w:r>
              <w:rPr>
                <w:sz w:val="20"/>
              </w:rPr>
              <w:t>Ед. изм.</w:t>
            </w:r>
          </w:p>
        </w:tc>
        <w:tc>
          <w:tcPr>
            <w:tcW w:type="dxa" w:w="1121"/>
            <w:tcBorders>
              <w:top w:color="000000" w:sz="4" w:val="single"/>
              <w:left w:color="000000" w:sz="4" w:val="single"/>
              <w:bottom w:color="000000" w:sz="4" w:val="single"/>
              <w:right w:color="000000" w:sz="4" w:val="single"/>
            </w:tcBorders>
            <w:vAlign w:val="center"/>
          </w:tcPr>
          <w:p w14:paraId="220B0000">
            <w:pPr>
              <w:spacing w:line="240" w:lineRule="auto"/>
              <w:ind/>
              <w:jc w:val="center"/>
              <w:rPr>
                <w:sz w:val="20"/>
              </w:rPr>
            </w:pPr>
            <w:r>
              <w:rPr>
                <w:sz w:val="20"/>
              </w:rPr>
              <w:t>2024</w:t>
            </w:r>
          </w:p>
        </w:tc>
        <w:tc>
          <w:tcPr>
            <w:tcW w:type="dxa" w:w="981"/>
            <w:tcBorders>
              <w:top w:color="000000" w:sz="4" w:val="single"/>
              <w:left w:color="000000" w:sz="4" w:val="single"/>
              <w:bottom w:color="000000" w:sz="4" w:val="single"/>
              <w:right w:color="000000" w:sz="4" w:val="single"/>
            </w:tcBorders>
            <w:vAlign w:val="center"/>
          </w:tcPr>
          <w:p w14:paraId="230B0000">
            <w:pPr>
              <w:spacing w:line="240" w:lineRule="auto"/>
              <w:ind/>
              <w:jc w:val="center"/>
              <w:rPr>
                <w:sz w:val="20"/>
              </w:rPr>
            </w:pPr>
            <w:r>
              <w:rPr>
                <w:sz w:val="20"/>
              </w:rPr>
              <w:t>2025</w:t>
            </w:r>
          </w:p>
        </w:tc>
        <w:tc>
          <w:tcPr>
            <w:tcW w:type="dxa" w:w="982"/>
            <w:tcBorders>
              <w:top w:color="000000" w:sz="4" w:val="single"/>
              <w:left w:color="000000" w:sz="4" w:val="single"/>
              <w:bottom w:color="000000" w:sz="4" w:val="single"/>
              <w:right w:color="000000" w:sz="4" w:val="single"/>
            </w:tcBorders>
            <w:vAlign w:val="center"/>
          </w:tcPr>
          <w:p w14:paraId="240B0000">
            <w:pPr>
              <w:spacing w:line="240" w:lineRule="auto"/>
              <w:ind/>
              <w:jc w:val="center"/>
              <w:rPr>
                <w:sz w:val="20"/>
              </w:rPr>
            </w:pPr>
            <w:r>
              <w:rPr>
                <w:sz w:val="20"/>
              </w:rPr>
              <w:t>2026</w:t>
            </w:r>
          </w:p>
        </w:tc>
        <w:tc>
          <w:tcPr>
            <w:tcW w:type="dxa" w:w="981"/>
            <w:tcBorders>
              <w:top w:color="000000" w:sz="4" w:val="single"/>
              <w:left w:color="000000" w:sz="4" w:val="single"/>
              <w:bottom w:color="000000" w:sz="4" w:val="single"/>
              <w:right w:color="000000" w:sz="4" w:val="single"/>
            </w:tcBorders>
            <w:vAlign w:val="center"/>
          </w:tcPr>
          <w:p w14:paraId="250B0000">
            <w:pPr>
              <w:spacing w:line="240" w:lineRule="auto"/>
              <w:ind/>
              <w:jc w:val="center"/>
              <w:rPr>
                <w:sz w:val="20"/>
              </w:rPr>
            </w:pPr>
            <w:r>
              <w:rPr>
                <w:sz w:val="20"/>
              </w:rPr>
              <w:t>2027</w:t>
            </w:r>
          </w:p>
        </w:tc>
        <w:tc>
          <w:tcPr>
            <w:tcW w:type="dxa" w:w="981"/>
            <w:tcBorders>
              <w:top w:color="000000" w:sz="4" w:val="single"/>
              <w:left w:color="000000" w:sz="4" w:val="single"/>
              <w:bottom w:color="000000" w:sz="4" w:val="single"/>
              <w:right w:color="000000" w:sz="4" w:val="single"/>
            </w:tcBorders>
            <w:vAlign w:val="center"/>
          </w:tcPr>
          <w:p w14:paraId="260B0000">
            <w:pPr>
              <w:spacing w:line="240" w:lineRule="auto"/>
              <w:ind/>
              <w:jc w:val="center"/>
              <w:rPr>
                <w:sz w:val="20"/>
              </w:rPr>
            </w:pPr>
            <w:r>
              <w:rPr>
                <w:sz w:val="20"/>
              </w:rPr>
              <w:t>2028</w:t>
            </w:r>
          </w:p>
        </w:tc>
        <w:tc>
          <w:tcPr>
            <w:tcW w:type="dxa" w:w="981"/>
            <w:tcBorders>
              <w:top w:color="000000" w:sz="4" w:val="single"/>
              <w:left w:color="000000" w:sz="4" w:val="single"/>
              <w:bottom w:color="000000" w:sz="4" w:val="single"/>
              <w:right w:color="000000" w:sz="4" w:val="single"/>
            </w:tcBorders>
            <w:vAlign w:val="center"/>
          </w:tcPr>
          <w:p w14:paraId="270B0000">
            <w:pPr>
              <w:spacing w:line="240" w:lineRule="auto"/>
              <w:ind/>
              <w:jc w:val="center"/>
              <w:rPr>
                <w:sz w:val="20"/>
              </w:rPr>
            </w:pPr>
            <w:r>
              <w:rPr>
                <w:sz w:val="20"/>
              </w:rPr>
              <w:t>2029-2033</w:t>
            </w:r>
          </w:p>
        </w:tc>
      </w:tr>
      <w:tr>
        <w:tc>
          <w:tcPr>
            <w:tcW w:type="dxa" w:w="2664"/>
            <w:tcBorders>
              <w:top w:color="000000" w:sz="4" w:val="single"/>
              <w:left w:color="000000" w:sz="4" w:val="single"/>
              <w:bottom w:color="000000" w:sz="4" w:val="single"/>
              <w:right w:color="000000" w:sz="4" w:val="single"/>
            </w:tcBorders>
            <w:vAlign w:val="center"/>
          </w:tcPr>
          <w:p w14:paraId="280B0000">
            <w:pPr>
              <w:spacing w:line="240" w:lineRule="auto"/>
              <w:ind/>
              <w:jc w:val="center"/>
              <w:rPr>
                <w:sz w:val="20"/>
              </w:rPr>
            </w:pPr>
            <w:r>
              <w:rPr>
                <w:sz w:val="20"/>
              </w:rPr>
              <w:t>Отпуск тепловой энергии потребителям, в том числе</w:t>
            </w:r>
          </w:p>
        </w:tc>
        <w:tc>
          <w:tcPr>
            <w:tcW w:type="dxa" w:w="840"/>
            <w:tcBorders>
              <w:top w:color="000000" w:sz="4" w:val="single"/>
              <w:left w:color="000000" w:sz="4" w:val="single"/>
              <w:bottom w:color="000000" w:sz="4" w:val="single"/>
              <w:right w:color="000000" w:sz="4" w:val="single"/>
            </w:tcBorders>
            <w:vAlign w:val="center"/>
          </w:tcPr>
          <w:p w14:paraId="290B0000">
            <w:pPr>
              <w:spacing w:line="240" w:lineRule="auto"/>
              <w:ind/>
              <w:jc w:val="center"/>
              <w:rPr>
                <w:sz w:val="20"/>
              </w:rPr>
            </w:pPr>
            <w:r>
              <w:rPr>
                <w:sz w:val="20"/>
              </w:rPr>
              <w:t>Гкал</w:t>
            </w:r>
          </w:p>
        </w:tc>
        <w:tc>
          <w:tcPr>
            <w:tcW w:type="dxa" w:w="1121"/>
            <w:tcBorders>
              <w:top w:color="000000" w:sz="4" w:val="single"/>
              <w:left w:color="000000" w:sz="4" w:val="single"/>
              <w:bottom w:color="000000" w:sz="4" w:val="single"/>
              <w:right w:color="000000" w:sz="4" w:val="single"/>
            </w:tcBorders>
            <w:vAlign w:val="center"/>
          </w:tcPr>
          <w:p w14:paraId="2A0B0000">
            <w:pPr>
              <w:spacing w:line="240" w:lineRule="auto"/>
              <w:ind/>
              <w:jc w:val="center"/>
              <w:rPr>
                <w:sz w:val="20"/>
              </w:rPr>
            </w:pPr>
            <w:r>
              <w:rPr>
                <w:sz w:val="20"/>
              </w:rPr>
              <w:t>3730,462</w:t>
            </w:r>
          </w:p>
        </w:tc>
        <w:tc>
          <w:tcPr>
            <w:tcW w:type="dxa" w:w="981"/>
            <w:tcBorders>
              <w:top w:color="000000" w:sz="4" w:val="single"/>
              <w:left w:color="000000" w:sz="4" w:val="single"/>
              <w:bottom w:color="000000" w:sz="4" w:val="single"/>
              <w:right w:color="000000" w:sz="4" w:val="single"/>
            </w:tcBorders>
            <w:vAlign w:val="center"/>
          </w:tcPr>
          <w:p w14:paraId="2B0B0000">
            <w:pPr>
              <w:ind/>
              <w:jc w:val="center"/>
              <w:rPr>
                <w:rFonts w:ascii="Calibri" w:hAnsi="Calibri"/>
                <w:sz w:val="20"/>
              </w:rPr>
            </w:pPr>
            <w:r>
              <w:rPr>
                <w:sz w:val="20"/>
              </w:rPr>
              <w:t>3730,462</w:t>
            </w:r>
          </w:p>
        </w:tc>
        <w:tc>
          <w:tcPr>
            <w:tcW w:type="dxa" w:w="982"/>
            <w:tcBorders>
              <w:top w:color="000000" w:sz="4" w:val="single"/>
              <w:left w:color="000000" w:sz="4" w:val="single"/>
              <w:bottom w:color="000000" w:sz="4" w:val="single"/>
              <w:right w:color="000000" w:sz="4" w:val="single"/>
            </w:tcBorders>
            <w:vAlign w:val="center"/>
          </w:tcPr>
          <w:p w14:paraId="2C0B0000">
            <w:pPr>
              <w:rPr>
                <w:rFonts w:ascii="Calibri" w:hAnsi="Calibri"/>
                <w:sz w:val="20"/>
              </w:rPr>
            </w:pPr>
            <w:r>
              <w:rPr>
                <w:sz w:val="20"/>
              </w:rPr>
              <w:t>3730,462</w:t>
            </w:r>
          </w:p>
        </w:tc>
        <w:tc>
          <w:tcPr>
            <w:tcW w:type="dxa" w:w="981"/>
            <w:tcBorders>
              <w:top w:color="000000" w:sz="4" w:val="single"/>
              <w:left w:color="000000" w:sz="4" w:val="single"/>
              <w:bottom w:color="000000" w:sz="4" w:val="single"/>
              <w:right w:color="000000" w:sz="4" w:val="single"/>
            </w:tcBorders>
            <w:vAlign w:val="center"/>
          </w:tcPr>
          <w:p w14:paraId="2D0B0000">
            <w:pPr>
              <w:rPr>
                <w:rFonts w:ascii="Calibri" w:hAnsi="Calibri"/>
                <w:sz w:val="20"/>
              </w:rPr>
            </w:pPr>
            <w:r>
              <w:rPr>
                <w:sz w:val="20"/>
              </w:rPr>
              <w:t>3730,462</w:t>
            </w:r>
          </w:p>
        </w:tc>
        <w:tc>
          <w:tcPr>
            <w:tcW w:type="dxa" w:w="981"/>
            <w:tcBorders>
              <w:top w:color="000000" w:sz="4" w:val="single"/>
              <w:left w:color="000000" w:sz="4" w:val="single"/>
              <w:bottom w:color="000000" w:sz="4" w:val="single"/>
              <w:right w:color="000000" w:sz="4" w:val="single"/>
            </w:tcBorders>
            <w:vAlign w:val="center"/>
          </w:tcPr>
          <w:p w14:paraId="2E0B0000">
            <w:pPr>
              <w:rPr>
                <w:rFonts w:ascii="Calibri" w:hAnsi="Calibri"/>
                <w:sz w:val="20"/>
              </w:rPr>
            </w:pPr>
            <w:r>
              <w:rPr>
                <w:sz w:val="20"/>
              </w:rPr>
              <w:t>3730,462</w:t>
            </w:r>
          </w:p>
        </w:tc>
        <w:tc>
          <w:tcPr>
            <w:tcW w:type="dxa" w:w="981"/>
            <w:tcBorders>
              <w:top w:color="000000" w:sz="4" w:val="single"/>
              <w:left w:color="000000" w:sz="4" w:val="single"/>
              <w:bottom w:color="000000" w:sz="4" w:val="single"/>
              <w:right w:color="000000" w:sz="4" w:val="single"/>
            </w:tcBorders>
            <w:vAlign w:val="center"/>
          </w:tcPr>
          <w:p w14:paraId="2F0B0000">
            <w:pPr>
              <w:rPr>
                <w:sz w:val="20"/>
              </w:rPr>
            </w:pPr>
            <w:r>
              <w:rPr>
                <w:sz w:val="20"/>
              </w:rPr>
              <w:t>18652,31</w:t>
            </w:r>
          </w:p>
        </w:tc>
      </w:tr>
      <w:tr>
        <w:tc>
          <w:tcPr>
            <w:tcW w:type="dxa" w:w="2664"/>
            <w:tcBorders>
              <w:top w:color="000000" w:sz="4" w:val="single"/>
              <w:left w:color="000000" w:sz="4" w:val="single"/>
              <w:bottom w:color="000000" w:sz="4" w:val="single"/>
              <w:right w:color="000000" w:sz="4" w:val="single"/>
            </w:tcBorders>
            <w:vAlign w:val="center"/>
          </w:tcPr>
          <w:p w14:paraId="300B0000">
            <w:pPr>
              <w:ind/>
              <w:jc w:val="center"/>
              <w:rPr>
                <w:sz w:val="20"/>
              </w:rPr>
            </w:pPr>
            <w:r>
              <w:rPr>
                <w:sz w:val="20"/>
              </w:rPr>
              <w:t xml:space="preserve">МКД </w:t>
            </w:r>
          </w:p>
        </w:tc>
        <w:tc>
          <w:tcPr>
            <w:tcW w:type="dxa" w:w="840"/>
            <w:tcBorders>
              <w:top w:color="000000" w:sz="4" w:val="single"/>
              <w:left w:color="000000" w:sz="4" w:val="single"/>
              <w:bottom w:color="000000" w:sz="4" w:val="single"/>
              <w:right w:color="000000" w:sz="4" w:val="single"/>
            </w:tcBorders>
            <w:vAlign w:val="center"/>
          </w:tcPr>
          <w:p w14:paraId="310B0000">
            <w:pPr>
              <w:spacing w:line="240" w:lineRule="auto"/>
              <w:ind/>
              <w:jc w:val="center"/>
              <w:rPr>
                <w:sz w:val="20"/>
              </w:rPr>
            </w:pPr>
            <w:r>
              <w:rPr>
                <w:sz w:val="20"/>
              </w:rPr>
              <w:t>Гкал</w:t>
            </w:r>
          </w:p>
        </w:tc>
        <w:tc>
          <w:tcPr>
            <w:tcW w:type="dxa" w:w="1121"/>
            <w:tcBorders>
              <w:top w:color="000000" w:sz="4" w:val="single"/>
              <w:left w:color="000000" w:sz="4" w:val="single"/>
              <w:bottom w:color="000000" w:sz="4" w:val="single"/>
              <w:right w:color="000000" w:sz="4" w:val="single"/>
            </w:tcBorders>
            <w:vAlign w:val="center"/>
          </w:tcPr>
          <w:p w14:paraId="32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330B0000">
            <w:pPr>
              <w:ind/>
              <w:jc w:val="center"/>
              <w:rPr>
                <w:sz w:val="20"/>
              </w:rPr>
            </w:pPr>
            <w:r>
              <w:rPr>
                <w:sz w:val="20"/>
              </w:rPr>
              <w:t>-</w:t>
            </w:r>
          </w:p>
        </w:tc>
        <w:tc>
          <w:tcPr>
            <w:tcW w:type="dxa" w:w="982"/>
            <w:tcBorders>
              <w:top w:color="000000" w:sz="4" w:val="single"/>
              <w:left w:color="000000" w:sz="4" w:val="single"/>
              <w:bottom w:color="000000" w:sz="4" w:val="single"/>
              <w:right w:color="000000" w:sz="4" w:val="single"/>
            </w:tcBorders>
            <w:vAlign w:val="center"/>
          </w:tcPr>
          <w:p w14:paraId="34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35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36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370B0000">
            <w:pPr>
              <w:ind/>
              <w:jc w:val="center"/>
              <w:rPr>
                <w:sz w:val="20"/>
              </w:rPr>
            </w:pPr>
            <w:r>
              <w:rPr>
                <w:sz w:val="20"/>
              </w:rPr>
              <w:t>-</w:t>
            </w:r>
          </w:p>
        </w:tc>
      </w:tr>
      <w:tr>
        <w:tc>
          <w:tcPr>
            <w:tcW w:type="dxa" w:w="2664"/>
            <w:tcBorders>
              <w:top w:color="000000" w:sz="4" w:val="single"/>
              <w:left w:color="000000" w:sz="4" w:val="single"/>
              <w:bottom w:color="000000" w:sz="4" w:val="single"/>
              <w:right w:color="000000" w:sz="4" w:val="single"/>
            </w:tcBorders>
            <w:vAlign w:val="center"/>
          </w:tcPr>
          <w:p w14:paraId="380B0000">
            <w:pPr>
              <w:ind/>
              <w:jc w:val="center"/>
              <w:rPr>
                <w:sz w:val="20"/>
              </w:rPr>
            </w:pPr>
            <w:r>
              <w:rPr>
                <w:sz w:val="20"/>
              </w:rPr>
              <w:t>Общественные здания</w:t>
            </w:r>
          </w:p>
        </w:tc>
        <w:tc>
          <w:tcPr>
            <w:tcW w:type="dxa" w:w="840"/>
            <w:tcBorders>
              <w:top w:color="000000" w:sz="4" w:val="single"/>
              <w:left w:color="000000" w:sz="4" w:val="single"/>
              <w:bottom w:color="000000" w:sz="4" w:val="single"/>
              <w:right w:color="000000" w:sz="4" w:val="single"/>
            </w:tcBorders>
            <w:vAlign w:val="center"/>
          </w:tcPr>
          <w:p w14:paraId="390B0000">
            <w:pPr>
              <w:spacing w:line="240" w:lineRule="auto"/>
              <w:ind/>
              <w:jc w:val="center"/>
              <w:rPr>
                <w:sz w:val="20"/>
              </w:rPr>
            </w:pPr>
            <w:r>
              <w:rPr>
                <w:sz w:val="20"/>
              </w:rPr>
              <w:t>Гкал</w:t>
            </w:r>
          </w:p>
        </w:tc>
        <w:tc>
          <w:tcPr>
            <w:tcW w:type="dxa" w:w="1121"/>
            <w:tcBorders>
              <w:top w:color="000000" w:sz="4" w:val="single"/>
              <w:left w:color="000000" w:sz="4" w:val="single"/>
              <w:bottom w:color="000000" w:sz="4" w:val="single"/>
              <w:right w:color="000000" w:sz="4" w:val="single"/>
            </w:tcBorders>
            <w:vAlign w:val="center"/>
          </w:tcPr>
          <w:p w14:paraId="3A0B0000">
            <w:pPr>
              <w:spacing w:line="240" w:lineRule="auto"/>
              <w:ind/>
              <w:jc w:val="center"/>
              <w:rPr>
                <w:sz w:val="20"/>
              </w:rPr>
            </w:pPr>
            <w:r>
              <w:rPr>
                <w:sz w:val="20"/>
              </w:rPr>
              <w:t>3730,462</w:t>
            </w:r>
          </w:p>
        </w:tc>
        <w:tc>
          <w:tcPr>
            <w:tcW w:type="dxa" w:w="981"/>
            <w:tcBorders>
              <w:top w:color="000000" w:sz="4" w:val="single"/>
              <w:left w:color="000000" w:sz="4" w:val="single"/>
              <w:bottom w:color="000000" w:sz="4" w:val="single"/>
              <w:right w:color="000000" w:sz="4" w:val="single"/>
            </w:tcBorders>
            <w:vAlign w:val="center"/>
          </w:tcPr>
          <w:p w14:paraId="3B0B0000">
            <w:pPr>
              <w:ind/>
              <w:jc w:val="center"/>
              <w:rPr>
                <w:rFonts w:ascii="Calibri" w:hAnsi="Calibri"/>
                <w:sz w:val="20"/>
              </w:rPr>
            </w:pPr>
            <w:r>
              <w:rPr>
                <w:sz w:val="20"/>
              </w:rPr>
              <w:t>3730,462</w:t>
            </w:r>
          </w:p>
        </w:tc>
        <w:tc>
          <w:tcPr>
            <w:tcW w:type="dxa" w:w="982"/>
            <w:tcBorders>
              <w:top w:color="000000" w:sz="4" w:val="single"/>
              <w:left w:color="000000" w:sz="4" w:val="single"/>
              <w:bottom w:color="000000" w:sz="4" w:val="single"/>
              <w:right w:color="000000" w:sz="4" w:val="single"/>
            </w:tcBorders>
            <w:vAlign w:val="center"/>
          </w:tcPr>
          <w:p w14:paraId="3C0B0000">
            <w:pPr>
              <w:rPr>
                <w:rFonts w:ascii="Calibri" w:hAnsi="Calibri"/>
                <w:sz w:val="20"/>
              </w:rPr>
            </w:pPr>
            <w:r>
              <w:rPr>
                <w:sz w:val="20"/>
              </w:rPr>
              <w:t>3730,462</w:t>
            </w:r>
          </w:p>
        </w:tc>
        <w:tc>
          <w:tcPr>
            <w:tcW w:type="dxa" w:w="981"/>
            <w:tcBorders>
              <w:top w:color="000000" w:sz="4" w:val="single"/>
              <w:left w:color="000000" w:sz="4" w:val="single"/>
              <w:bottom w:color="000000" w:sz="4" w:val="single"/>
              <w:right w:color="000000" w:sz="4" w:val="single"/>
            </w:tcBorders>
            <w:vAlign w:val="center"/>
          </w:tcPr>
          <w:p w14:paraId="3D0B0000">
            <w:pPr>
              <w:rPr>
                <w:rFonts w:ascii="Calibri" w:hAnsi="Calibri"/>
                <w:sz w:val="20"/>
              </w:rPr>
            </w:pPr>
            <w:r>
              <w:rPr>
                <w:sz w:val="20"/>
              </w:rPr>
              <w:t>3730,462</w:t>
            </w:r>
          </w:p>
        </w:tc>
        <w:tc>
          <w:tcPr>
            <w:tcW w:type="dxa" w:w="981"/>
            <w:tcBorders>
              <w:top w:color="000000" w:sz="4" w:val="single"/>
              <w:left w:color="000000" w:sz="4" w:val="single"/>
              <w:bottom w:color="000000" w:sz="4" w:val="single"/>
              <w:right w:color="000000" w:sz="4" w:val="single"/>
            </w:tcBorders>
            <w:vAlign w:val="center"/>
          </w:tcPr>
          <w:p w14:paraId="3E0B0000">
            <w:pPr>
              <w:rPr>
                <w:rFonts w:ascii="Calibri" w:hAnsi="Calibri"/>
                <w:sz w:val="20"/>
              </w:rPr>
            </w:pPr>
            <w:r>
              <w:rPr>
                <w:sz w:val="20"/>
              </w:rPr>
              <w:t>3730,462</w:t>
            </w:r>
          </w:p>
        </w:tc>
        <w:tc>
          <w:tcPr>
            <w:tcW w:type="dxa" w:w="981"/>
            <w:tcBorders>
              <w:top w:color="000000" w:sz="4" w:val="single"/>
              <w:left w:color="000000" w:sz="4" w:val="single"/>
              <w:bottom w:color="000000" w:sz="4" w:val="single"/>
              <w:right w:color="000000" w:sz="4" w:val="single"/>
            </w:tcBorders>
            <w:vAlign w:val="center"/>
          </w:tcPr>
          <w:p w14:paraId="3F0B0000">
            <w:pPr>
              <w:rPr>
                <w:rFonts w:ascii="Calibri" w:hAnsi="Calibri"/>
                <w:sz w:val="20"/>
              </w:rPr>
            </w:pPr>
            <w:r>
              <w:rPr>
                <w:sz w:val="20"/>
              </w:rPr>
              <w:t>18652,31</w:t>
            </w:r>
          </w:p>
        </w:tc>
      </w:tr>
      <w:tr>
        <w:tc>
          <w:tcPr>
            <w:tcW w:type="dxa" w:w="2664"/>
            <w:tcBorders>
              <w:top w:color="000000" w:sz="4" w:val="single"/>
              <w:left w:color="000000" w:sz="4" w:val="single"/>
              <w:bottom w:color="000000" w:sz="4" w:val="single"/>
              <w:right w:color="000000" w:sz="4" w:val="single"/>
            </w:tcBorders>
            <w:vAlign w:val="center"/>
          </w:tcPr>
          <w:p w14:paraId="400B0000">
            <w:pPr>
              <w:ind/>
              <w:jc w:val="center"/>
              <w:rPr>
                <w:sz w:val="20"/>
              </w:rPr>
            </w:pPr>
            <w:r>
              <w:rPr>
                <w:sz w:val="20"/>
              </w:rPr>
              <w:t xml:space="preserve">Прочие </w:t>
            </w:r>
            <w:r>
              <w:rPr>
                <w:sz w:val="20"/>
              </w:rPr>
              <w:t>здания</w:t>
            </w:r>
          </w:p>
        </w:tc>
        <w:tc>
          <w:tcPr>
            <w:tcW w:type="dxa" w:w="840"/>
            <w:tcBorders>
              <w:top w:color="000000" w:sz="4" w:val="single"/>
              <w:left w:color="000000" w:sz="4" w:val="single"/>
              <w:bottom w:color="000000" w:sz="4" w:val="single"/>
              <w:right w:color="000000" w:sz="4" w:val="single"/>
            </w:tcBorders>
            <w:vAlign w:val="center"/>
          </w:tcPr>
          <w:p w14:paraId="410B0000">
            <w:pPr>
              <w:spacing w:line="240" w:lineRule="auto"/>
              <w:ind/>
              <w:jc w:val="center"/>
              <w:rPr>
                <w:sz w:val="20"/>
              </w:rPr>
            </w:pPr>
            <w:r>
              <w:rPr>
                <w:sz w:val="20"/>
              </w:rPr>
              <w:t>Гкал</w:t>
            </w:r>
          </w:p>
        </w:tc>
        <w:tc>
          <w:tcPr>
            <w:tcW w:type="dxa" w:w="1121"/>
            <w:tcBorders>
              <w:top w:color="000000" w:sz="4" w:val="single"/>
              <w:left w:color="000000" w:sz="4" w:val="single"/>
              <w:bottom w:color="000000" w:sz="4" w:val="single"/>
              <w:right w:color="000000" w:sz="4" w:val="single"/>
            </w:tcBorders>
            <w:vAlign w:val="center"/>
          </w:tcPr>
          <w:p w14:paraId="42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430B0000">
            <w:pPr>
              <w:ind/>
              <w:jc w:val="center"/>
              <w:rPr>
                <w:sz w:val="20"/>
              </w:rPr>
            </w:pPr>
            <w:r>
              <w:rPr>
                <w:sz w:val="20"/>
              </w:rPr>
              <w:t>-</w:t>
            </w:r>
          </w:p>
        </w:tc>
        <w:tc>
          <w:tcPr>
            <w:tcW w:type="dxa" w:w="982"/>
            <w:tcBorders>
              <w:top w:color="000000" w:sz="4" w:val="single"/>
              <w:left w:color="000000" w:sz="4" w:val="single"/>
              <w:bottom w:color="000000" w:sz="4" w:val="single"/>
              <w:right w:color="000000" w:sz="4" w:val="single"/>
            </w:tcBorders>
            <w:vAlign w:val="center"/>
          </w:tcPr>
          <w:p w14:paraId="44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45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46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470B0000">
            <w:pPr>
              <w:ind/>
              <w:jc w:val="center"/>
              <w:rPr>
                <w:sz w:val="20"/>
              </w:rPr>
            </w:pPr>
            <w:r>
              <w:rPr>
                <w:sz w:val="20"/>
              </w:rPr>
              <w:t>-</w:t>
            </w:r>
          </w:p>
        </w:tc>
      </w:tr>
      <w:tr>
        <w:tc>
          <w:tcPr>
            <w:tcW w:type="dxa" w:w="2664"/>
            <w:tcBorders>
              <w:top w:color="000000" w:sz="4" w:val="single"/>
              <w:left w:color="000000" w:sz="4" w:val="single"/>
              <w:bottom w:color="000000" w:sz="4" w:val="single"/>
              <w:right w:color="000000" w:sz="4" w:val="single"/>
            </w:tcBorders>
            <w:vAlign w:val="center"/>
          </w:tcPr>
          <w:p w14:paraId="480B0000">
            <w:pPr>
              <w:ind/>
              <w:jc w:val="center"/>
              <w:rPr>
                <w:sz w:val="20"/>
              </w:rPr>
            </w:pPr>
            <w:r>
              <w:rPr>
                <w:sz w:val="20"/>
              </w:rPr>
              <w:t>Объем тепловой мощности</w:t>
            </w:r>
          </w:p>
        </w:tc>
        <w:tc>
          <w:tcPr>
            <w:tcW w:type="dxa" w:w="840"/>
            <w:tcBorders>
              <w:top w:color="000000" w:sz="4" w:val="single"/>
              <w:left w:color="000000" w:sz="4" w:val="single"/>
              <w:bottom w:color="000000" w:sz="4" w:val="single"/>
              <w:right w:color="000000" w:sz="4" w:val="single"/>
            </w:tcBorders>
            <w:vAlign w:val="center"/>
          </w:tcPr>
          <w:p w14:paraId="490B0000">
            <w:pPr>
              <w:spacing w:line="240" w:lineRule="auto"/>
              <w:ind/>
              <w:jc w:val="center"/>
              <w:rPr>
                <w:sz w:val="20"/>
              </w:rPr>
            </w:pPr>
            <w:r>
              <w:rPr>
                <w:sz w:val="20"/>
              </w:rPr>
              <w:t>Гкал/ч</w:t>
            </w:r>
          </w:p>
        </w:tc>
        <w:tc>
          <w:tcPr>
            <w:tcW w:type="dxa" w:w="1121"/>
            <w:tcBorders>
              <w:top w:color="000000" w:sz="4" w:val="single"/>
              <w:left w:color="000000" w:sz="4" w:val="single"/>
              <w:bottom w:color="000000" w:sz="4" w:val="single"/>
              <w:right w:color="000000" w:sz="4" w:val="single"/>
            </w:tcBorders>
          </w:tcPr>
          <w:p w14:paraId="4A0B0000">
            <w:pPr>
              <w:ind/>
              <w:jc w:val="center"/>
              <w:rPr>
                <w:sz w:val="20"/>
              </w:rPr>
            </w:pPr>
            <w:r>
              <w:rPr>
                <w:sz w:val="20"/>
              </w:rPr>
              <w:t>5,125</w:t>
            </w:r>
          </w:p>
        </w:tc>
        <w:tc>
          <w:tcPr>
            <w:tcW w:type="dxa" w:w="981"/>
            <w:tcBorders>
              <w:top w:color="000000" w:sz="4" w:val="single"/>
              <w:left w:color="000000" w:sz="4" w:val="single"/>
              <w:bottom w:color="000000" w:sz="4" w:val="single"/>
              <w:right w:color="000000" w:sz="4" w:val="single"/>
            </w:tcBorders>
          </w:tcPr>
          <w:p w14:paraId="4B0B0000">
            <w:pPr>
              <w:ind/>
              <w:jc w:val="center"/>
              <w:rPr>
                <w:sz w:val="20"/>
              </w:rPr>
            </w:pPr>
            <w:r>
              <w:rPr>
                <w:sz w:val="20"/>
              </w:rPr>
              <w:t>2,716</w:t>
            </w:r>
          </w:p>
        </w:tc>
        <w:tc>
          <w:tcPr>
            <w:tcW w:type="dxa" w:w="982"/>
            <w:tcBorders>
              <w:top w:color="000000" w:sz="4" w:val="single"/>
              <w:left w:color="000000" w:sz="4" w:val="single"/>
              <w:bottom w:color="000000" w:sz="4" w:val="single"/>
              <w:right w:color="000000" w:sz="4" w:val="single"/>
            </w:tcBorders>
          </w:tcPr>
          <w:p w14:paraId="4C0B0000">
            <w:pPr>
              <w:ind/>
              <w:jc w:val="center"/>
              <w:rPr>
                <w:sz w:val="20"/>
              </w:rPr>
            </w:pPr>
            <w:r>
              <w:rPr>
                <w:sz w:val="20"/>
              </w:rPr>
              <w:t>2,716</w:t>
            </w:r>
          </w:p>
        </w:tc>
        <w:tc>
          <w:tcPr>
            <w:tcW w:type="dxa" w:w="981"/>
            <w:tcBorders>
              <w:top w:color="000000" w:sz="4" w:val="single"/>
              <w:left w:color="000000" w:sz="4" w:val="single"/>
              <w:bottom w:color="000000" w:sz="4" w:val="single"/>
              <w:right w:color="000000" w:sz="4" w:val="single"/>
            </w:tcBorders>
          </w:tcPr>
          <w:p w14:paraId="4D0B0000">
            <w:pPr>
              <w:ind/>
              <w:jc w:val="center"/>
              <w:rPr>
                <w:sz w:val="20"/>
              </w:rPr>
            </w:pPr>
            <w:r>
              <w:rPr>
                <w:sz w:val="20"/>
              </w:rPr>
              <w:t>2,716</w:t>
            </w:r>
          </w:p>
        </w:tc>
        <w:tc>
          <w:tcPr>
            <w:tcW w:type="dxa" w:w="981"/>
            <w:tcBorders>
              <w:top w:color="000000" w:sz="4" w:val="single"/>
              <w:left w:color="000000" w:sz="4" w:val="single"/>
              <w:bottom w:color="000000" w:sz="4" w:val="single"/>
              <w:right w:color="000000" w:sz="4" w:val="single"/>
            </w:tcBorders>
          </w:tcPr>
          <w:p w14:paraId="4E0B0000">
            <w:pPr>
              <w:ind/>
              <w:jc w:val="center"/>
              <w:rPr>
                <w:sz w:val="20"/>
              </w:rPr>
            </w:pPr>
            <w:r>
              <w:rPr>
                <w:sz w:val="20"/>
              </w:rPr>
              <w:t>2,716</w:t>
            </w:r>
          </w:p>
        </w:tc>
        <w:tc>
          <w:tcPr>
            <w:tcW w:type="dxa" w:w="981"/>
            <w:tcBorders>
              <w:top w:color="000000" w:sz="4" w:val="single"/>
              <w:left w:color="000000" w:sz="4" w:val="single"/>
              <w:bottom w:color="000000" w:sz="4" w:val="single"/>
              <w:right w:color="000000" w:sz="4" w:val="single"/>
            </w:tcBorders>
          </w:tcPr>
          <w:p w14:paraId="4F0B0000">
            <w:pPr>
              <w:ind/>
              <w:jc w:val="center"/>
              <w:rPr>
                <w:sz w:val="20"/>
              </w:rPr>
            </w:pPr>
            <w:r>
              <w:rPr>
                <w:sz w:val="20"/>
              </w:rPr>
              <w:t>2,716</w:t>
            </w:r>
          </w:p>
        </w:tc>
      </w:tr>
      <w:tr>
        <w:tc>
          <w:tcPr>
            <w:tcW w:type="dxa" w:w="2664"/>
            <w:tcBorders>
              <w:top w:color="000000" w:sz="4" w:val="single"/>
              <w:left w:color="000000" w:sz="4" w:val="single"/>
              <w:bottom w:color="000000" w:sz="4" w:val="single"/>
              <w:right w:color="000000" w:sz="4" w:val="single"/>
            </w:tcBorders>
            <w:vAlign w:val="center"/>
          </w:tcPr>
          <w:p w14:paraId="500B0000">
            <w:pPr>
              <w:ind/>
              <w:jc w:val="center"/>
              <w:rPr>
                <w:sz w:val="20"/>
              </w:rPr>
            </w:pPr>
            <w:r>
              <w:rPr>
                <w:sz w:val="20"/>
              </w:rPr>
              <w:t xml:space="preserve">МКД </w:t>
            </w:r>
          </w:p>
        </w:tc>
        <w:tc>
          <w:tcPr>
            <w:tcW w:type="dxa" w:w="840"/>
            <w:tcBorders>
              <w:top w:color="000000" w:sz="4" w:val="single"/>
              <w:left w:color="000000" w:sz="4" w:val="single"/>
              <w:bottom w:color="000000" w:sz="4" w:val="single"/>
              <w:right w:color="000000" w:sz="4" w:val="single"/>
            </w:tcBorders>
            <w:vAlign w:val="center"/>
          </w:tcPr>
          <w:p w14:paraId="510B0000">
            <w:pPr>
              <w:spacing w:line="240" w:lineRule="auto"/>
              <w:ind/>
              <w:jc w:val="center"/>
              <w:rPr>
                <w:sz w:val="20"/>
              </w:rPr>
            </w:pPr>
            <w:r>
              <w:rPr>
                <w:sz w:val="20"/>
              </w:rPr>
              <w:t>Гкал/ч</w:t>
            </w:r>
          </w:p>
        </w:tc>
        <w:tc>
          <w:tcPr>
            <w:tcW w:type="dxa" w:w="1121"/>
            <w:tcBorders>
              <w:top w:color="000000" w:sz="4" w:val="single"/>
              <w:left w:color="000000" w:sz="4" w:val="single"/>
              <w:bottom w:color="000000" w:sz="4" w:val="single"/>
              <w:right w:color="000000" w:sz="4" w:val="single"/>
            </w:tcBorders>
            <w:vAlign w:val="center"/>
          </w:tcPr>
          <w:p w14:paraId="52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530B0000">
            <w:pPr>
              <w:ind/>
              <w:jc w:val="center"/>
              <w:rPr>
                <w:sz w:val="20"/>
              </w:rPr>
            </w:pPr>
            <w:r>
              <w:rPr>
                <w:sz w:val="20"/>
              </w:rPr>
              <w:t>-</w:t>
            </w:r>
          </w:p>
        </w:tc>
        <w:tc>
          <w:tcPr>
            <w:tcW w:type="dxa" w:w="982"/>
            <w:tcBorders>
              <w:top w:color="000000" w:sz="4" w:val="single"/>
              <w:left w:color="000000" w:sz="4" w:val="single"/>
              <w:bottom w:color="000000" w:sz="4" w:val="single"/>
              <w:right w:color="000000" w:sz="4" w:val="single"/>
            </w:tcBorders>
            <w:vAlign w:val="center"/>
          </w:tcPr>
          <w:p w14:paraId="54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55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56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570B0000">
            <w:pPr>
              <w:ind/>
              <w:jc w:val="center"/>
              <w:rPr>
                <w:sz w:val="20"/>
              </w:rPr>
            </w:pPr>
            <w:r>
              <w:rPr>
                <w:sz w:val="20"/>
              </w:rPr>
              <w:t>-</w:t>
            </w:r>
          </w:p>
        </w:tc>
      </w:tr>
      <w:tr>
        <w:tc>
          <w:tcPr>
            <w:tcW w:type="dxa" w:w="2664"/>
            <w:tcBorders>
              <w:top w:color="000000" w:sz="4" w:val="single"/>
              <w:left w:color="000000" w:sz="4" w:val="single"/>
              <w:bottom w:color="000000" w:sz="4" w:val="single"/>
              <w:right w:color="000000" w:sz="4" w:val="single"/>
            </w:tcBorders>
            <w:vAlign w:val="center"/>
          </w:tcPr>
          <w:p w14:paraId="580B0000">
            <w:pPr>
              <w:ind/>
              <w:jc w:val="center"/>
              <w:rPr>
                <w:sz w:val="20"/>
              </w:rPr>
            </w:pPr>
            <w:r>
              <w:rPr>
                <w:sz w:val="20"/>
              </w:rPr>
              <w:t>Общественные здания</w:t>
            </w:r>
          </w:p>
        </w:tc>
        <w:tc>
          <w:tcPr>
            <w:tcW w:type="dxa" w:w="840"/>
            <w:tcBorders>
              <w:top w:color="000000" w:sz="4" w:val="single"/>
              <w:left w:color="000000" w:sz="4" w:val="single"/>
              <w:bottom w:color="000000" w:sz="4" w:val="single"/>
              <w:right w:color="000000" w:sz="4" w:val="single"/>
            </w:tcBorders>
            <w:vAlign w:val="center"/>
          </w:tcPr>
          <w:p w14:paraId="590B0000">
            <w:pPr>
              <w:spacing w:line="240" w:lineRule="auto"/>
              <w:ind/>
              <w:jc w:val="center"/>
              <w:rPr>
                <w:sz w:val="20"/>
              </w:rPr>
            </w:pPr>
            <w:r>
              <w:rPr>
                <w:sz w:val="20"/>
              </w:rPr>
              <w:t>Гкал/ч</w:t>
            </w:r>
          </w:p>
        </w:tc>
        <w:tc>
          <w:tcPr>
            <w:tcW w:type="dxa" w:w="1121"/>
            <w:tcBorders>
              <w:top w:color="000000" w:sz="4" w:val="single"/>
              <w:left w:color="000000" w:sz="4" w:val="single"/>
              <w:bottom w:color="000000" w:sz="4" w:val="single"/>
              <w:right w:color="000000" w:sz="4" w:val="single"/>
            </w:tcBorders>
          </w:tcPr>
          <w:p w14:paraId="5A0B0000">
            <w:pPr>
              <w:ind/>
              <w:jc w:val="center"/>
              <w:rPr>
                <w:sz w:val="20"/>
              </w:rPr>
            </w:pPr>
            <w:r>
              <w:rPr>
                <w:sz w:val="20"/>
              </w:rPr>
              <w:t>5,125</w:t>
            </w:r>
          </w:p>
        </w:tc>
        <w:tc>
          <w:tcPr>
            <w:tcW w:type="dxa" w:w="981"/>
            <w:tcBorders>
              <w:top w:color="000000" w:sz="4" w:val="single"/>
              <w:left w:color="000000" w:sz="4" w:val="single"/>
              <w:bottom w:color="000000" w:sz="4" w:val="single"/>
              <w:right w:color="000000" w:sz="4" w:val="single"/>
            </w:tcBorders>
          </w:tcPr>
          <w:p w14:paraId="5B0B0000">
            <w:pPr>
              <w:ind/>
              <w:jc w:val="center"/>
              <w:rPr>
                <w:sz w:val="20"/>
              </w:rPr>
            </w:pPr>
            <w:r>
              <w:rPr>
                <w:sz w:val="20"/>
              </w:rPr>
              <w:t>2,716</w:t>
            </w:r>
          </w:p>
        </w:tc>
        <w:tc>
          <w:tcPr>
            <w:tcW w:type="dxa" w:w="982"/>
            <w:tcBorders>
              <w:top w:color="000000" w:sz="4" w:val="single"/>
              <w:left w:color="000000" w:sz="4" w:val="single"/>
              <w:bottom w:color="000000" w:sz="4" w:val="single"/>
              <w:right w:color="000000" w:sz="4" w:val="single"/>
            </w:tcBorders>
          </w:tcPr>
          <w:p w14:paraId="5C0B0000">
            <w:pPr>
              <w:ind/>
              <w:jc w:val="center"/>
              <w:rPr>
                <w:sz w:val="20"/>
              </w:rPr>
            </w:pPr>
            <w:r>
              <w:rPr>
                <w:sz w:val="20"/>
              </w:rPr>
              <w:t>2,716</w:t>
            </w:r>
          </w:p>
        </w:tc>
        <w:tc>
          <w:tcPr>
            <w:tcW w:type="dxa" w:w="981"/>
            <w:tcBorders>
              <w:top w:color="000000" w:sz="4" w:val="single"/>
              <w:left w:color="000000" w:sz="4" w:val="single"/>
              <w:bottom w:color="000000" w:sz="4" w:val="single"/>
              <w:right w:color="000000" w:sz="4" w:val="single"/>
            </w:tcBorders>
          </w:tcPr>
          <w:p w14:paraId="5D0B0000">
            <w:pPr>
              <w:ind/>
              <w:jc w:val="center"/>
              <w:rPr>
                <w:sz w:val="20"/>
              </w:rPr>
            </w:pPr>
            <w:r>
              <w:rPr>
                <w:sz w:val="20"/>
              </w:rPr>
              <w:t>2,716</w:t>
            </w:r>
          </w:p>
        </w:tc>
        <w:tc>
          <w:tcPr>
            <w:tcW w:type="dxa" w:w="981"/>
            <w:tcBorders>
              <w:top w:color="000000" w:sz="4" w:val="single"/>
              <w:left w:color="000000" w:sz="4" w:val="single"/>
              <w:bottom w:color="000000" w:sz="4" w:val="single"/>
              <w:right w:color="000000" w:sz="4" w:val="single"/>
            </w:tcBorders>
          </w:tcPr>
          <w:p w14:paraId="5E0B0000">
            <w:pPr>
              <w:ind/>
              <w:jc w:val="center"/>
              <w:rPr>
                <w:sz w:val="20"/>
              </w:rPr>
            </w:pPr>
            <w:r>
              <w:rPr>
                <w:sz w:val="20"/>
              </w:rPr>
              <w:t>2,716</w:t>
            </w:r>
          </w:p>
        </w:tc>
        <w:tc>
          <w:tcPr>
            <w:tcW w:type="dxa" w:w="981"/>
            <w:tcBorders>
              <w:top w:color="000000" w:sz="4" w:val="single"/>
              <w:left w:color="000000" w:sz="4" w:val="single"/>
              <w:bottom w:color="000000" w:sz="4" w:val="single"/>
              <w:right w:color="000000" w:sz="4" w:val="single"/>
            </w:tcBorders>
          </w:tcPr>
          <w:p w14:paraId="5F0B0000">
            <w:pPr>
              <w:ind/>
              <w:jc w:val="center"/>
              <w:rPr>
                <w:sz w:val="20"/>
              </w:rPr>
            </w:pPr>
            <w:r>
              <w:rPr>
                <w:sz w:val="20"/>
              </w:rPr>
              <w:t>2,716</w:t>
            </w:r>
          </w:p>
        </w:tc>
      </w:tr>
      <w:tr>
        <w:tc>
          <w:tcPr>
            <w:tcW w:type="dxa" w:w="2664"/>
            <w:tcBorders>
              <w:top w:color="000000" w:sz="4" w:val="single"/>
              <w:left w:color="000000" w:sz="4" w:val="single"/>
              <w:bottom w:color="000000" w:sz="4" w:val="single"/>
              <w:right w:color="000000" w:sz="4" w:val="single"/>
            </w:tcBorders>
            <w:vAlign w:val="center"/>
          </w:tcPr>
          <w:p w14:paraId="600B0000">
            <w:pPr>
              <w:ind/>
              <w:jc w:val="center"/>
              <w:rPr>
                <w:sz w:val="20"/>
              </w:rPr>
            </w:pPr>
            <w:r>
              <w:rPr>
                <w:sz w:val="20"/>
              </w:rPr>
              <w:t>Прочие здания</w:t>
            </w:r>
          </w:p>
        </w:tc>
        <w:tc>
          <w:tcPr>
            <w:tcW w:type="dxa" w:w="840"/>
            <w:tcBorders>
              <w:top w:color="000000" w:sz="4" w:val="single"/>
              <w:left w:color="000000" w:sz="4" w:val="single"/>
              <w:bottom w:color="000000" w:sz="4" w:val="single"/>
              <w:right w:color="000000" w:sz="4" w:val="single"/>
            </w:tcBorders>
            <w:vAlign w:val="center"/>
          </w:tcPr>
          <w:p w14:paraId="610B0000">
            <w:pPr>
              <w:spacing w:line="240" w:lineRule="auto"/>
              <w:ind/>
              <w:jc w:val="center"/>
              <w:rPr>
                <w:sz w:val="20"/>
              </w:rPr>
            </w:pPr>
            <w:r>
              <w:rPr>
                <w:sz w:val="20"/>
              </w:rPr>
              <w:t>Гкал/ч</w:t>
            </w:r>
          </w:p>
        </w:tc>
        <w:tc>
          <w:tcPr>
            <w:tcW w:type="dxa" w:w="1121"/>
            <w:tcBorders>
              <w:top w:color="000000" w:sz="4" w:val="single"/>
              <w:left w:color="000000" w:sz="4" w:val="single"/>
              <w:bottom w:color="000000" w:sz="4" w:val="single"/>
              <w:right w:color="000000" w:sz="4" w:val="single"/>
            </w:tcBorders>
            <w:vAlign w:val="center"/>
          </w:tcPr>
          <w:p w14:paraId="62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630B0000">
            <w:pPr>
              <w:ind/>
              <w:jc w:val="center"/>
              <w:rPr>
                <w:sz w:val="20"/>
              </w:rPr>
            </w:pPr>
            <w:r>
              <w:rPr>
                <w:sz w:val="20"/>
              </w:rPr>
              <w:t>-</w:t>
            </w:r>
          </w:p>
        </w:tc>
        <w:tc>
          <w:tcPr>
            <w:tcW w:type="dxa" w:w="982"/>
            <w:tcBorders>
              <w:top w:color="000000" w:sz="4" w:val="single"/>
              <w:left w:color="000000" w:sz="4" w:val="single"/>
              <w:bottom w:color="000000" w:sz="4" w:val="single"/>
              <w:right w:color="000000" w:sz="4" w:val="single"/>
            </w:tcBorders>
            <w:vAlign w:val="center"/>
          </w:tcPr>
          <w:p w14:paraId="64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65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660B0000">
            <w:pPr>
              <w:ind/>
              <w:jc w:val="center"/>
              <w:rPr>
                <w:sz w:val="20"/>
              </w:rPr>
            </w:pPr>
            <w:r>
              <w:rPr>
                <w:sz w:val="20"/>
              </w:rPr>
              <w:t>-</w:t>
            </w:r>
          </w:p>
        </w:tc>
        <w:tc>
          <w:tcPr>
            <w:tcW w:type="dxa" w:w="981"/>
            <w:tcBorders>
              <w:top w:color="000000" w:sz="4" w:val="single"/>
              <w:left w:color="000000" w:sz="4" w:val="single"/>
              <w:bottom w:color="000000" w:sz="4" w:val="single"/>
              <w:right w:color="000000" w:sz="4" w:val="single"/>
            </w:tcBorders>
            <w:vAlign w:val="center"/>
          </w:tcPr>
          <w:p w14:paraId="670B0000">
            <w:pPr>
              <w:ind/>
              <w:jc w:val="center"/>
              <w:rPr>
                <w:sz w:val="20"/>
              </w:rPr>
            </w:pPr>
            <w:r>
              <w:rPr>
                <w:sz w:val="20"/>
              </w:rPr>
              <w:t>-</w:t>
            </w:r>
          </w:p>
        </w:tc>
      </w:tr>
    </w:tbl>
    <w:p w14:paraId="680B0000">
      <w:pPr>
        <w:spacing w:before="200" w:line="240" w:lineRule="auto"/>
        <w:ind w:firstLine="709" w:left="0"/>
        <w:jc w:val="both"/>
        <w:rPr>
          <w:sz w:val="28"/>
          <w:highlight w:val="white"/>
        </w:rPr>
      </w:pPr>
      <w:r>
        <w:rPr>
          <w:sz w:val="28"/>
          <w:highlight w:val="white"/>
        </w:rPr>
        <w:t xml:space="preserve">д) Прогнозы приростов объемов </w:t>
      </w:r>
      <w:r>
        <w:rPr>
          <w:sz w:val="28"/>
          <w:highlight w:val="white"/>
        </w:rPr>
        <w:t xml:space="preserve">потребления тепловой энергии (мощности) и теплоносителя с разделением по видам теплопотребления в </w:t>
      </w:r>
      <w:r>
        <w:rPr>
          <w:sz w:val="28"/>
          <w:highlight w:val="white"/>
        </w:rPr>
        <w:t>расчетных элементах территориального деления и в зонах действия индивидуального теплоснабжения на каждом этапе.</w:t>
      </w:r>
    </w:p>
    <w:p w14:paraId="690B0000">
      <w:pPr>
        <w:spacing w:before="200" w:line="240" w:lineRule="auto"/>
        <w:ind w:firstLine="709" w:left="0"/>
        <w:jc w:val="both"/>
        <w:rPr>
          <w:sz w:val="28"/>
        </w:rPr>
      </w:pPr>
      <w:r>
        <w:rPr>
          <w:sz w:val="28"/>
        </w:rPr>
        <w:t xml:space="preserve">Приросты объёмов потребления тепловой энергии </w:t>
      </w:r>
      <w:r>
        <w:rPr>
          <w:sz w:val="28"/>
        </w:rPr>
        <w:t xml:space="preserve">(мощности) и теплоносителя и в зонах действия индивидуального теплоснабжения не предусматриваются. </w:t>
      </w:r>
    </w:p>
    <w:p w14:paraId="6A0B0000">
      <w:pPr>
        <w:spacing w:before="200" w:line="240" w:lineRule="auto"/>
        <w:ind w:firstLine="709" w:left="0"/>
        <w:jc w:val="both"/>
        <w:rPr>
          <w:sz w:val="28"/>
        </w:rPr>
      </w:pPr>
      <w:r>
        <w:rPr>
          <w:sz w:val="28"/>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w:t>
      </w:r>
      <w:r>
        <w:rPr>
          <w:sz w:val="28"/>
        </w:rPr>
        <w:t>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w:t>
      </w:r>
      <w:r>
        <w:rPr>
          <w:sz w:val="28"/>
        </w:rPr>
        <w:t xml:space="preserve"> из существующих или предлагаемых для строительства источников тепловой энергии на каждом этапе. </w:t>
      </w:r>
    </w:p>
    <w:p w14:paraId="6B0B0000">
      <w:pPr>
        <w:spacing w:before="200" w:line="240" w:lineRule="auto"/>
        <w:ind w:firstLine="709" w:left="0"/>
        <w:rPr>
          <w:sz w:val="28"/>
          <w:u w:val="single"/>
        </w:rPr>
      </w:pPr>
      <w:r>
        <w:rPr>
          <w:sz w:val="28"/>
        </w:rPr>
        <w:t>Объекты, расположенные в производственных зонах, подключенных или подключаемых к системе центрального теплоснабжения, отсутствуют.</w:t>
      </w:r>
    </w:p>
    <w:p w14:paraId="6C0B0000">
      <w:pPr>
        <w:spacing w:line="240" w:lineRule="auto"/>
        <w:ind w:firstLine="709" w:left="0"/>
        <w:jc w:val="center"/>
        <w:rPr>
          <w:b w:val="1"/>
          <w:sz w:val="28"/>
        </w:rPr>
      </w:pPr>
      <w:r>
        <w:rPr>
          <w:b w:val="1"/>
          <w:sz w:val="28"/>
        </w:rPr>
        <w:t>Глава 3 «Электронная модель</w:t>
      </w:r>
      <w:r>
        <w:rPr>
          <w:b w:val="1"/>
          <w:sz w:val="28"/>
        </w:rPr>
        <w:t xml:space="preserve"> системы теплоснабжения Куйбышевского сельского поселения Куйбышевского района»</w:t>
      </w:r>
    </w:p>
    <w:p w14:paraId="6D0B0000">
      <w:pPr>
        <w:spacing w:after="0" w:line="240" w:lineRule="auto"/>
        <w:ind w:firstLine="709" w:left="0"/>
        <w:jc w:val="both"/>
        <w:rPr>
          <w:sz w:val="28"/>
        </w:rPr>
      </w:pPr>
      <w:r>
        <w:rPr>
          <w:sz w:val="28"/>
        </w:rPr>
        <w:t>Пункт 2 ПП РФ № 154 устанавливает, что при разработке схемы теплоснабжения поселений счисленностью населения до 10 тысяч человек с соблюдением требований пунктов 3 - 89 к схема</w:t>
      </w:r>
      <w:r>
        <w:rPr>
          <w:sz w:val="28"/>
        </w:rPr>
        <w:t>м теплоснабжения, пунктов 10, 35 - 38 требований к порядку разработки и утверждения схем теплоснабжения, не является обязательным. В п. 23 вышеуказанных требований определено, что актуализация схем теплоснабжения осуществляется в соответствии с требованиям</w:t>
      </w:r>
      <w:r>
        <w:rPr>
          <w:sz w:val="28"/>
        </w:rPr>
        <w:t>и к порядку разработки и утверждения схем теплоснабжения.</w:t>
      </w:r>
    </w:p>
    <w:p w14:paraId="6E0B0000">
      <w:pPr>
        <w:spacing w:line="240" w:lineRule="auto"/>
        <w:ind w:firstLine="709" w:left="0"/>
        <w:jc w:val="both"/>
        <w:rPr>
          <w:sz w:val="28"/>
        </w:rPr>
      </w:pPr>
      <w:r>
        <w:rPr>
          <w:sz w:val="28"/>
        </w:rPr>
        <w:t xml:space="preserve">П. 22 Требований к схемам теплоснабжения, порядку их разработки и утверждения, ПП РФ № 154 содержит исчерпывающий перечень данных, в отношении которых схема теплоснабжения подлежит ежегодной </w:t>
      </w:r>
      <w:r>
        <w:rPr>
          <w:sz w:val="28"/>
        </w:rPr>
        <w:t>актуализации. В числе указанных данных отсутствует требование о разработке электронном модели системы теплоснабжения. Население сельского поселения составляет 7598 человек. На основании изложенного при разработке настоящей схемы, и учитывая значение числен</w:t>
      </w:r>
      <w:r>
        <w:rPr>
          <w:sz w:val="28"/>
        </w:rPr>
        <w:t>ности населения сельского поселения, до 10 тысяч человек, разработка электронной модели системы теплоснабжения согласно пп. 2, 22, 23 Постановления Правительства РФ от 22.02.2012 № 154 не выполняется.</w:t>
      </w:r>
    </w:p>
    <w:p w14:paraId="6F0B0000">
      <w:pPr>
        <w:spacing w:line="240" w:lineRule="auto"/>
        <w:ind w:firstLine="709" w:left="0"/>
        <w:jc w:val="center"/>
        <w:rPr>
          <w:b w:val="1"/>
          <w:sz w:val="28"/>
        </w:rPr>
      </w:pPr>
      <w:r>
        <w:rPr>
          <w:b w:val="1"/>
          <w:sz w:val="28"/>
        </w:rPr>
        <w:t>Глава 4 «Перспективные балансы тепловой мощности источн</w:t>
      </w:r>
      <w:r>
        <w:rPr>
          <w:b w:val="1"/>
          <w:sz w:val="28"/>
        </w:rPr>
        <w:t>иков тепловой энергии и тепловой нагрузки Куйбышевского сельского поселения Куйбышевского района»</w:t>
      </w:r>
    </w:p>
    <w:p w14:paraId="700B0000">
      <w:pPr>
        <w:spacing w:line="240" w:lineRule="auto"/>
        <w:ind w:firstLine="709" w:left="0"/>
        <w:jc w:val="both"/>
        <w:rPr>
          <w:sz w:val="28"/>
        </w:rPr>
      </w:pPr>
      <w:r>
        <w:rPr>
          <w:sz w:val="28"/>
        </w:rPr>
        <w:t>а) Балансы существующей на базовый период (2022 год) схемы теплоснабжения тепловой мощности и перспективной тепловой нагрузки в каждой из зон действия источни</w:t>
      </w:r>
      <w:r>
        <w:rPr>
          <w:sz w:val="28"/>
        </w:rPr>
        <w:t>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710B0000">
      <w:pPr>
        <w:spacing w:line="240" w:lineRule="auto"/>
        <w:ind/>
        <w:jc w:val="both"/>
        <w:rPr>
          <w:sz w:val="28"/>
        </w:rPr>
      </w:pPr>
      <w:r>
        <w:rPr>
          <w:sz w:val="28"/>
        </w:rPr>
        <w:t>Таблица 32 Существующие и перспективные балансы тепловой м</w:t>
      </w:r>
      <w:r>
        <w:rPr>
          <w:sz w:val="28"/>
        </w:rPr>
        <w:t>ощности и тепловой нагрузки</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644"/>
        <w:gridCol w:w="1401"/>
        <w:gridCol w:w="1262"/>
        <w:gridCol w:w="1541"/>
        <w:gridCol w:w="1682"/>
      </w:tblGrid>
      <w:tr>
        <w:trPr>
          <w:trHeight w:hRule="atLeast" w:val="900"/>
        </w:trPr>
        <w:tc>
          <w:tcPr>
            <w:tcW w:type="dxa" w:w="3644"/>
            <w:tcBorders>
              <w:top w:color="000000" w:sz="4" w:val="single"/>
              <w:left w:color="000000" w:sz="4" w:val="single"/>
              <w:bottom w:color="000000" w:sz="4" w:val="single"/>
              <w:right w:color="000000" w:sz="4" w:val="single"/>
            </w:tcBorders>
            <w:vAlign w:val="center"/>
          </w:tcPr>
          <w:p w14:paraId="720B0000">
            <w:pPr>
              <w:ind/>
              <w:jc w:val="center"/>
              <w:rPr>
                <w:sz w:val="20"/>
              </w:rPr>
            </w:pPr>
            <w:r>
              <w:rPr>
                <w:sz w:val="20"/>
              </w:rPr>
              <w:t>Котельная</w:t>
            </w:r>
          </w:p>
        </w:tc>
        <w:tc>
          <w:tcPr>
            <w:tcW w:type="dxa" w:w="1401"/>
            <w:tcBorders>
              <w:top w:color="000000" w:sz="4" w:val="single"/>
              <w:left w:color="000000" w:sz="4" w:val="single"/>
              <w:bottom w:color="000000" w:sz="4" w:val="single"/>
              <w:right w:color="000000" w:sz="4" w:val="single"/>
            </w:tcBorders>
            <w:vAlign w:val="center"/>
          </w:tcPr>
          <w:p w14:paraId="730B0000">
            <w:pPr>
              <w:ind/>
              <w:jc w:val="center"/>
              <w:rPr>
                <w:sz w:val="20"/>
              </w:rPr>
            </w:pPr>
            <w:r>
              <w:rPr>
                <w:sz w:val="20"/>
              </w:rPr>
              <w:t>Сущест-вующая мощность источника, Гкал/час</w:t>
            </w:r>
          </w:p>
        </w:tc>
        <w:tc>
          <w:tcPr>
            <w:tcW w:type="dxa" w:w="1262"/>
            <w:tcBorders>
              <w:top w:color="000000" w:sz="4" w:val="single"/>
              <w:left w:color="000000" w:sz="4" w:val="single"/>
              <w:bottom w:color="000000" w:sz="4" w:val="single"/>
              <w:right w:color="000000" w:sz="4" w:val="single"/>
            </w:tcBorders>
            <w:vAlign w:val="center"/>
          </w:tcPr>
          <w:p w14:paraId="740B0000">
            <w:pPr>
              <w:ind/>
              <w:jc w:val="center"/>
              <w:rPr>
                <w:sz w:val="20"/>
              </w:rPr>
            </w:pPr>
            <w:r>
              <w:rPr>
                <w:sz w:val="20"/>
              </w:rPr>
              <w:t>Перспек-тивная мощность источника, Гкал/час</w:t>
            </w:r>
          </w:p>
        </w:tc>
        <w:tc>
          <w:tcPr>
            <w:tcW w:type="dxa" w:w="1541"/>
            <w:tcBorders>
              <w:top w:color="000000" w:sz="4" w:val="single"/>
              <w:left w:color="000000" w:sz="4" w:val="single"/>
              <w:bottom w:color="000000" w:sz="4" w:val="single"/>
              <w:right w:color="000000" w:sz="4" w:val="single"/>
            </w:tcBorders>
            <w:vAlign w:val="center"/>
          </w:tcPr>
          <w:p w14:paraId="750B0000">
            <w:pPr>
              <w:ind/>
              <w:jc w:val="center"/>
              <w:rPr>
                <w:sz w:val="20"/>
              </w:rPr>
            </w:pPr>
            <w:r>
              <w:rPr>
                <w:sz w:val="20"/>
              </w:rPr>
              <w:t>Перспективная тепловая нагрузка, Гкал/ч</w:t>
            </w:r>
          </w:p>
        </w:tc>
        <w:tc>
          <w:tcPr>
            <w:tcW w:type="dxa" w:w="1682"/>
            <w:tcBorders>
              <w:top w:color="000000" w:sz="4" w:val="single"/>
              <w:left w:color="000000" w:sz="4" w:val="single"/>
              <w:bottom w:color="000000" w:sz="4" w:val="single"/>
              <w:right w:color="000000" w:sz="4" w:val="single"/>
            </w:tcBorders>
            <w:vAlign w:val="center"/>
          </w:tcPr>
          <w:p w14:paraId="760B0000">
            <w:pPr>
              <w:ind/>
              <w:jc w:val="center"/>
              <w:rPr>
                <w:sz w:val="20"/>
              </w:rPr>
            </w:pPr>
            <w:r>
              <w:rPr>
                <w:sz w:val="20"/>
              </w:rPr>
              <w:t>Резерв (дефицит) тепловой мощности, Гкал/ч</w:t>
            </w:r>
          </w:p>
        </w:tc>
      </w:tr>
      <w:tr>
        <w:trPr>
          <w:trHeight w:hRule="atLeast" w:val="331"/>
        </w:trPr>
        <w:tc>
          <w:tcPr>
            <w:tcW w:type="dxa" w:w="3644"/>
            <w:tcBorders>
              <w:top w:sz="4" w:val="nil"/>
              <w:left w:color="000000" w:sz="4" w:val="single"/>
              <w:bottom w:color="000000" w:sz="4" w:val="single"/>
              <w:right w:color="000000" w:sz="4" w:val="single"/>
            </w:tcBorders>
            <w:shd w:fill="auto" w:val="clear"/>
            <w:vAlign w:val="center"/>
          </w:tcPr>
          <w:p w14:paraId="770B0000">
            <w:pPr>
              <w:ind/>
              <w:jc w:val="center"/>
              <w:rPr>
                <w:sz w:val="20"/>
              </w:rPr>
            </w:pPr>
            <w:r>
              <w:rPr>
                <w:sz w:val="20"/>
              </w:rPr>
              <w:t>с. Куйбышево, ул. Пролетарская, 7</w:t>
            </w:r>
          </w:p>
        </w:tc>
        <w:tc>
          <w:tcPr>
            <w:tcW w:type="dxa" w:w="1401"/>
            <w:tcBorders>
              <w:top w:sz="4" w:val="nil"/>
              <w:left w:color="000000" w:sz="4" w:val="single"/>
              <w:bottom w:color="000000" w:sz="4" w:val="single"/>
              <w:right w:color="000000" w:sz="4" w:val="single"/>
            </w:tcBorders>
            <w:shd w:fill="auto" w:val="clear"/>
            <w:vAlign w:val="center"/>
          </w:tcPr>
          <w:p w14:paraId="780B0000">
            <w:pPr>
              <w:ind/>
              <w:jc w:val="center"/>
              <w:rPr>
                <w:sz w:val="20"/>
              </w:rPr>
            </w:pPr>
            <w:r>
              <w:rPr>
                <w:sz w:val="20"/>
              </w:rPr>
              <w:t>3,44</w:t>
            </w:r>
          </w:p>
        </w:tc>
        <w:tc>
          <w:tcPr>
            <w:tcW w:type="dxa" w:w="1262"/>
            <w:tcBorders>
              <w:top w:color="000000" w:sz="4" w:val="single"/>
              <w:left w:color="000000" w:sz="4" w:val="single"/>
              <w:bottom w:color="000000" w:sz="4" w:val="single"/>
              <w:right w:color="000000" w:sz="4" w:val="single"/>
            </w:tcBorders>
            <w:shd w:fill="auto" w:val="clear"/>
          </w:tcPr>
          <w:p w14:paraId="790B0000">
            <w:pPr>
              <w:ind/>
              <w:jc w:val="center"/>
              <w:rPr>
                <w:sz w:val="20"/>
              </w:rPr>
            </w:pPr>
            <w:r>
              <w:rPr>
                <w:sz w:val="20"/>
              </w:rPr>
              <w:t>1,032</w:t>
            </w:r>
          </w:p>
        </w:tc>
        <w:tc>
          <w:tcPr>
            <w:tcW w:type="dxa" w:w="1541"/>
            <w:tcBorders>
              <w:top w:color="000000" w:sz="4" w:val="single"/>
              <w:left w:color="000000" w:sz="4" w:val="single"/>
              <w:bottom w:color="000000" w:sz="4" w:val="single"/>
              <w:right w:color="000000" w:sz="4" w:val="single"/>
            </w:tcBorders>
            <w:shd w:fill="FFFFFF" w:val="clear"/>
            <w:vAlign w:val="center"/>
          </w:tcPr>
          <w:p w14:paraId="7A0B0000">
            <w:pPr>
              <w:ind/>
              <w:jc w:val="center"/>
              <w:rPr>
                <w:sz w:val="20"/>
              </w:rPr>
            </w:pPr>
            <w:r>
              <w:rPr>
                <w:sz w:val="20"/>
              </w:rPr>
              <w:t>0,818</w:t>
            </w:r>
          </w:p>
        </w:tc>
        <w:tc>
          <w:tcPr>
            <w:tcW w:type="dxa" w:w="1682"/>
            <w:tcBorders>
              <w:top w:color="000000" w:sz="4" w:val="single"/>
              <w:left w:color="000000" w:sz="4" w:val="single"/>
              <w:bottom w:color="000000" w:sz="4" w:val="single"/>
              <w:right w:color="000000" w:sz="4" w:val="single"/>
            </w:tcBorders>
            <w:vAlign w:val="center"/>
          </w:tcPr>
          <w:p w14:paraId="7B0B0000">
            <w:pPr>
              <w:ind/>
              <w:jc w:val="center"/>
              <w:rPr>
                <w:sz w:val="20"/>
              </w:rPr>
            </w:pPr>
            <w:r>
              <w:rPr>
                <w:sz w:val="20"/>
              </w:rPr>
              <w:t>2,622</w:t>
            </w:r>
          </w:p>
        </w:tc>
      </w:tr>
      <w:tr>
        <w:trPr>
          <w:trHeight w:hRule="atLeast" w:val="189"/>
        </w:trPr>
        <w:tc>
          <w:tcPr>
            <w:tcW w:type="dxa" w:w="3644"/>
            <w:tcBorders>
              <w:top w:sz="4" w:val="nil"/>
              <w:left w:color="000000" w:sz="4" w:val="single"/>
              <w:bottom w:color="000000" w:sz="4" w:val="single"/>
              <w:right w:color="000000" w:sz="4" w:val="single"/>
            </w:tcBorders>
            <w:vAlign w:val="center"/>
          </w:tcPr>
          <w:p w14:paraId="7C0B0000">
            <w:pPr>
              <w:ind/>
              <w:jc w:val="center"/>
              <w:rPr>
                <w:sz w:val="20"/>
              </w:rPr>
            </w:pPr>
            <w:r>
              <w:rPr>
                <w:sz w:val="20"/>
              </w:rPr>
              <w:t>с. Русское, ул. Красноармейская, 8-а</w:t>
            </w:r>
          </w:p>
        </w:tc>
        <w:tc>
          <w:tcPr>
            <w:tcW w:type="dxa" w:w="1401"/>
            <w:tcBorders>
              <w:top w:sz="4" w:val="nil"/>
              <w:left w:sz="4" w:val="nil"/>
              <w:bottom w:color="000000" w:sz="4" w:val="single"/>
              <w:right w:color="000000" w:sz="4" w:val="single"/>
            </w:tcBorders>
            <w:vAlign w:val="center"/>
          </w:tcPr>
          <w:p w14:paraId="7D0B0000">
            <w:pPr>
              <w:ind/>
              <w:jc w:val="center"/>
              <w:rPr>
                <w:sz w:val="20"/>
              </w:rPr>
            </w:pPr>
            <w:r>
              <w:rPr>
                <w:sz w:val="20"/>
              </w:rPr>
              <w:t>0,165</w:t>
            </w:r>
          </w:p>
        </w:tc>
        <w:tc>
          <w:tcPr>
            <w:tcW w:type="dxa" w:w="1262"/>
            <w:tcBorders>
              <w:top w:sz="4" w:val="nil"/>
              <w:left w:sz="4" w:val="nil"/>
              <w:bottom w:color="000000" w:sz="4" w:val="single"/>
              <w:right w:color="000000" w:sz="4" w:val="single"/>
            </w:tcBorders>
            <w:vAlign w:val="center"/>
          </w:tcPr>
          <w:p w14:paraId="7E0B0000">
            <w:pPr>
              <w:ind/>
              <w:jc w:val="center"/>
              <w:rPr>
                <w:sz w:val="20"/>
              </w:rPr>
            </w:pPr>
            <w:r>
              <w:rPr>
                <w:sz w:val="20"/>
              </w:rPr>
              <w:t>0,165</w:t>
            </w:r>
          </w:p>
        </w:tc>
        <w:tc>
          <w:tcPr>
            <w:tcW w:type="dxa" w:w="1541"/>
            <w:tcBorders>
              <w:top w:color="000000" w:sz="4" w:val="single"/>
              <w:left w:color="000000" w:sz="4" w:val="single"/>
              <w:bottom w:color="000000" w:sz="4" w:val="single"/>
              <w:right w:color="000000" w:sz="4" w:val="single"/>
            </w:tcBorders>
            <w:vAlign w:val="center"/>
          </w:tcPr>
          <w:p w14:paraId="7F0B0000">
            <w:pPr>
              <w:ind/>
              <w:jc w:val="center"/>
              <w:rPr>
                <w:sz w:val="20"/>
              </w:rPr>
            </w:pPr>
            <w:r>
              <w:rPr>
                <w:sz w:val="20"/>
              </w:rPr>
              <w:t>0,165</w:t>
            </w:r>
          </w:p>
        </w:tc>
        <w:tc>
          <w:tcPr>
            <w:tcW w:type="dxa" w:w="1682"/>
            <w:tcBorders>
              <w:top w:color="000000" w:sz="4" w:val="single"/>
              <w:left w:sz="4" w:val="nil"/>
              <w:bottom w:color="000000" w:sz="4" w:val="single"/>
              <w:right w:color="000000" w:sz="4" w:val="single"/>
            </w:tcBorders>
            <w:vAlign w:val="center"/>
          </w:tcPr>
          <w:p w14:paraId="800B0000">
            <w:pPr>
              <w:ind/>
              <w:jc w:val="center"/>
              <w:rPr>
                <w:sz w:val="20"/>
              </w:rPr>
            </w:pPr>
            <w:r>
              <w:rPr>
                <w:sz w:val="20"/>
              </w:rPr>
              <w:t>-</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810B0000">
            <w:pPr>
              <w:spacing w:after="0" w:line="240" w:lineRule="auto"/>
              <w:ind/>
              <w:jc w:val="center"/>
              <w:rPr>
                <w:sz w:val="20"/>
              </w:rPr>
            </w:pPr>
            <w:r>
              <w:rPr>
                <w:sz w:val="20"/>
              </w:rPr>
              <w:t>с. Русское, ул. Героя Советского Союза М.П. Алексеева, 8</w:t>
            </w:r>
          </w:p>
        </w:tc>
        <w:tc>
          <w:tcPr>
            <w:tcW w:type="dxa" w:w="1401"/>
            <w:tcBorders>
              <w:top w:sz="4" w:val="nil"/>
              <w:left w:sz="4" w:val="nil"/>
              <w:bottom w:color="000000" w:sz="4" w:val="single"/>
              <w:right w:color="000000" w:sz="4" w:val="single"/>
            </w:tcBorders>
            <w:vAlign w:val="center"/>
          </w:tcPr>
          <w:p w14:paraId="820B0000">
            <w:pPr>
              <w:ind/>
              <w:jc w:val="center"/>
              <w:rPr>
                <w:sz w:val="20"/>
              </w:rPr>
            </w:pPr>
            <w:r>
              <w:rPr>
                <w:sz w:val="20"/>
              </w:rPr>
              <w:t>0,054</w:t>
            </w:r>
          </w:p>
        </w:tc>
        <w:tc>
          <w:tcPr>
            <w:tcW w:type="dxa" w:w="1262"/>
            <w:tcBorders>
              <w:top w:sz="4" w:val="nil"/>
              <w:left w:sz="4" w:val="nil"/>
              <w:bottom w:color="000000" w:sz="4" w:val="single"/>
              <w:right w:color="000000" w:sz="4" w:val="single"/>
            </w:tcBorders>
            <w:vAlign w:val="center"/>
          </w:tcPr>
          <w:p w14:paraId="830B0000">
            <w:pPr>
              <w:ind/>
              <w:jc w:val="center"/>
              <w:rPr>
                <w:sz w:val="20"/>
              </w:rPr>
            </w:pPr>
            <w:r>
              <w:rPr>
                <w:sz w:val="20"/>
              </w:rPr>
              <w:t>0,054</w:t>
            </w:r>
          </w:p>
        </w:tc>
        <w:tc>
          <w:tcPr>
            <w:tcW w:type="dxa" w:w="1541"/>
            <w:tcBorders>
              <w:top w:sz="4" w:val="nil"/>
              <w:left w:color="000000" w:sz="4" w:val="single"/>
              <w:bottom w:color="000000" w:sz="4" w:val="single"/>
              <w:right w:color="000000" w:sz="4" w:val="single"/>
            </w:tcBorders>
            <w:vAlign w:val="center"/>
          </w:tcPr>
          <w:p w14:paraId="840B0000">
            <w:pPr>
              <w:ind/>
              <w:jc w:val="center"/>
              <w:rPr>
                <w:sz w:val="20"/>
              </w:rPr>
            </w:pPr>
            <w:r>
              <w:rPr>
                <w:sz w:val="20"/>
              </w:rPr>
              <w:t>0,029</w:t>
            </w:r>
          </w:p>
        </w:tc>
        <w:tc>
          <w:tcPr>
            <w:tcW w:type="dxa" w:w="1682"/>
            <w:tcBorders>
              <w:top w:color="000000" w:sz="4" w:val="single"/>
              <w:left w:sz="4" w:val="nil"/>
              <w:bottom w:color="000000" w:sz="4" w:val="single"/>
              <w:right w:color="000000" w:sz="4" w:val="single"/>
            </w:tcBorders>
            <w:vAlign w:val="center"/>
          </w:tcPr>
          <w:p w14:paraId="850B0000">
            <w:pPr>
              <w:ind/>
              <w:jc w:val="center"/>
              <w:rPr>
                <w:sz w:val="20"/>
              </w:rPr>
            </w:pPr>
            <w:r>
              <w:rPr>
                <w:sz w:val="20"/>
              </w:rPr>
              <w:t>0,025</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860B0000">
            <w:pPr>
              <w:ind/>
              <w:jc w:val="center"/>
              <w:rPr>
                <w:sz w:val="20"/>
              </w:rPr>
            </w:pPr>
            <w:r>
              <w:rPr>
                <w:sz w:val="20"/>
              </w:rPr>
              <w:t>с. Куйбышево, ул. Театральная, 72</w:t>
            </w:r>
          </w:p>
        </w:tc>
        <w:tc>
          <w:tcPr>
            <w:tcW w:type="dxa" w:w="1401"/>
            <w:tcBorders>
              <w:top w:sz="4" w:val="nil"/>
              <w:left w:sz="4" w:val="nil"/>
              <w:bottom w:color="000000" w:sz="4" w:val="single"/>
              <w:right w:color="000000" w:sz="4" w:val="single"/>
            </w:tcBorders>
            <w:vAlign w:val="center"/>
          </w:tcPr>
          <w:p w14:paraId="870B0000">
            <w:pPr>
              <w:ind/>
              <w:jc w:val="center"/>
              <w:rPr>
                <w:sz w:val="20"/>
              </w:rPr>
            </w:pPr>
            <w:r>
              <w:rPr>
                <w:sz w:val="20"/>
              </w:rPr>
              <w:t>0,054</w:t>
            </w:r>
          </w:p>
        </w:tc>
        <w:tc>
          <w:tcPr>
            <w:tcW w:type="dxa" w:w="1262"/>
            <w:tcBorders>
              <w:top w:sz="4" w:val="nil"/>
              <w:left w:sz="4" w:val="nil"/>
              <w:bottom w:color="000000" w:sz="4" w:val="single"/>
              <w:right w:color="000000" w:sz="4" w:val="single"/>
            </w:tcBorders>
            <w:vAlign w:val="center"/>
          </w:tcPr>
          <w:p w14:paraId="880B0000">
            <w:pPr>
              <w:ind/>
              <w:jc w:val="center"/>
              <w:rPr>
                <w:sz w:val="20"/>
              </w:rPr>
            </w:pPr>
            <w:r>
              <w:rPr>
                <w:sz w:val="20"/>
              </w:rPr>
              <w:t>0,054</w:t>
            </w:r>
          </w:p>
        </w:tc>
        <w:tc>
          <w:tcPr>
            <w:tcW w:type="dxa" w:w="1541"/>
            <w:tcBorders>
              <w:top w:sz="4" w:val="nil"/>
              <w:left w:color="000000" w:sz="4" w:val="single"/>
              <w:bottom w:color="000000" w:sz="4" w:val="single"/>
              <w:right w:color="000000" w:sz="4" w:val="single"/>
            </w:tcBorders>
            <w:vAlign w:val="center"/>
          </w:tcPr>
          <w:p w14:paraId="890B0000">
            <w:pPr>
              <w:ind/>
              <w:jc w:val="center"/>
              <w:rPr>
                <w:sz w:val="20"/>
              </w:rPr>
            </w:pPr>
            <w:r>
              <w:rPr>
                <w:sz w:val="20"/>
              </w:rPr>
              <w:t>0,028</w:t>
            </w:r>
          </w:p>
        </w:tc>
        <w:tc>
          <w:tcPr>
            <w:tcW w:type="dxa" w:w="1682"/>
            <w:tcBorders>
              <w:top w:color="000000" w:sz="4" w:val="single"/>
              <w:left w:sz="4" w:val="nil"/>
              <w:bottom w:color="000000" w:sz="4" w:val="single"/>
              <w:right w:color="000000" w:sz="4" w:val="single"/>
            </w:tcBorders>
            <w:vAlign w:val="center"/>
          </w:tcPr>
          <w:p w14:paraId="8A0B0000">
            <w:pPr>
              <w:ind/>
              <w:jc w:val="center"/>
              <w:rPr>
                <w:sz w:val="20"/>
              </w:rPr>
            </w:pPr>
            <w:r>
              <w:rPr>
                <w:sz w:val="20"/>
              </w:rPr>
              <w:t>0,026</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8B0B0000">
            <w:pPr>
              <w:ind/>
              <w:jc w:val="center"/>
              <w:rPr>
                <w:sz w:val="20"/>
              </w:rPr>
            </w:pPr>
            <w:r>
              <w:rPr>
                <w:sz w:val="20"/>
              </w:rPr>
              <w:t>с. Куйбышево, ул. Пролетарская, 2 а</w:t>
            </w:r>
          </w:p>
        </w:tc>
        <w:tc>
          <w:tcPr>
            <w:tcW w:type="dxa" w:w="1401"/>
            <w:tcBorders>
              <w:top w:sz="4" w:val="nil"/>
              <w:left w:sz="4" w:val="nil"/>
              <w:bottom w:color="000000" w:sz="4" w:val="single"/>
              <w:right w:color="000000" w:sz="4" w:val="single"/>
            </w:tcBorders>
            <w:vAlign w:val="center"/>
          </w:tcPr>
          <w:p w14:paraId="8C0B0000">
            <w:pPr>
              <w:ind/>
              <w:jc w:val="center"/>
              <w:rPr>
                <w:sz w:val="20"/>
              </w:rPr>
            </w:pPr>
            <w:r>
              <w:rPr>
                <w:sz w:val="20"/>
              </w:rPr>
              <w:t>0,086</w:t>
            </w:r>
          </w:p>
        </w:tc>
        <w:tc>
          <w:tcPr>
            <w:tcW w:type="dxa" w:w="1262"/>
            <w:tcBorders>
              <w:top w:sz="4" w:val="nil"/>
              <w:left w:sz="4" w:val="nil"/>
              <w:bottom w:color="000000" w:sz="4" w:val="single"/>
              <w:right w:color="000000" w:sz="4" w:val="single"/>
            </w:tcBorders>
            <w:vAlign w:val="center"/>
          </w:tcPr>
          <w:p w14:paraId="8D0B0000">
            <w:pPr>
              <w:ind/>
              <w:jc w:val="center"/>
              <w:rPr>
                <w:sz w:val="20"/>
              </w:rPr>
            </w:pPr>
            <w:r>
              <w:rPr>
                <w:sz w:val="20"/>
              </w:rPr>
              <w:t>0,086</w:t>
            </w:r>
          </w:p>
        </w:tc>
        <w:tc>
          <w:tcPr>
            <w:tcW w:type="dxa" w:w="1541"/>
            <w:tcBorders>
              <w:top w:sz="4" w:val="nil"/>
              <w:left w:color="000000" w:sz="4" w:val="single"/>
              <w:bottom w:color="000000" w:sz="4" w:val="single"/>
              <w:right w:color="000000" w:sz="4" w:val="single"/>
            </w:tcBorders>
            <w:vAlign w:val="center"/>
          </w:tcPr>
          <w:p w14:paraId="8E0B0000">
            <w:pPr>
              <w:ind/>
              <w:jc w:val="center"/>
              <w:rPr>
                <w:sz w:val="20"/>
              </w:rPr>
            </w:pPr>
            <w:r>
              <w:rPr>
                <w:sz w:val="20"/>
              </w:rPr>
              <w:t>0,086</w:t>
            </w:r>
          </w:p>
        </w:tc>
        <w:tc>
          <w:tcPr>
            <w:tcW w:type="dxa" w:w="1682"/>
            <w:tcBorders>
              <w:top w:color="000000" w:sz="4" w:val="single"/>
              <w:left w:sz="4" w:val="nil"/>
              <w:bottom w:color="000000" w:sz="4" w:val="single"/>
              <w:right w:color="000000" w:sz="4" w:val="single"/>
            </w:tcBorders>
            <w:vAlign w:val="center"/>
          </w:tcPr>
          <w:p w14:paraId="8F0B0000">
            <w:pPr>
              <w:ind/>
              <w:jc w:val="center"/>
              <w:rPr>
                <w:sz w:val="20"/>
              </w:rPr>
            </w:pPr>
            <w:r>
              <w:rPr>
                <w:sz w:val="20"/>
              </w:rPr>
              <w:t>-</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900B0000">
            <w:pPr>
              <w:ind/>
              <w:jc w:val="center"/>
              <w:rPr>
                <w:sz w:val="20"/>
              </w:rPr>
            </w:pPr>
            <w:r>
              <w:rPr>
                <w:sz w:val="20"/>
              </w:rPr>
              <w:t>с. Куйбышево, ул. Кузьменко, 3 а</w:t>
            </w:r>
          </w:p>
        </w:tc>
        <w:tc>
          <w:tcPr>
            <w:tcW w:type="dxa" w:w="1401"/>
            <w:tcBorders>
              <w:top w:sz="4" w:val="nil"/>
              <w:left w:sz="4" w:val="nil"/>
              <w:bottom w:color="000000" w:sz="4" w:val="single"/>
              <w:right w:color="000000" w:sz="4" w:val="single"/>
            </w:tcBorders>
            <w:vAlign w:val="center"/>
          </w:tcPr>
          <w:p w14:paraId="910B0000">
            <w:pPr>
              <w:ind/>
              <w:jc w:val="center"/>
              <w:rPr>
                <w:sz w:val="20"/>
              </w:rPr>
            </w:pPr>
            <w:r>
              <w:rPr>
                <w:sz w:val="20"/>
              </w:rPr>
              <w:t>0,172</w:t>
            </w:r>
          </w:p>
        </w:tc>
        <w:tc>
          <w:tcPr>
            <w:tcW w:type="dxa" w:w="1262"/>
            <w:tcBorders>
              <w:top w:sz="4" w:val="nil"/>
              <w:left w:sz="4" w:val="nil"/>
              <w:bottom w:color="000000" w:sz="4" w:val="single"/>
              <w:right w:color="000000" w:sz="4" w:val="single"/>
            </w:tcBorders>
            <w:vAlign w:val="center"/>
          </w:tcPr>
          <w:p w14:paraId="920B0000">
            <w:pPr>
              <w:ind/>
              <w:jc w:val="center"/>
              <w:rPr>
                <w:sz w:val="20"/>
              </w:rPr>
            </w:pPr>
            <w:r>
              <w:rPr>
                <w:sz w:val="20"/>
              </w:rPr>
              <w:t>0,172</w:t>
            </w:r>
          </w:p>
        </w:tc>
        <w:tc>
          <w:tcPr>
            <w:tcW w:type="dxa" w:w="1541"/>
            <w:tcBorders>
              <w:top w:sz="4" w:val="nil"/>
              <w:left w:color="000000" w:sz="4" w:val="single"/>
              <w:bottom w:color="000000" w:sz="4" w:val="single"/>
              <w:right w:color="000000" w:sz="4" w:val="single"/>
            </w:tcBorders>
            <w:vAlign w:val="center"/>
          </w:tcPr>
          <w:p w14:paraId="930B0000">
            <w:pPr>
              <w:ind/>
              <w:jc w:val="center"/>
              <w:rPr>
                <w:sz w:val="20"/>
              </w:rPr>
            </w:pPr>
            <w:r>
              <w:rPr>
                <w:sz w:val="20"/>
              </w:rPr>
              <w:t>0,105</w:t>
            </w:r>
          </w:p>
        </w:tc>
        <w:tc>
          <w:tcPr>
            <w:tcW w:type="dxa" w:w="1682"/>
            <w:tcBorders>
              <w:top w:color="000000" w:sz="4" w:val="single"/>
              <w:left w:sz="4" w:val="nil"/>
              <w:bottom w:color="000000" w:sz="4" w:val="single"/>
              <w:right w:color="000000" w:sz="4" w:val="single"/>
            </w:tcBorders>
            <w:vAlign w:val="center"/>
          </w:tcPr>
          <w:p w14:paraId="940B0000">
            <w:pPr>
              <w:ind/>
              <w:jc w:val="center"/>
              <w:rPr>
                <w:sz w:val="20"/>
              </w:rPr>
            </w:pPr>
            <w:r>
              <w:rPr>
                <w:sz w:val="20"/>
              </w:rPr>
              <w:t>0,067</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950B0000">
            <w:pPr>
              <w:ind/>
              <w:jc w:val="center"/>
              <w:rPr>
                <w:sz w:val="20"/>
              </w:rPr>
            </w:pPr>
            <w:r>
              <w:rPr>
                <w:sz w:val="20"/>
              </w:rPr>
              <w:t>х. Свободный, ул. Молодёжная, 8</w:t>
            </w:r>
          </w:p>
        </w:tc>
        <w:tc>
          <w:tcPr>
            <w:tcW w:type="dxa" w:w="1401"/>
            <w:tcBorders>
              <w:top w:sz="4" w:val="nil"/>
              <w:left w:sz="4" w:val="nil"/>
              <w:bottom w:color="000000" w:sz="4" w:val="single"/>
              <w:right w:color="000000" w:sz="4" w:val="single"/>
            </w:tcBorders>
            <w:vAlign w:val="center"/>
          </w:tcPr>
          <w:p w14:paraId="960B0000">
            <w:pPr>
              <w:ind/>
              <w:jc w:val="center"/>
              <w:rPr>
                <w:sz w:val="20"/>
              </w:rPr>
            </w:pPr>
            <w:r>
              <w:rPr>
                <w:sz w:val="20"/>
              </w:rPr>
              <w:t>0,126</w:t>
            </w:r>
          </w:p>
        </w:tc>
        <w:tc>
          <w:tcPr>
            <w:tcW w:type="dxa" w:w="1262"/>
            <w:tcBorders>
              <w:top w:sz="4" w:val="nil"/>
              <w:left w:sz="4" w:val="nil"/>
              <w:bottom w:color="000000" w:sz="4" w:val="single"/>
              <w:right w:color="000000" w:sz="4" w:val="single"/>
            </w:tcBorders>
            <w:vAlign w:val="center"/>
          </w:tcPr>
          <w:p w14:paraId="970B0000">
            <w:pPr>
              <w:ind/>
              <w:jc w:val="center"/>
              <w:rPr>
                <w:sz w:val="20"/>
              </w:rPr>
            </w:pPr>
            <w:r>
              <w:rPr>
                <w:sz w:val="20"/>
              </w:rPr>
              <w:t>0,126</w:t>
            </w:r>
          </w:p>
        </w:tc>
        <w:tc>
          <w:tcPr>
            <w:tcW w:type="dxa" w:w="1541"/>
            <w:tcBorders>
              <w:top w:sz="4" w:val="nil"/>
              <w:left w:color="000000" w:sz="4" w:val="single"/>
              <w:bottom w:color="000000" w:sz="4" w:val="single"/>
              <w:right w:color="000000" w:sz="4" w:val="single"/>
            </w:tcBorders>
            <w:vAlign w:val="center"/>
          </w:tcPr>
          <w:p w14:paraId="980B0000">
            <w:pPr>
              <w:ind/>
              <w:jc w:val="center"/>
              <w:rPr>
                <w:sz w:val="20"/>
              </w:rPr>
            </w:pPr>
            <w:r>
              <w:rPr>
                <w:sz w:val="20"/>
              </w:rPr>
              <w:t>0,045</w:t>
            </w:r>
          </w:p>
        </w:tc>
        <w:tc>
          <w:tcPr>
            <w:tcW w:type="dxa" w:w="1682"/>
            <w:tcBorders>
              <w:top w:color="000000" w:sz="4" w:val="single"/>
              <w:left w:sz="4" w:val="nil"/>
              <w:bottom w:color="000000" w:sz="4" w:val="single"/>
              <w:right w:color="000000" w:sz="4" w:val="single"/>
            </w:tcBorders>
            <w:vAlign w:val="center"/>
          </w:tcPr>
          <w:p w14:paraId="990B0000">
            <w:pPr>
              <w:ind/>
              <w:jc w:val="center"/>
              <w:rPr>
                <w:sz w:val="20"/>
              </w:rPr>
            </w:pPr>
            <w:r>
              <w:rPr>
                <w:sz w:val="20"/>
              </w:rPr>
              <w:t>0,081</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9A0B0000">
            <w:pPr>
              <w:ind/>
              <w:jc w:val="center"/>
              <w:rPr>
                <w:sz w:val="20"/>
              </w:rPr>
            </w:pPr>
            <w:r>
              <w:rPr>
                <w:sz w:val="20"/>
              </w:rPr>
              <w:t>х. Ольховский, ул. Центральная, 3 а</w:t>
            </w:r>
          </w:p>
        </w:tc>
        <w:tc>
          <w:tcPr>
            <w:tcW w:type="dxa" w:w="1401"/>
            <w:tcBorders>
              <w:top w:sz="4" w:val="nil"/>
              <w:left w:sz="4" w:val="nil"/>
              <w:bottom w:color="000000" w:sz="4" w:val="single"/>
              <w:right w:color="000000" w:sz="4" w:val="single"/>
            </w:tcBorders>
            <w:vAlign w:val="center"/>
          </w:tcPr>
          <w:p w14:paraId="9B0B0000">
            <w:pPr>
              <w:ind/>
              <w:jc w:val="center"/>
              <w:rPr>
                <w:sz w:val="20"/>
              </w:rPr>
            </w:pPr>
            <w:r>
              <w:rPr>
                <w:sz w:val="20"/>
              </w:rPr>
              <w:t>0,052</w:t>
            </w:r>
          </w:p>
        </w:tc>
        <w:tc>
          <w:tcPr>
            <w:tcW w:type="dxa" w:w="1262"/>
            <w:tcBorders>
              <w:top w:sz="4" w:val="nil"/>
              <w:left w:sz="4" w:val="nil"/>
              <w:bottom w:color="000000" w:sz="4" w:val="single"/>
              <w:right w:color="000000" w:sz="4" w:val="single"/>
            </w:tcBorders>
            <w:vAlign w:val="center"/>
          </w:tcPr>
          <w:p w14:paraId="9C0B0000">
            <w:pPr>
              <w:ind/>
              <w:jc w:val="center"/>
              <w:rPr>
                <w:sz w:val="20"/>
              </w:rPr>
            </w:pPr>
            <w:r>
              <w:rPr>
                <w:sz w:val="20"/>
              </w:rPr>
              <w:t>0,052</w:t>
            </w:r>
          </w:p>
        </w:tc>
        <w:tc>
          <w:tcPr>
            <w:tcW w:type="dxa" w:w="1541"/>
            <w:tcBorders>
              <w:top w:sz="4" w:val="nil"/>
              <w:left w:color="000000" w:sz="4" w:val="single"/>
              <w:bottom w:color="000000" w:sz="4" w:val="single"/>
              <w:right w:color="000000" w:sz="4" w:val="single"/>
            </w:tcBorders>
            <w:vAlign w:val="center"/>
          </w:tcPr>
          <w:p w14:paraId="9D0B0000">
            <w:pPr>
              <w:ind/>
              <w:jc w:val="center"/>
              <w:rPr>
                <w:sz w:val="20"/>
              </w:rPr>
            </w:pPr>
            <w:r>
              <w:rPr>
                <w:sz w:val="20"/>
              </w:rPr>
              <w:t>0,026</w:t>
            </w:r>
          </w:p>
        </w:tc>
        <w:tc>
          <w:tcPr>
            <w:tcW w:type="dxa" w:w="1682"/>
            <w:tcBorders>
              <w:top w:color="000000" w:sz="4" w:val="single"/>
              <w:left w:sz="4" w:val="nil"/>
              <w:bottom w:color="000000" w:sz="4" w:val="single"/>
              <w:right w:color="000000" w:sz="4" w:val="single"/>
            </w:tcBorders>
            <w:vAlign w:val="center"/>
          </w:tcPr>
          <w:p w14:paraId="9E0B0000">
            <w:pPr>
              <w:ind/>
              <w:jc w:val="center"/>
              <w:rPr>
                <w:sz w:val="20"/>
              </w:rPr>
            </w:pPr>
            <w:r>
              <w:rPr>
                <w:sz w:val="20"/>
              </w:rPr>
              <w:t>0,026</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9F0B0000">
            <w:pPr>
              <w:ind/>
              <w:jc w:val="center"/>
              <w:rPr>
                <w:sz w:val="20"/>
              </w:rPr>
            </w:pPr>
            <w:r>
              <w:rPr>
                <w:sz w:val="20"/>
              </w:rPr>
              <w:t>с. Куйбышево, ул. Пролетарская, 5</w:t>
            </w:r>
          </w:p>
        </w:tc>
        <w:tc>
          <w:tcPr>
            <w:tcW w:type="dxa" w:w="1401"/>
            <w:tcBorders>
              <w:top w:sz="4" w:val="nil"/>
              <w:left w:sz="4" w:val="nil"/>
              <w:bottom w:color="000000" w:sz="4" w:val="single"/>
              <w:right w:color="000000" w:sz="4" w:val="single"/>
            </w:tcBorders>
            <w:vAlign w:val="center"/>
          </w:tcPr>
          <w:p w14:paraId="A00B0000">
            <w:pPr>
              <w:ind/>
              <w:jc w:val="center"/>
              <w:rPr>
                <w:sz w:val="20"/>
              </w:rPr>
            </w:pPr>
            <w:r>
              <w:rPr>
                <w:sz w:val="20"/>
              </w:rPr>
              <w:t>0,034</w:t>
            </w:r>
          </w:p>
        </w:tc>
        <w:tc>
          <w:tcPr>
            <w:tcW w:type="dxa" w:w="1262"/>
            <w:tcBorders>
              <w:top w:sz="4" w:val="nil"/>
              <w:left w:sz="4" w:val="nil"/>
              <w:bottom w:color="000000" w:sz="4" w:val="single"/>
              <w:right w:color="000000" w:sz="4" w:val="single"/>
            </w:tcBorders>
            <w:vAlign w:val="center"/>
          </w:tcPr>
          <w:p w14:paraId="A10B0000">
            <w:pPr>
              <w:ind/>
              <w:jc w:val="center"/>
              <w:rPr>
                <w:sz w:val="20"/>
              </w:rPr>
            </w:pPr>
            <w:r>
              <w:rPr>
                <w:sz w:val="20"/>
              </w:rPr>
              <w:t>0,034</w:t>
            </w:r>
          </w:p>
        </w:tc>
        <w:tc>
          <w:tcPr>
            <w:tcW w:type="dxa" w:w="1541"/>
            <w:tcBorders>
              <w:top w:sz="4" w:val="nil"/>
              <w:left w:color="000000" w:sz="4" w:val="single"/>
              <w:bottom w:color="000000" w:sz="4" w:val="single"/>
              <w:right w:color="000000" w:sz="4" w:val="single"/>
            </w:tcBorders>
            <w:vAlign w:val="center"/>
          </w:tcPr>
          <w:p w14:paraId="A20B0000">
            <w:pPr>
              <w:ind/>
              <w:jc w:val="center"/>
              <w:rPr>
                <w:sz w:val="20"/>
              </w:rPr>
            </w:pPr>
            <w:r>
              <w:rPr>
                <w:sz w:val="20"/>
              </w:rPr>
              <w:t>0,034</w:t>
            </w:r>
          </w:p>
        </w:tc>
        <w:tc>
          <w:tcPr>
            <w:tcW w:type="dxa" w:w="1682"/>
            <w:tcBorders>
              <w:top w:color="000000" w:sz="4" w:val="single"/>
              <w:left w:sz="4" w:val="nil"/>
              <w:bottom w:color="000000" w:sz="4" w:val="single"/>
              <w:right w:color="000000" w:sz="4" w:val="single"/>
            </w:tcBorders>
            <w:vAlign w:val="center"/>
          </w:tcPr>
          <w:p w14:paraId="A30B0000">
            <w:pPr>
              <w:ind/>
              <w:jc w:val="center"/>
              <w:rPr>
                <w:sz w:val="20"/>
              </w:rPr>
            </w:pPr>
            <w:r>
              <w:rPr>
                <w:sz w:val="20"/>
              </w:rPr>
              <w:t>-</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A40B0000">
            <w:pPr>
              <w:ind/>
              <w:jc w:val="center"/>
              <w:rPr>
                <w:sz w:val="20"/>
              </w:rPr>
            </w:pPr>
            <w:r>
              <w:rPr>
                <w:sz w:val="20"/>
              </w:rPr>
              <w:t xml:space="preserve">с. </w:t>
            </w:r>
            <w:r>
              <w:rPr>
                <w:sz w:val="20"/>
              </w:rPr>
              <w:t>Куйбышево, ул. Театральная, 22</w:t>
            </w:r>
          </w:p>
        </w:tc>
        <w:tc>
          <w:tcPr>
            <w:tcW w:type="dxa" w:w="1401"/>
            <w:tcBorders>
              <w:top w:sz="4" w:val="nil"/>
              <w:left w:sz="4" w:val="nil"/>
              <w:bottom w:color="000000" w:sz="4" w:val="single"/>
              <w:right w:color="000000" w:sz="4" w:val="single"/>
            </w:tcBorders>
            <w:vAlign w:val="center"/>
          </w:tcPr>
          <w:p w14:paraId="A50B0000">
            <w:pPr>
              <w:ind/>
              <w:jc w:val="center"/>
              <w:rPr>
                <w:sz w:val="20"/>
              </w:rPr>
            </w:pPr>
            <w:r>
              <w:rPr>
                <w:sz w:val="20"/>
              </w:rPr>
              <w:t>0,165</w:t>
            </w:r>
          </w:p>
        </w:tc>
        <w:tc>
          <w:tcPr>
            <w:tcW w:type="dxa" w:w="1262"/>
            <w:tcBorders>
              <w:top w:sz="4" w:val="nil"/>
              <w:left w:sz="4" w:val="nil"/>
              <w:bottom w:color="000000" w:sz="4" w:val="single"/>
              <w:right w:color="000000" w:sz="4" w:val="single"/>
            </w:tcBorders>
            <w:vAlign w:val="center"/>
          </w:tcPr>
          <w:p w14:paraId="A60B0000">
            <w:pPr>
              <w:ind/>
              <w:jc w:val="center"/>
              <w:rPr>
                <w:sz w:val="20"/>
              </w:rPr>
            </w:pPr>
            <w:r>
              <w:rPr>
                <w:sz w:val="20"/>
              </w:rPr>
              <w:t>0,165</w:t>
            </w:r>
          </w:p>
        </w:tc>
        <w:tc>
          <w:tcPr>
            <w:tcW w:type="dxa" w:w="1541"/>
            <w:tcBorders>
              <w:top w:sz="4" w:val="nil"/>
              <w:left w:color="000000" w:sz="4" w:val="single"/>
              <w:bottom w:color="000000" w:sz="4" w:val="single"/>
              <w:right w:color="000000" w:sz="4" w:val="single"/>
            </w:tcBorders>
            <w:vAlign w:val="center"/>
          </w:tcPr>
          <w:p w14:paraId="A70B0000">
            <w:pPr>
              <w:ind/>
              <w:jc w:val="center"/>
              <w:rPr>
                <w:sz w:val="20"/>
              </w:rPr>
            </w:pPr>
            <w:r>
              <w:rPr>
                <w:sz w:val="20"/>
              </w:rPr>
              <w:t>0,141</w:t>
            </w:r>
          </w:p>
        </w:tc>
        <w:tc>
          <w:tcPr>
            <w:tcW w:type="dxa" w:w="1682"/>
            <w:tcBorders>
              <w:top w:color="000000" w:sz="4" w:val="single"/>
              <w:left w:sz="4" w:val="nil"/>
              <w:bottom w:color="000000" w:sz="4" w:val="single"/>
              <w:right w:color="000000" w:sz="4" w:val="single"/>
            </w:tcBorders>
            <w:vAlign w:val="center"/>
          </w:tcPr>
          <w:p w14:paraId="A80B0000">
            <w:pPr>
              <w:ind/>
              <w:jc w:val="center"/>
              <w:rPr>
                <w:sz w:val="20"/>
              </w:rPr>
            </w:pPr>
            <w:r>
              <w:rPr>
                <w:sz w:val="20"/>
              </w:rPr>
              <w:t>0,024</w:t>
            </w:r>
          </w:p>
        </w:tc>
      </w:tr>
      <w:tr>
        <w:trPr>
          <w:trHeight w:hRule="atLeast" w:val="389"/>
        </w:trPr>
        <w:tc>
          <w:tcPr>
            <w:tcW w:type="dxa" w:w="3644"/>
            <w:tcBorders>
              <w:top w:sz="4" w:val="nil"/>
              <w:left w:color="000000" w:sz="4" w:val="single"/>
              <w:bottom w:color="000000" w:sz="4" w:val="single"/>
              <w:right w:color="000000" w:sz="4" w:val="single"/>
            </w:tcBorders>
            <w:vAlign w:val="center"/>
          </w:tcPr>
          <w:p w14:paraId="A90B0000">
            <w:pPr>
              <w:ind/>
              <w:jc w:val="center"/>
              <w:rPr>
                <w:sz w:val="20"/>
              </w:rPr>
            </w:pPr>
            <w:r>
              <w:rPr>
                <w:sz w:val="20"/>
              </w:rPr>
              <w:t>х. Свободный, ул. Победы, 29</w:t>
            </w:r>
          </w:p>
        </w:tc>
        <w:tc>
          <w:tcPr>
            <w:tcW w:type="dxa" w:w="1401"/>
            <w:tcBorders>
              <w:top w:sz="4" w:val="nil"/>
              <w:left w:sz="4" w:val="nil"/>
              <w:bottom w:color="000000" w:sz="4" w:val="single"/>
              <w:right w:color="000000" w:sz="4" w:val="single"/>
            </w:tcBorders>
            <w:vAlign w:val="center"/>
          </w:tcPr>
          <w:p w14:paraId="AA0B0000">
            <w:pPr>
              <w:ind/>
              <w:jc w:val="center"/>
              <w:rPr>
                <w:sz w:val="20"/>
              </w:rPr>
            </w:pPr>
            <w:r>
              <w:rPr>
                <w:sz w:val="20"/>
              </w:rPr>
              <w:t>0,014</w:t>
            </w:r>
          </w:p>
        </w:tc>
        <w:tc>
          <w:tcPr>
            <w:tcW w:type="dxa" w:w="1262"/>
            <w:tcBorders>
              <w:top w:sz="4" w:val="nil"/>
              <w:left w:sz="4" w:val="nil"/>
              <w:bottom w:color="000000" w:sz="4" w:val="single"/>
              <w:right w:color="000000" w:sz="4" w:val="single"/>
            </w:tcBorders>
            <w:vAlign w:val="center"/>
          </w:tcPr>
          <w:p w14:paraId="AB0B0000">
            <w:pPr>
              <w:ind/>
              <w:jc w:val="center"/>
              <w:rPr>
                <w:sz w:val="20"/>
              </w:rPr>
            </w:pPr>
            <w:r>
              <w:rPr>
                <w:sz w:val="20"/>
              </w:rPr>
              <w:t>0,014</w:t>
            </w:r>
          </w:p>
        </w:tc>
        <w:tc>
          <w:tcPr>
            <w:tcW w:type="dxa" w:w="1541"/>
            <w:tcBorders>
              <w:top w:sz="4" w:val="nil"/>
              <w:left w:color="000000" w:sz="4" w:val="single"/>
              <w:bottom w:color="000000" w:sz="4" w:val="single"/>
              <w:right w:color="000000" w:sz="4" w:val="single"/>
            </w:tcBorders>
            <w:vAlign w:val="center"/>
          </w:tcPr>
          <w:p w14:paraId="AC0B0000">
            <w:pPr>
              <w:ind/>
              <w:jc w:val="center"/>
              <w:rPr>
                <w:sz w:val="20"/>
              </w:rPr>
            </w:pPr>
            <w:r>
              <w:rPr>
                <w:sz w:val="20"/>
              </w:rPr>
              <w:t>0,013</w:t>
            </w:r>
          </w:p>
        </w:tc>
        <w:tc>
          <w:tcPr>
            <w:tcW w:type="dxa" w:w="1682"/>
            <w:tcBorders>
              <w:top w:color="000000" w:sz="4" w:val="single"/>
              <w:left w:sz="4" w:val="nil"/>
              <w:bottom w:color="000000" w:sz="4" w:val="single"/>
              <w:right w:color="000000" w:sz="4" w:val="single"/>
            </w:tcBorders>
            <w:vAlign w:val="center"/>
          </w:tcPr>
          <w:p w14:paraId="AD0B0000">
            <w:pPr>
              <w:ind/>
              <w:jc w:val="center"/>
              <w:rPr>
                <w:sz w:val="20"/>
              </w:rPr>
            </w:pPr>
            <w:r>
              <w:rPr>
                <w:sz w:val="20"/>
              </w:rPr>
              <w:t>0,001</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AE0B0000">
            <w:pPr>
              <w:ind/>
              <w:jc w:val="center"/>
              <w:rPr>
                <w:sz w:val="20"/>
              </w:rPr>
            </w:pPr>
            <w:r>
              <w:rPr>
                <w:sz w:val="20"/>
              </w:rPr>
              <w:t>х. Новобахмутский, ул. Широкая, 89 а</w:t>
            </w:r>
          </w:p>
        </w:tc>
        <w:tc>
          <w:tcPr>
            <w:tcW w:type="dxa" w:w="1401"/>
            <w:tcBorders>
              <w:top w:sz="4" w:val="nil"/>
              <w:left w:sz="4" w:val="nil"/>
              <w:bottom w:color="000000" w:sz="4" w:val="single"/>
              <w:right w:color="000000" w:sz="4" w:val="single"/>
            </w:tcBorders>
            <w:vAlign w:val="center"/>
          </w:tcPr>
          <w:p w14:paraId="AF0B0000">
            <w:pPr>
              <w:ind/>
              <w:jc w:val="center"/>
              <w:rPr>
                <w:sz w:val="20"/>
              </w:rPr>
            </w:pPr>
            <w:r>
              <w:rPr>
                <w:sz w:val="20"/>
              </w:rPr>
              <w:t>0,014</w:t>
            </w:r>
          </w:p>
        </w:tc>
        <w:tc>
          <w:tcPr>
            <w:tcW w:type="dxa" w:w="1262"/>
            <w:tcBorders>
              <w:top w:sz="4" w:val="nil"/>
              <w:left w:sz="4" w:val="nil"/>
              <w:bottom w:color="000000" w:sz="4" w:val="single"/>
              <w:right w:color="000000" w:sz="4" w:val="single"/>
            </w:tcBorders>
            <w:vAlign w:val="center"/>
          </w:tcPr>
          <w:p w14:paraId="B00B0000">
            <w:pPr>
              <w:ind/>
              <w:jc w:val="center"/>
              <w:rPr>
                <w:sz w:val="20"/>
              </w:rPr>
            </w:pPr>
            <w:r>
              <w:rPr>
                <w:sz w:val="20"/>
              </w:rPr>
              <w:t>0,014</w:t>
            </w:r>
          </w:p>
        </w:tc>
        <w:tc>
          <w:tcPr>
            <w:tcW w:type="dxa" w:w="1541"/>
            <w:tcBorders>
              <w:top w:sz="4" w:val="nil"/>
              <w:left w:color="000000" w:sz="4" w:val="single"/>
              <w:bottom w:color="000000" w:sz="4" w:val="single"/>
              <w:right w:color="000000" w:sz="4" w:val="single"/>
            </w:tcBorders>
            <w:vAlign w:val="center"/>
          </w:tcPr>
          <w:p w14:paraId="B10B0000">
            <w:pPr>
              <w:ind/>
              <w:jc w:val="center"/>
              <w:rPr>
                <w:sz w:val="20"/>
              </w:rPr>
            </w:pPr>
            <w:r>
              <w:rPr>
                <w:sz w:val="20"/>
              </w:rPr>
              <w:t>0,014</w:t>
            </w:r>
          </w:p>
        </w:tc>
        <w:tc>
          <w:tcPr>
            <w:tcW w:type="dxa" w:w="1682"/>
            <w:tcBorders>
              <w:top w:color="000000" w:sz="4" w:val="single"/>
              <w:left w:sz="4" w:val="nil"/>
              <w:bottom w:color="000000" w:sz="4" w:val="single"/>
              <w:right w:color="000000" w:sz="4" w:val="single"/>
            </w:tcBorders>
            <w:vAlign w:val="center"/>
          </w:tcPr>
          <w:p w14:paraId="B20B0000">
            <w:pPr>
              <w:ind/>
              <w:jc w:val="center"/>
              <w:rPr>
                <w:sz w:val="20"/>
              </w:rPr>
            </w:pPr>
            <w:r>
              <w:rPr>
                <w:sz w:val="20"/>
              </w:rPr>
              <w:t>-</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B30B0000">
            <w:pPr>
              <w:ind/>
              <w:jc w:val="center"/>
              <w:rPr>
                <w:sz w:val="20"/>
              </w:rPr>
            </w:pPr>
            <w:r>
              <w:rPr>
                <w:sz w:val="20"/>
              </w:rPr>
              <w:t>с. Русское, ул. Красноармейская, 1</w:t>
            </w:r>
          </w:p>
        </w:tc>
        <w:tc>
          <w:tcPr>
            <w:tcW w:type="dxa" w:w="1401"/>
            <w:tcBorders>
              <w:top w:sz="4" w:val="nil"/>
              <w:left w:sz="4" w:val="nil"/>
              <w:bottom w:color="000000" w:sz="4" w:val="single"/>
              <w:right w:color="000000" w:sz="4" w:val="single"/>
            </w:tcBorders>
            <w:vAlign w:val="center"/>
          </w:tcPr>
          <w:p w14:paraId="B40B0000">
            <w:pPr>
              <w:ind/>
              <w:jc w:val="center"/>
              <w:rPr>
                <w:sz w:val="20"/>
              </w:rPr>
            </w:pPr>
            <w:r>
              <w:rPr>
                <w:sz w:val="20"/>
              </w:rPr>
              <w:t>0,094</w:t>
            </w:r>
          </w:p>
        </w:tc>
        <w:tc>
          <w:tcPr>
            <w:tcW w:type="dxa" w:w="1262"/>
            <w:tcBorders>
              <w:top w:sz="4" w:val="nil"/>
              <w:left w:sz="4" w:val="nil"/>
              <w:bottom w:color="000000" w:sz="4" w:val="single"/>
              <w:right w:color="000000" w:sz="4" w:val="single"/>
            </w:tcBorders>
            <w:vAlign w:val="center"/>
          </w:tcPr>
          <w:p w14:paraId="B50B0000">
            <w:pPr>
              <w:ind/>
              <w:jc w:val="center"/>
              <w:rPr>
                <w:sz w:val="20"/>
              </w:rPr>
            </w:pPr>
            <w:r>
              <w:rPr>
                <w:sz w:val="20"/>
              </w:rPr>
              <w:t>0,094</w:t>
            </w:r>
          </w:p>
        </w:tc>
        <w:tc>
          <w:tcPr>
            <w:tcW w:type="dxa" w:w="1541"/>
            <w:tcBorders>
              <w:top w:sz="4" w:val="nil"/>
              <w:left w:color="000000" w:sz="4" w:val="single"/>
              <w:bottom w:color="000000" w:sz="4" w:val="single"/>
              <w:right w:color="000000" w:sz="4" w:val="single"/>
            </w:tcBorders>
            <w:vAlign w:val="center"/>
          </w:tcPr>
          <w:p w14:paraId="B60B0000">
            <w:pPr>
              <w:ind/>
              <w:jc w:val="center"/>
              <w:rPr>
                <w:sz w:val="20"/>
              </w:rPr>
            </w:pPr>
            <w:r>
              <w:rPr>
                <w:sz w:val="20"/>
              </w:rPr>
              <w:t>0,051</w:t>
            </w:r>
          </w:p>
        </w:tc>
        <w:tc>
          <w:tcPr>
            <w:tcW w:type="dxa" w:w="1682"/>
            <w:tcBorders>
              <w:top w:color="000000" w:sz="4" w:val="single"/>
              <w:left w:sz="4" w:val="nil"/>
              <w:bottom w:color="000000" w:sz="4" w:val="single"/>
              <w:right w:color="000000" w:sz="4" w:val="single"/>
            </w:tcBorders>
            <w:vAlign w:val="center"/>
          </w:tcPr>
          <w:p w14:paraId="B70B0000">
            <w:pPr>
              <w:ind/>
              <w:jc w:val="center"/>
              <w:rPr>
                <w:sz w:val="20"/>
              </w:rPr>
            </w:pPr>
            <w:r>
              <w:rPr>
                <w:sz w:val="20"/>
              </w:rPr>
              <w:t>0,043</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B80B0000">
            <w:pPr>
              <w:ind/>
              <w:jc w:val="center"/>
              <w:rPr>
                <w:sz w:val="20"/>
              </w:rPr>
            </w:pPr>
            <w:r>
              <w:rPr>
                <w:sz w:val="20"/>
              </w:rPr>
              <w:t xml:space="preserve">с. Куйбышево, ул. Цветаева, </w:t>
            </w:r>
            <w:r>
              <w:rPr>
                <w:sz w:val="20"/>
              </w:rPr>
              <w:t>31</w:t>
            </w:r>
          </w:p>
        </w:tc>
        <w:tc>
          <w:tcPr>
            <w:tcW w:type="dxa" w:w="1401"/>
            <w:tcBorders>
              <w:top w:sz="4" w:val="nil"/>
              <w:left w:sz="4" w:val="nil"/>
              <w:bottom w:color="000000" w:sz="4" w:val="single"/>
              <w:right w:color="000000" w:sz="4" w:val="single"/>
            </w:tcBorders>
            <w:vAlign w:val="center"/>
          </w:tcPr>
          <w:p w14:paraId="B90B0000">
            <w:pPr>
              <w:ind/>
              <w:jc w:val="center"/>
              <w:rPr>
                <w:sz w:val="20"/>
              </w:rPr>
            </w:pPr>
            <w:r>
              <w:rPr>
                <w:sz w:val="20"/>
              </w:rPr>
              <w:t>0,020</w:t>
            </w:r>
          </w:p>
        </w:tc>
        <w:tc>
          <w:tcPr>
            <w:tcW w:type="dxa" w:w="1262"/>
            <w:tcBorders>
              <w:top w:sz="4" w:val="nil"/>
              <w:left w:sz="4" w:val="nil"/>
              <w:bottom w:color="000000" w:sz="4" w:val="single"/>
              <w:right w:color="000000" w:sz="4" w:val="single"/>
            </w:tcBorders>
            <w:vAlign w:val="center"/>
          </w:tcPr>
          <w:p w14:paraId="BA0B0000">
            <w:pPr>
              <w:ind/>
              <w:jc w:val="center"/>
              <w:rPr>
                <w:sz w:val="20"/>
              </w:rPr>
            </w:pPr>
            <w:r>
              <w:rPr>
                <w:sz w:val="20"/>
              </w:rPr>
              <w:t>0,020</w:t>
            </w:r>
          </w:p>
        </w:tc>
        <w:tc>
          <w:tcPr>
            <w:tcW w:type="dxa" w:w="1541"/>
            <w:tcBorders>
              <w:top w:sz="4" w:val="nil"/>
              <w:left w:color="000000" w:sz="4" w:val="single"/>
              <w:bottom w:color="000000" w:sz="4" w:val="single"/>
              <w:right w:color="000000" w:sz="4" w:val="single"/>
            </w:tcBorders>
            <w:vAlign w:val="center"/>
          </w:tcPr>
          <w:p w14:paraId="BB0B0000">
            <w:pPr>
              <w:ind/>
              <w:jc w:val="center"/>
              <w:rPr>
                <w:sz w:val="20"/>
              </w:rPr>
            </w:pPr>
            <w:r>
              <w:rPr>
                <w:sz w:val="20"/>
              </w:rPr>
              <w:t>0,012</w:t>
            </w:r>
          </w:p>
        </w:tc>
        <w:tc>
          <w:tcPr>
            <w:tcW w:type="dxa" w:w="1682"/>
            <w:tcBorders>
              <w:top w:color="000000" w:sz="4" w:val="single"/>
              <w:left w:sz="4" w:val="nil"/>
              <w:bottom w:color="000000" w:sz="4" w:val="single"/>
              <w:right w:color="000000" w:sz="4" w:val="single"/>
            </w:tcBorders>
            <w:vAlign w:val="center"/>
          </w:tcPr>
          <w:p w14:paraId="BC0B0000">
            <w:pPr>
              <w:ind/>
              <w:jc w:val="center"/>
              <w:rPr>
                <w:sz w:val="20"/>
              </w:rPr>
            </w:pPr>
            <w:r>
              <w:rPr>
                <w:sz w:val="20"/>
              </w:rPr>
              <w:t>0,008</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BD0B0000">
            <w:pPr>
              <w:ind/>
              <w:jc w:val="center"/>
              <w:rPr>
                <w:sz w:val="20"/>
              </w:rPr>
            </w:pPr>
            <w:r>
              <w:rPr>
                <w:sz w:val="20"/>
              </w:rPr>
              <w:t>с. Куйбышево, ул. Куйбышевская, 24</w:t>
            </w:r>
          </w:p>
        </w:tc>
        <w:tc>
          <w:tcPr>
            <w:tcW w:type="dxa" w:w="1401"/>
            <w:tcBorders>
              <w:top w:sz="4" w:val="nil"/>
              <w:left w:sz="4" w:val="nil"/>
              <w:bottom w:color="000000" w:sz="4" w:val="single"/>
              <w:right w:color="000000" w:sz="4" w:val="single"/>
            </w:tcBorders>
            <w:vAlign w:val="center"/>
          </w:tcPr>
          <w:p w14:paraId="BE0B0000">
            <w:pPr>
              <w:ind/>
              <w:jc w:val="center"/>
              <w:rPr>
                <w:sz w:val="20"/>
              </w:rPr>
            </w:pPr>
            <w:r>
              <w:rPr>
                <w:sz w:val="20"/>
              </w:rPr>
              <w:t>0,165</w:t>
            </w:r>
          </w:p>
        </w:tc>
        <w:tc>
          <w:tcPr>
            <w:tcW w:type="dxa" w:w="1262"/>
            <w:tcBorders>
              <w:top w:sz="4" w:val="nil"/>
              <w:left w:sz="4" w:val="nil"/>
              <w:bottom w:color="000000" w:sz="4" w:val="single"/>
              <w:right w:color="000000" w:sz="4" w:val="single"/>
            </w:tcBorders>
            <w:vAlign w:val="center"/>
          </w:tcPr>
          <w:p w14:paraId="BF0B0000">
            <w:pPr>
              <w:ind/>
              <w:jc w:val="center"/>
              <w:rPr>
                <w:sz w:val="20"/>
              </w:rPr>
            </w:pPr>
            <w:r>
              <w:rPr>
                <w:sz w:val="20"/>
              </w:rPr>
              <w:t>0,165</w:t>
            </w:r>
          </w:p>
        </w:tc>
        <w:tc>
          <w:tcPr>
            <w:tcW w:type="dxa" w:w="1541"/>
            <w:tcBorders>
              <w:top w:sz="4" w:val="nil"/>
              <w:left w:color="000000" w:sz="4" w:val="single"/>
              <w:bottom w:color="000000" w:sz="4" w:val="single"/>
              <w:right w:color="000000" w:sz="4" w:val="single"/>
            </w:tcBorders>
            <w:vAlign w:val="center"/>
          </w:tcPr>
          <w:p w14:paraId="C00B0000">
            <w:pPr>
              <w:ind/>
              <w:jc w:val="center"/>
              <w:rPr>
                <w:sz w:val="20"/>
              </w:rPr>
            </w:pPr>
            <w:r>
              <w:rPr>
                <w:sz w:val="20"/>
              </w:rPr>
              <w:t>0,153</w:t>
            </w:r>
          </w:p>
        </w:tc>
        <w:tc>
          <w:tcPr>
            <w:tcW w:type="dxa" w:w="1682"/>
            <w:tcBorders>
              <w:top w:color="000000" w:sz="4" w:val="single"/>
              <w:left w:sz="4" w:val="nil"/>
              <w:bottom w:color="000000" w:sz="4" w:val="single"/>
              <w:right w:color="000000" w:sz="4" w:val="single"/>
            </w:tcBorders>
            <w:vAlign w:val="center"/>
          </w:tcPr>
          <w:p w14:paraId="C10B0000">
            <w:pPr>
              <w:ind/>
              <w:jc w:val="center"/>
              <w:rPr>
                <w:sz w:val="20"/>
              </w:rPr>
            </w:pPr>
            <w:r>
              <w:rPr>
                <w:sz w:val="20"/>
              </w:rPr>
              <w:t>0,012</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C20B0000">
            <w:pPr>
              <w:ind/>
              <w:jc w:val="center"/>
              <w:rPr>
                <w:sz w:val="20"/>
              </w:rPr>
            </w:pPr>
            <w:r>
              <w:rPr>
                <w:sz w:val="20"/>
              </w:rPr>
              <w:t>с. Куйбышево, ул. Куйбышевская, 20</w:t>
            </w:r>
          </w:p>
        </w:tc>
        <w:tc>
          <w:tcPr>
            <w:tcW w:type="dxa" w:w="1401"/>
            <w:tcBorders>
              <w:top w:sz="4" w:val="nil"/>
              <w:left w:sz="4" w:val="nil"/>
              <w:bottom w:color="000000" w:sz="4" w:val="single"/>
              <w:right w:color="000000" w:sz="4" w:val="single"/>
            </w:tcBorders>
            <w:vAlign w:val="center"/>
          </w:tcPr>
          <w:p w14:paraId="C30B0000">
            <w:pPr>
              <w:ind/>
              <w:jc w:val="center"/>
              <w:rPr>
                <w:sz w:val="20"/>
              </w:rPr>
            </w:pPr>
            <w:r>
              <w:rPr>
                <w:sz w:val="20"/>
              </w:rPr>
              <w:t>0,027</w:t>
            </w:r>
          </w:p>
        </w:tc>
        <w:tc>
          <w:tcPr>
            <w:tcW w:type="dxa" w:w="1262"/>
            <w:tcBorders>
              <w:top w:sz="4" w:val="nil"/>
              <w:left w:sz="4" w:val="nil"/>
              <w:bottom w:color="000000" w:sz="4" w:val="single"/>
              <w:right w:color="000000" w:sz="4" w:val="single"/>
            </w:tcBorders>
            <w:vAlign w:val="center"/>
          </w:tcPr>
          <w:p w14:paraId="C40B0000">
            <w:pPr>
              <w:ind/>
              <w:jc w:val="center"/>
              <w:rPr>
                <w:sz w:val="20"/>
              </w:rPr>
            </w:pPr>
            <w:r>
              <w:rPr>
                <w:sz w:val="20"/>
              </w:rPr>
              <w:t>0,027</w:t>
            </w:r>
          </w:p>
        </w:tc>
        <w:tc>
          <w:tcPr>
            <w:tcW w:type="dxa" w:w="1541"/>
            <w:tcBorders>
              <w:top w:sz="4" w:val="nil"/>
              <w:left w:color="000000" w:sz="4" w:val="single"/>
              <w:bottom w:color="000000" w:sz="4" w:val="single"/>
              <w:right w:color="000000" w:sz="4" w:val="single"/>
            </w:tcBorders>
            <w:vAlign w:val="center"/>
          </w:tcPr>
          <w:p w14:paraId="C50B0000">
            <w:pPr>
              <w:ind/>
              <w:jc w:val="center"/>
              <w:rPr>
                <w:sz w:val="20"/>
              </w:rPr>
            </w:pPr>
            <w:r>
              <w:rPr>
                <w:sz w:val="20"/>
              </w:rPr>
              <w:t>0,021</w:t>
            </w:r>
          </w:p>
        </w:tc>
        <w:tc>
          <w:tcPr>
            <w:tcW w:type="dxa" w:w="1682"/>
            <w:tcBorders>
              <w:top w:color="000000" w:sz="4" w:val="single"/>
              <w:left w:sz="4" w:val="nil"/>
              <w:bottom w:color="000000" w:sz="4" w:val="single"/>
              <w:right w:color="000000" w:sz="4" w:val="single"/>
            </w:tcBorders>
            <w:vAlign w:val="center"/>
          </w:tcPr>
          <w:p w14:paraId="C60B0000">
            <w:pPr>
              <w:ind/>
              <w:jc w:val="center"/>
              <w:rPr>
                <w:sz w:val="20"/>
              </w:rPr>
            </w:pPr>
            <w:r>
              <w:rPr>
                <w:sz w:val="20"/>
              </w:rPr>
              <w:t>0,006</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C70B0000">
            <w:pPr>
              <w:ind/>
              <w:jc w:val="center"/>
              <w:rPr>
                <w:sz w:val="20"/>
              </w:rPr>
            </w:pPr>
            <w:r>
              <w:rPr>
                <w:sz w:val="20"/>
              </w:rPr>
              <w:t>с. Куйбышево, ул. Миусская, 3</w:t>
            </w:r>
          </w:p>
        </w:tc>
        <w:tc>
          <w:tcPr>
            <w:tcW w:type="dxa" w:w="1401"/>
            <w:tcBorders>
              <w:top w:sz="4" w:val="nil"/>
              <w:left w:sz="4" w:val="nil"/>
              <w:bottom w:color="000000" w:sz="4" w:val="single"/>
              <w:right w:color="000000" w:sz="4" w:val="single"/>
            </w:tcBorders>
            <w:vAlign w:val="center"/>
          </w:tcPr>
          <w:p w14:paraId="C80B0000">
            <w:pPr>
              <w:ind/>
              <w:jc w:val="center"/>
              <w:rPr>
                <w:sz w:val="20"/>
              </w:rPr>
            </w:pPr>
            <w:r>
              <w:rPr>
                <w:sz w:val="20"/>
              </w:rPr>
              <w:t>0,165</w:t>
            </w:r>
          </w:p>
        </w:tc>
        <w:tc>
          <w:tcPr>
            <w:tcW w:type="dxa" w:w="1262"/>
            <w:tcBorders>
              <w:top w:sz="4" w:val="nil"/>
              <w:left w:sz="4" w:val="nil"/>
              <w:bottom w:color="000000" w:sz="4" w:val="single"/>
              <w:right w:color="000000" w:sz="4" w:val="single"/>
            </w:tcBorders>
            <w:vAlign w:val="center"/>
          </w:tcPr>
          <w:p w14:paraId="C90B0000">
            <w:pPr>
              <w:ind/>
              <w:jc w:val="center"/>
              <w:rPr>
                <w:sz w:val="20"/>
              </w:rPr>
            </w:pPr>
            <w:r>
              <w:rPr>
                <w:sz w:val="20"/>
              </w:rPr>
              <w:t>0,165</w:t>
            </w:r>
          </w:p>
        </w:tc>
        <w:tc>
          <w:tcPr>
            <w:tcW w:type="dxa" w:w="1541"/>
            <w:tcBorders>
              <w:top w:sz="4" w:val="nil"/>
              <w:left w:color="000000" w:sz="4" w:val="single"/>
              <w:bottom w:color="000000" w:sz="4" w:val="single"/>
              <w:right w:color="000000" w:sz="4" w:val="single"/>
            </w:tcBorders>
            <w:vAlign w:val="center"/>
          </w:tcPr>
          <w:p w14:paraId="CA0B0000">
            <w:pPr>
              <w:ind/>
              <w:jc w:val="center"/>
              <w:rPr>
                <w:sz w:val="20"/>
              </w:rPr>
            </w:pPr>
            <w:r>
              <w:rPr>
                <w:sz w:val="20"/>
              </w:rPr>
              <w:t>0,105</w:t>
            </w:r>
          </w:p>
        </w:tc>
        <w:tc>
          <w:tcPr>
            <w:tcW w:type="dxa" w:w="1682"/>
            <w:tcBorders>
              <w:top w:color="000000" w:sz="4" w:val="single"/>
              <w:left w:color="000000" w:sz="4" w:val="single"/>
              <w:bottom w:color="000000" w:sz="4" w:val="single"/>
              <w:right w:color="000000" w:sz="4" w:val="single"/>
            </w:tcBorders>
            <w:vAlign w:val="center"/>
          </w:tcPr>
          <w:p w14:paraId="CB0B0000">
            <w:pPr>
              <w:ind/>
              <w:jc w:val="center"/>
              <w:rPr>
                <w:sz w:val="20"/>
              </w:rPr>
            </w:pPr>
            <w:r>
              <w:rPr>
                <w:sz w:val="20"/>
              </w:rPr>
              <w:t>0,06</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CC0B0000">
            <w:pPr>
              <w:ind/>
              <w:jc w:val="center"/>
              <w:rPr>
                <w:sz w:val="20"/>
              </w:rPr>
            </w:pPr>
            <w:r>
              <w:rPr>
                <w:sz w:val="20"/>
              </w:rPr>
              <w:t>с. Куйбышево, ул. Миусская, 3</w:t>
            </w:r>
          </w:p>
        </w:tc>
        <w:tc>
          <w:tcPr>
            <w:tcW w:type="dxa" w:w="1401"/>
            <w:tcBorders>
              <w:top w:sz="4" w:val="nil"/>
              <w:left w:sz="4" w:val="nil"/>
              <w:bottom w:color="000000" w:sz="4" w:val="single"/>
              <w:right w:color="000000" w:sz="4" w:val="single"/>
            </w:tcBorders>
            <w:vAlign w:val="center"/>
          </w:tcPr>
          <w:p w14:paraId="CD0B0000">
            <w:pPr>
              <w:ind/>
              <w:jc w:val="center"/>
              <w:rPr>
                <w:sz w:val="20"/>
              </w:rPr>
            </w:pPr>
            <w:r>
              <w:rPr>
                <w:sz w:val="20"/>
              </w:rPr>
              <w:t>0,086</w:t>
            </w:r>
          </w:p>
        </w:tc>
        <w:tc>
          <w:tcPr>
            <w:tcW w:type="dxa" w:w="1262"/>
            <w:tcBorders>
              <w:top w:sz="4" w:val="nil"/>
              <w:left w:sz="4" w:val="nil"/>
              <w:bottom w:color="000000" w:sz="4" w:val="single"/>
              <w:right w:color="000000" w:sz="4" w:val="single"/>
            </w:tcBorders>
            <w:vAlign w:val="center"/>
          </w:tcPr>
          <w:p w14:paraId="CE0B0000">
            <w:pPr>
              <w:ind/>
              <w:jc w:val="center"/>
              <w:rPr>
                <w:sz w:val="20"/>
              </w:rPr>
            </w:pPr>
            <w:r>
              <w:rPr>
                <w:sz w:val="20"/>
              </w:rPr>
              <w:t>0,086</w:t>
            </w:r>
          </w:p>
        </w:tc>
        <w:tc>
          <w:tcPr>
            <w:tcW w:type="dxa" w:w="1541"/>
            <w:tcBorders>
              <w:top w:sz="4" w:val="nil"/>
              <w:left w:color="000000" w:sz="4" w:val="single"/>
              <w:bottom w:color="000000" w:sz="4" w:val="single"/>
              <w:right w:color="000000" w:sz="4" w:val="single"/>
            </w:tcBorders>
            <w:vAlign w:val="center"/>
          </w:tcPr>
          <w:p w14:paraId="CF0B0000">
            <w:pPr>
              <w:ind/>
              <w:jc w:val="center"/>
              <w:rPr>
                <w:sz w:val="20"/>
              </w:rPr>
            </w:pPr>
            <w:r>
              <w:rPr>
                <w:sz w:val="20"/>
              </w:rPr>
              <w:t>0,060</w:t>
            </w:r>
          </w:p>
        </w:tc>
        <w:tc>
          <w:tcPr>
            <w:tcW w:type="dxa" w:w="1682"/>
            <w:tcBorders>
              <w:top w:color="000000" w:sz="4" w:val="single"/>
              <w:left w:color="000000" w:sz="4" w:val="single"/>
              <w:bottom w:color="000000" w:sz="4" w:val="single"/>
              <w:right w:color="000000" w:sz="4" w:val="single"/>
            </w:tcBorders>
            <w:vAlign w:val="center"/>
          </w:tcPr>
          <w:p w14:paraId="D00B0000">
            <w:pPr>
              <w:ind/>
              <w:jc w:val="center"/>
              <w:rPr>
                <w:sz w:val="20"/>
              </w:rPr>
            </w:pPr>
            <w:r>
              <w:rPr>
                <w:sz w:val="20"/>
              </w:rPr>
              <w:t>0,026</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D10B0000">
            <w:pPr>
              <w:ind/>
              <w:jc w:val="center"/>
              <w:rPr>
                <w:sz w:val="20"/>
              </w:rPr>
            </w:pPr>
            <w:r>
              <w:rPr>
                <w:sz w:val="20"/>
              </w:rPr>
              <w:t>с. Куйбышево, ул. Миусская, 3</w:t>
            </w:r>
          </w:p>
        </w:tc>
        <w:tc>
          <w:tcPr>
            <w:tcW w:type="dxa" w:w="1401"/>
            <w:tcBorders>
              <w:top w:sz="4" w:val="nil"/>
              <w:left w:sz="4" w:val="nil"/>
              <w:bottom w:color="000000" w:sz="4" w:val="single"/>
              <w:right w:color="000000" w:sz="4" w:val="single"/>
            </w:tcBorders>
            <w:vAlign w:val="center"/>
          </w:tcPr>
          <w:p w14:paraId="D20B0000">
            <w:pPr>
              <w:ind/>
              <w:jc w:val="center"/>
              <w:rPr>
                <w:sz w:val="20"/>
              </w:rPr>
            </w:pPr>
            <w:r>
              <w:rPr>
                <w:sz w:val="20"/>
              </w:rPr>
              <w:t>0,017</w:t>
            </w:r>
          </w:p>
        </w:tc>
        <w:tc>
          <w:tcPr>
            <w:tcW w:type="dxa" w:w="1262"/>
            <w:tcBorders>
              <w:top w:sz="4" w:val="nil"/>
              <w:left w:sz="4" w:val="nil"/>
              <w:bottom w:color="000000" w:sz="4" w:val="single"/>
              <w:right w:color="000000" w:sz="4" w:val="single"/>
            </w:tcBorders>
            <w:vAlign w:val="center"/>
          </w:tcPr>
          <w:p w14:paraId="D30B0000">
            <w:pPr>
              <w:ind/>
              <w:jc w:val="center"/>
              <w:rPr>
                <w:sz w:val="20"/>
              </w:rPr>
            </w:pPr>
            <w:r>
              <w:rPr>
                <w:sz w:val="20"/>
              </w:rPr>
              <w:t>0,017</w:t>
            </w:r>
          </w:p>
        </w:tc>
        <w:tc>
          <w:tcPr>
            <w:tcW w:type="dxa" w:w="1541"/>
            <w:tcBorders>
              <w:top w:sz="4" w:val="nil"/>
              <w:left w:color="000000" w:sz="4" w:val="single"/>
              <w:bottom w:color="000000" w:sz="4" w:val="single"/>
              <w:right w:color="000000" w:sz="4" w:val="single"/>
            </w:tcBorders>
            <w:vAlign w:val="center"/>
          </w:tcPr>
          <w:p w14:paraId="D40B0000">
            <w:pPr>
              <w:ind/>
              <w:jc w:val="center"/>
              <w:rPr>
                <w:sz w:val="20"/>
              </w:rPr>
            </w:pPr>
            <w:r>
              <w:rPr>
                <w:sz w:val="20"/>
              </w:rPr>
              <w:t>0,017</w:t>
            </w:r>
          </w:p>
        </w:tc>
        <w:tc>
          <w:tcPr>
            <w:tcW w:type="dxa" w:w="1682"/>
            <w:tcBorders>
              <w:top w:color="000000" w:sz="4" w:val="single"/>
              <w:left w:color="000000" w:sz="4" w:val="single"/>
              <w:bottom w:color="000000" w:sz="4" w:val="single"/>
              <w:right w:color="000000" w:sz="4" w:val="single"/>
            </w:tcBorders>
            <w:vAlign w:val="center"/>
          </w:tcPr>
          <w:p w14:paraId="D50B0000">
            <w:pPr>
              <w:ind/>
              <w:jc w:val="center"/>
              <w:rPr>
                <w:sz w:val="20"/>
              </w:rPr>
            </w:pPr>
            <w:r>
              <w:rPr>
                <w:sz w:val="20"/>
              </w:rPr>
              <w:t>-</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D60B0000">
            <w:pPr>
              <w:ind/>
              <w:jc w:val="center"/>
              <w:rPr>
                <w:sz w:val="20"/>
              </w:rPr>
            </w:pPr>
            <w:r>
              <w:rPr>
                <w:sz w:val="20"/>
              </w:rPr>
              <w:t>с. Куйбышево, ул. Миусская, 3</w:t>
            </w:r>
          </w:p>
        </w:tc>
        <w:tc>
          <w:tcPr>
            <w:tcW w:type="dxa" w:w="1401"/>
            <w:tcBorders>
              <w:top w:sz="4" w:val="nil"/>
              <w:left w:sz="4" w:val="nil"/>
              <w:bottom w:color="000000" w:sz="4" w:val="single"/>
              <w:right w:color="000000" w:sz="4" w:val="single"/>
            </w:tcBorders>
            <w:vAlign w:val="center"/>
          </w:tcPr>
          <w:p w14:paraId="D70B0000">
            <w:pPr>
              <w:ind/>
              <w:jc w:val="center"/>
              <w:rPr>
                <w:sz w:val="20"/>
              </w:rPr>
            </w:pPr>
            <w:r>
              <w:rPr>
                <w:sz w:val="20"/>
              </w:rPr>
              <w:t>0,020</w:t>
            </w:r>
          </w:p>
        </w:tc>
        <w:tc>
          <w:tcPr>
            <w:tcW w:type="dxa" w:w="1262"/>
            <w:tcBorders>
              <w:top w:sz="4" w:val="nil"/>
              <w:left w:sz="4" w:val="nil"/>
              <w:bottom w:color="000000" w:sz="4" w:val="single"/>
              <w:right w:color="000000" w:sz="4" w:val="single"/>
            </w:tcBorders>
            <w:vAlign w:val="center"/>
          </w:tcPr>
          <w:p w14:paraId="D80B0000">
            <w:pPr>
              <w:ind/>
              <w:jc w:val="center"/>
              <w:rPr>
                <w:sz w:val="20"/>
              </w:rPr>
            </w:pPr>
            <w:r>
              <w:rPr>
                <w:sz w:val="20"/>
              </w:rPr>
              <w:t>0,020</w:t>
            </w:r>
          </w:p>
        </w:tc>
        <w:tc>
          <w:tcPr>
            <w:tcW w:type="dxa" w:w="1541"/>
            <w:tcBorders>
              <w:top w:sz="4" w:val="nil"/>
              <w:left w:color="000000" w:sz="4" w:val="single"/>
              <w:bottom w:color="000000" w:sz="4" w:val="single"/>
              <w:right w:color="000000" w:sz="4" w:val="single"/>
            </w:tcBorders>
            <w:vAlign w:val="center"/>
          </w:tcPr>
          <w:p w14:paraId="D90B0000">
            <w:pPr>
              <w:ind/>
              <w:jc w:val="center"/>
              <w:rPr>
                <w:sz w:val="20"/>
              </w:rPr>
            </w:pPr>
            <w:r>
              <w:rPr>
                <w:sz w:val="20"/>
              </w:rPr>
              <w:t>0,019</w:t>
            </w:r>
          </w:p>
        </w:tc>
        <w:tc>
          <w:tcPr>
            <w:tcW w:type="dxa" w:w="1682"/>
            <w:tcBorders>
              <w:top w:color="000000" w:sz="4" w:val="single"/>
              <w:left w:color="000000" w:sz="4" w:val="single"/>
              <w:bottom w:color="000000" w:sz="4" w:val="single"/>
              <w:right w:color="000000" w:sz="4" w:val="single"/>
            </w:tcBorders>
            <w:vAlign w:val="center"/>
          </w:tcPr>
          <w:p w14:paraId="DA0B0000">
            <w:pPr>
              <w:ind/>
              <w:jc w:val="center"/>
              <w:rPr>
                <w:sz w:val="20"/>
              </w:rPr>
            </w:pPr>
            <w:r>
              <w:rPr>
                <w:sz w:val="20"/>
              </w:rPr>
              <w:t>0,001</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DB0B0000">
            <w:pPr>
              <w:ind/>
              <w:jc w:val="center"/>
              <w:rPr>
                <w:sz w:val="20"/>
              </w:rPr>
            </w:pPr>
            <w:r>
              <w:rPr>
                <w:sz w:val="20"/>
              </w:rPr>
              <w:t>с. Куйбышево, ул. Миусская, 3</w:t>
            </w:r>
          </w:p>
        </w:tc>
        <w:tc>
          <w:tcPr>
            <w:tcW w:type="dxa" w:w="1401"/>
            <w:tcBorders>
              <w:top w:sz="4" w:val="nil"/>
              <w:left w:sz="4" w:val="nil"/>
              <w:bottom w:color="000000" w:sz="4" w:val="single"/>
              <w:right w:color="000000" w:sz="4" w:val="single"/>
            </w:tcBorders>
            <w:vAlign w:val="center"/>
          </w:tcPr>
          <w:p w14:paraId="DC0B0000">
            <w:pPr>
              <w:ind/>
              <w:jc w:val="center"/>
              <w:rPr>
                <w:sz w:val="20"/>
              </w:rPr>
            </w:pPr>
            <w:r>
              <w:rPr>
                <w:sz w:val="20"/>
              </w:rPr>
              <w:t>0,011</w:t>
            </w:r>
          </w:p>
        </w:tc>
        <w:tc>
          <w:tcPr>
            <w:tcW w:type="dxa" w:w="1262"/>
            <w:tcBorders>
              <w:top w:sz="4" w:val="nil"/>
              <w:left w:sz="4" w:val="nil"/>
              <w:bottom w:color="000000" w:sz="4" w:val="single"/>
              <w:right w:color="000000" w:sz="4" w:val="single"/>
            </w:tcBorders>
            <w:vAlign w:val="center"/>
          </w:tcPr>
          <w:p w14:paraId="DD0B0000">
            <w:pPr>
              <w:ind/>
              <w:jc w:val="center"/>
              <w:rPr>
                <w:sz w:val="20"/>
              </w:rPr>
            </w:pPr>
            <w:r>
              <w:rPr>
                <w:sz w:val="20"/>
              </w:rPr>
              <w:t>0,011</w:t>
            </w:r>
          </w:p>
        </w:tc>
        <w:tc>
          <w:tcPr>
            <w:tcW w:type="dxa" w:w="1541"/>
            <w:tcBorders>
              <w:top w:sz="4" w:val="nil"/>
              <w:left w:color="000000" w:sz="4" w:val="single"/>
              <w:bottom w:color="000000" w:sz="4" w:val="single"/>
              <w:right w:color="000000" w:sz="4" w:val="single"/>
            </w:tcBorders>
            <w:vAlign w:val="center"/>
          </w:tcPr>
          <w:p w14:paraId="DE0B0000">
            <w:pPr>
              <w:ind/>
              <w:jc w:val="center"/>
              <w:rPr>
                <w:sz w:val="20"/>
              </w:rPr>
            </w:pPr>
            <w:r>
              <w:rPr>
                <w:sz w:val="20"/>
              </w:rPr>
              <w:t>0,011</w:t>
            </w:r>
          </w:p>
        </w:tc>
        <w:tc>
          <w:tcPr>
            <w:tcW w:type="dxa" w:w="1682"/>
            <w:tcBorders>
              <w:top w:color="000000" w:sz="4" w:val="single"/>
              <w:left w:color="000000" w:sz="4" w:val="single"/>
              <w:bottom w:color="000000" w:sz="4" w:val="single"/>
              <w:right w:color="000000" w:sz="4" w:val="single"/>
            </w:tcBorders>
            <w:vAlign w:val="center"/>
          </w:tcPr>
          <w:p w14:paraId="DF0B0000">
            <w:pPr>
              <w:ind/>
              <w:jc w:val="center"/>
              <w:rPr>
                <w:sz w:val="20"/>
              </w:rPr>
            </w:pPr>
            <w:r>
              <w:rPr>
                <w:sz w:val="20"/>
              </w:rPr>
              <w:t>-</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E00B0000">
            <w:pPr>
              <w:ind/>
              <w:jc w:val="center"/>
              <w:rPr>
                <w:sz w:val="20"/>
              </w:rPr>
            </w:pPr>
            <w:r>
              <w:rPr>
                <w:sz w:val="20"/>
              </w:rPr>
              <w:t>с. Куйбышево, ул. Миусская, 3</w:t>
            </w:r>
          </w:p>
        </w:tc>
        <w:tc>
          <w:tcPr>
            <w:tcW w:type="dxa" w:w="1401"/>
            <w:tcBorders>
              <w:top w:sz="4" w:val="nil"/>
              <w:left w:sz="4" w:val="nil"/>
              <w:bottom w:color="000000" w:sz="4" w:val="single"/>
              <w:right w:color="000000" w:sz="4" w:val="single"/>
            </w:tcBorders>
            <w:vAlign w:val="center"/>
          </w:tcPr>
          <w:p w14:paraId="E10B0000">
            <w:pPr>
              <w:ind/>
              <w:jc w:val="center"/>
              <w:rPr>
                <w:sz w:val="20"/>
              </w:rPr>
            </w:pPr>
            <w:r>
              <w:rPr>
                <w:sz w:val="20"/>
              </w:rPr>
              <w:t>0,027</w:t>
            </w:r>
          </w:p>
        </w:tc>
        <w:tc>
          <w:tcPr>
            <w:tcW w:type="dxa" w:w="1262"/>
            <w:tcBorders>
              <w:top w:sz="4" w:val="nil"/>
              <w:left w:sz="4" w:val="nil"/>
              <w:bottom w:color="000000" w:sz="4" w:val="single"/>
              <w:right w:color="000000" w:sz="4" w:val="single"/>
            </w:tcBorders>
            <w:vAlign w:val="center"/>
          </w:tcPr>
          <w:p w14:paraId="E20B0000">
            <w:pPr>
              <w:ind/>
              <w:jc w:val="center"/>
              <w:rPr>
                <w:sz w:val="20"/>
              </w:rPr>
            </w:pPr>
            <w:r>
              <w:rPr>
                <w:sz w:val="20"/>
              </w:rPr>
              <w:t>0,027</w:t>
            </w:r>
          </w:p>
        </w:tc>
        <w:tc>
          <w:tcPr>
            <w:tcW w:type="dxa" w:w="1541"/>
            <w:tcBorders>
              <w:top w:sz="4" w:val="nil"/>
              <w:left w:color="000000" w:sz="4" w:val="single"/>
              <w:bottom w:color="000000" w:sz="4" w:val="single"/>
              <w:right w:color="000000" w:sz="4" w:val="single"/>
            </w:tcBorders>
            <w:vAlign w:val="center"/>
          </w:tcPr>
          <w:p w14:paraId="E30B0000">
            <w:pPr>
              <w:ind/>
              <w:jc w:val="center"/>
              <w:rPr>
                <w:sz w:val="20"/>
              </w:rPr>
            </w:pPr>
            <w:r>
              <w:rPr>
                <w:sz w:val="20"/>
              </w:rPr>
              <w:t>0,010</w:t>
            </w:r>
          </w:p>
        </w:tc>
        <w:tc>
          <w:tcPr>
            <w:tcW w:type="dxa" w:w="1682"/>
            <w:tcBorders>
              <w:top w:color="000000" w:sz="4" w:val="single"/>
              <w:left w:color="000000" w:sz="4" w:val="single"/>
              <w:bottom w:color="000000" w:sz="4" w:val="single"/>
              <w:right w:color="000000" w:sz="4" w:val="single"/>
            </w:tcBorders>
            <w:vAlign w:val="center"/>
          </w:tcPr>
          <w:p w14:paraId="E40B0000">
            <w:pPr>
              <w:ind/>
              <w:jc w:val="center"/>
              <w:rPr>
                <w:sz w:val="20"/>
              </w:rPr>
            </w:pPr>
            <w:r>
              <w:rPr>
                <w:sz w:val="20"/>
              </w:rPr>
              <w:t>0,017</w:t>
            </w:r>
          </w:p>
        </w:tc>
      </w:tr>
      <w:tr>
        <w:trPr>
          <w:trHeight w:hRule="atLeast" w:val="209"/>
        </w:trPr>
        <w:tc>
          <w:tcPr>
            <w:tcW w:type="dxa" w:w="3644"/>
            <w:tcBorders>
              <w:top w:sz="4" w:val="nil"/>
              <w:left w:color="000000" w:sz="4" w:val="single"/>
              <w:bottom w:color="000000" w:sz="4" w:val="single"/>
              <w:right w:color="000000" w:sz="4" w:val="single"/>
            </w:tcBorders>
            <w:vAlign w:val="center"/>
          </w:tcPr>
          <w:p w14:paraId="E50B0000">
            <w:pPr>
              <w:ind/>
              <w:jc w:val="center"/>
              <w:rPr>
                <w:sz w:val="20"/>
              </w:rPr>
            </w:pPr>
            <w:r>
              <w:rPr>
                <w:sz w:val="20"/>
              </w:rPr>
              <w:t>с. Куйбышево, ул. Миусская, 3</w:t>
            </w:r>
          </w:p>
        </w:tc>
        <w:tc>
          <w:tcPr>
            <w:tcW w:type="dxa" w:w="1401"/>
            <w:tcBorders>
              <w:top w:sz="4" w:val="nil"/>
              <w:left w:sz="4" w:val="nil"/>
              <w:bottom w:color="000000" w:sz="4" w:val="single"/>
              <w:right w:color="000000" w:sz="4" w:val="single"/>
            </w:tcBorders>
            <w:vAlign w:val="center"/>
          </w:tcPr>
          <w:p w14:paraId="E60B0000">
            <w:pPr>
              <w:ind/>
              <w:jc w:val="center"/>
              <w:rPr>
                <w:sz w:val="20"/>
              </w:rPr>
            </w:pPr>
            <w:r>
              <w:rPr>
                <w:sz w:val="20"/>
              </w:rPr>
              <w:t>0,010</w:t>
            </w:r>
          </w:p>
        </w:tc>
        <w:tc>
          <w:tcPr>
            <w:tcW w:type="dxa" w:w="1262"/>
            <w:tcBorders>
              <w:top w:sz="4" w:val="nil"/>
              <w:left w:sz="4" w:val="nil"/>
              <w:bottom w:color="000000" w:sz="4" w:val="single"/>
              <w:right w:color="000000" w:sz="4" w:val="single"/>
            </w:tcBorders>
            <w:vAlign w:val="center"/>
          </w:tcPr>
          <w:p w14:paraId="E70B0000">
            <w:pPr>
              <w:ind/>
              <w:jc w:val="center"/>
              <w:rPr>
                <w:sz w:val="20"/>
              </w:rPr>
            </w:pPr>
            <w:r>
              <w:rPr>
                <w:sz w:val="20"/>
              </w:rPr>
              <w:t>0,010</w:t>
            </w:r>
          </w:p>
        </w:tc>
        <w:tc>
          <w:tcPr>
            <w:tcW w:type="dxa" w:w="1541"/>
            <w:tcBorders>
              <w:top w:sz="4" w:val="nil"/>
              <w:left w:color="000000" w:sz="4" w:val="single"/>
              <w:bottom w:color="000000" w:sz="4" w:val="single"/>
              <w:right w:color="000000" w:sz="4" w:val="single"/>
            </w:tcBorders>
            <w:vAlign w:val="center"/>
          </w:tcPr>
          <w:p w14:paraId="E80B0000">
            <w:pPr>
              <w:ind/>
              <w:jc w:val="center"/>
              <w:rPr>
                <w:sz w:val="20"/>
              </w:rPr>
            </w:pPr>
            <w:r>
              <w:rPr>
                <w:sz w:val="20"/>
              </w:rPr>
              <w:t>0,006</w:t>
            </w:r>
          </w:p>
        </w:tc>
        <w:tc>
          <w:tcPr>
            <w:tcW w:type="dxa" w:w="1682"/>
            <w:tcBorders>
              <w:top w:color="000000" w:sz="4" w:val="single"/>
              <w:left w:color="000000" w:sz="4" w:val="single"/>
              <w:bottom w:color="000000" w:sz="4" w:val="single"/>
              <w:right w:color="000000" w:sz="4" w:val="single"/>
            </w:tcBorders>
            <w:vAlign w:val="center"/>
          </w:tcPr>
          <w:p w14:paraId="E90B0000">
            <w:pPr>
              <w:ind/>
              <w:jc w:val="center"/>
              <w:rPr>
                <w:sz w:val="20"/>
              </w:rPr>
            </w:pPr>
            <w:r>
              <w:rPr>
                <w:sz w:val="20"/>
              </w:rPr>
              <w:t>0,004</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EA0B0000">
            <w:pPr>
              <w:ind/>
              <w:jc w:val="center"/>
              <w:rPr>
                <w:sz w:val="20"/>
              </w:rPr>
            </w:pPr>
            <w:r>
              <w:rPr>
                <w:sz w:val="20"/>
              </w:rPr>
              <w:t>с. Куйбышево, ул. Миусская, 3</w:t>
            </w:r>
          </w:p>
        </w:tc>
        <w:tc>
          <w:tcPr>
            <w:tcW w:type="dxa" w:w="1401"/>
            <w:tcBorders>
              <w:top w:sz="4" w:val="nil"/>
              <w:left w:sz="4" w:val="nil"/>
              <w:bottom w:color="000000" w:sz="4" w:val="single"/>
              <w:right w:color="000000" w:sz="4" w:val="single"/>
            </w:tcBorders>
            <w:vAlign w:val="center"/>
          </w:tcPr>
          <w:p w14:paraId="EB0B0000">
            <w:pPr>
              <w:ind/>
              <w:jc w:val="center"/>
              <w:rPr>
                <w:sz w:val="20"/>
              </w:rPr>
            </w:pPr>
            <w:r>
              <w:rPr>
                <w:sz w:val="20"/>
              </w:rPr>
              <w:t>0,017</w:t>
            </w:r>
          </w:p>
        </w:tc>
        <w:tc>
          <w:tcPr>
            <w:tcW w:type="dxa" w:w="1262"/>
            <w:tcBorders>
              <w:top w:sz="4" w:val="nil"/>
              <w:left w:sz="4" w:val="nil"/>
              <w:bottom w:color="000000" w:sz="4" w:val="single"/>
              <w:right w:color="000000" w:sz="4" w:val="single"/>
            </w:tcBorders>
            <w:vAlign w:val="center"/>
          </w:tcPr>
          <w:p w14:paraId="EC0B0000">
            <w:pPr>
              <w:ind/>
              <w:jc w:val="center"/>
              <w:rPr>
                <w:sz w:val="20"/>
              </w:rPr>
            </w:pPr>
            <w:r>
              <w:rPr>
                <w:sz w:val="20"/>
              </w:rPr>
              <w:t>0,017</w:t>
            </w:r>
          </w:p>
        </w:tc>
        <w:tc>
          <w:tcPr>
            <w:tcW w:type="dxa" w:w="1541"/>
            <w:tcBorders>
              <w:top w:sz="4" w:val="nil"/>
              <w:left w:color="000000" w:sz="4" w:val="single"/>
              <w:bottom w:color="000000" w:sz="4" w:val="single"/>
              <w:right w:color="000000" w:sz="4" w:val="single"/>
            </w:tcBorders>
            <w:vAlign w:val="center"/>
          </w:tcPr>
          <w:p w14:paraId="ED0B0000">
            <w:pPr>
              <w:ind/>
              <w:jc w:val="center"/>
              <w:rPr>
                <w:sz w:val="20"/>
              </w:rPr>
            </w:pPr>
            <w:r>
              <w:rPr>
                <w:sz w:val="20"/>
              </w:rPr>
              <w:t>0,017</w:t>
            </w:r>
          </w:p>
        </w:tc>
        <w:tc>
          <w:tcPr>
            <w:tcW w:type="dxa" w:w="1682"/>
            <w:tcBorders>
              <w:top w:color="000000" w:sz="4" w:val="single"/>
              <w:left w:color="000000" w:sz="4" w:val="single"/>
              <w:bottom w:color="000000" w:sz="4" w:val="single"/>
              <w:right w:color="000000" w:sz="4" w:val="single"/>
            </w:tcBorders>
            <w:vAlign w:val="center"/>
          </w:tcPr>
          <w:p w14:paraId="EE0B0000">
            <w:pPr>
              <w:ind/>
              <w:jc w:val="center"/>
              <w:rPr>
                <w:sz w:val="20"/>
              </w:rPr>
            </w:pPr>
            <w:r>
              <w:rPr>
                <w:sz w:val="20"/>
              </w:rPr>
              <w:t>-</w:t>
            </w:r>
          </w:p>
        </w:tc>
      </w:tr>
      <w:tr>
        <w:trPr>
          <w:trHeight w:hRule="atLeast" w:val="331"/>
        </w:trPr>
        <w:tc>
          <w:tcPr>
            <w:tcW w:type="dxa" w:w="3644"/>
            <w:tcBorders>
              <w:top w:sz="4" w:val="nil"/>
              <w:left w:color="000000" w:sz="4" w:val="single"/>
              <w:bottom w:color="000000" w:sz="4" w:val="single"/>
              <w:right w:color="000000" w:sz="4" w:val="single"/>
            </w:tcBorders>
            <w:vAlign w:val="center"/>
          </w:tcPr>
          <w:p w14:paraId="EF0B0000">
            <w:pPr>
              <w:ind/>
              <w:jc w:val="center"/>
              <w:rPr>
                <w:sz w:val="20"/>
              </w:rPr>
            </w:pPr>
            <w:r>
              <w:rPr>
                <w:sz w:val="20"/>
              </w:rPr>
              <w:t>с. Куйбышево, ул. Миусская, 3</w:t>
            </w:r>
          </w:p>
        </w:tc>
        <w:tc>
          <w:tcPr>
            <w:tcW w:type="dxa" w:w="1401"/>
            <w:tcBorders>
              <w:top w:sz="4" w:val="nil"/>
              <w:left w:sz="4" w:val="nil"/>
              <w:bottom w:color="000000" w:sz="4" w:val="single"/>
              <w:right w:color="000000" w:sz="4" w:val="single"/>
            </w:tcBorders>
            <w:vAlign w:val="center"/>
          </w:tcPr>
          <w:p w14:paraId="F00B0000">
            <w:pPr>
              <w:ind/>
              <w:jc w:val="center"/>
              <w:rPr>
                <w:sz w:val="20"/>
              </w:rPr>
            </w:pPr>
            <w:r>
              <w:rPr>
                <w:sz w:val="20"/>
              </w:rPr>
              <w:t>0,054</w:t>
            </w:r>
          </w:p>
        </w:tc>
        <w:tc>
          <w:tcPr>
            <w:tcW w:type="dxa" w:w="1262"/>
            <w:tcBorders>
              <w:top w:sz="4" w:val="nil"/>
              <w:left w:sz="4" w:val="nil"/>
              <w:bottom w:color="000000" w:sz="4" w:val="single"/>
              <w:right w:color="000000" w:sz="4" w:val="single"/>
            </w:tcBorders>
            <w:vAlign w:val="center"/>
          </w:tcPr>
          <w:p w14:paraId="F10B0000">
            <w:pPr>
              <w:ind/>
              <w:jc w:val="center"/>
              <w:rPr>
                <w:sz w:val="20"/>
              </w:rPr>
            </w:pPr>
            <w:r>
              <w:rPr>
                <w:sz w:val="20"/>
              </w:rPr>
              <w:t>0,054</w:t>
            </w:r>
          </w:p>
        </w:tc>
        <w:tc>
          <w:tcPr>
            <w:tcW w:type="dxa" w:w="1541"/>
            <w:tcBorders>
              <w:top w:sz="4" w:val="nil"/>
              <w:left w:color="000000" w:sz="4" w:val="single"/>
              <w:bottom w:color="000000" w:sz="4" w:val="single"/>
              <w:right w:color="000000" w:sz="4" w:val="single"/>
            </w:tcBorders>
            <w:vAlign w:val="center"/>
          </w:tcPr>
          <w:p w14:paraId="F20B0000">
            <w:pPr>
              <w:ind/>
              <w:jc w:val="center"/>
              <w:rPr>
                <w:sz w:val="20"/>
              </w:rPr>
            </w:pPr>
            <w:r>
              <w:rPr>
                <w:sz w:val="20"/>
              </w:rPr>
              <w:t>0,036</w:t>
            </w:r>
          </w:p>
        </w:tc>
        <w:tc>
          <w:tcPr>
            <w:tcW w:type="dxa" w:w="1682"/>
            <w:tcBorders>
              <w:top w:color="000000" w:sz="4" w:val="single"/>
              <w:left w:color="000000" w:sz="4" w:val="single"/>
              <w:bottom w:color="000000" w:sz="4" w:val="single"/>
              <w:right w:color="000000" w:sz="4" w:val="single"/>
            </w:tcBorders>
            <w:vAlign w:val="center"/>
          </w:tcPr>
          <w:p w14:paraId="F30B0000">
            <w:pPr>
              <w:ind/>
              <w:jc w:val="center"/>
              <w:rPr>
                <w:sz w:val="20"/>
              </w:rPr>
            </w:pPr>
            <w:r>
              <w:rPr>
                <w:sz w:val="20"/>
              </w:rPr>
              <w:t>0,018</w:t>
            </w:r>
          </w:p>
        </w:tc>
      </w:tr>
      <w:tr>
        <w:trPr>
          <w:trHeight w:hRule="atLeast" w:val="491"/>
        </w:trPr>
        <w:tc>
          <w:tcPr>
            <w:tcW w:type="dxa" w:w="3644"/>
            <w:tcBorders>
              <w:top w:sz="4" w:val="nil"/>
              <w:left w:color="000000" w:sz="4" w:val="single"/>
              <w:bottom w:color="000000" w:sz="4" w:val="single"/>
              <w:right w:color="000000" w:sz="4" w:val="single"/>
            </w:tcBorders>
            <w:vAlign w:val="center"/>
          </w:tcPr>
          <w:p w14:paraId="F40B0000">
            <w:pPr>
              <w:ind/>
              <w:jc w:val="center"/>
              <w:rPr>
                <w:sz w:val="20"/>
              </w:rPr>
            </w:pPr>
            <w:r>
              <w:rPr>
                <w:sz w:val="20"/>
              </w:rPr>
              <w:t>с. Куйбышево, ул. Миусская, 3</w:t>
            </w:r>
          </w:p>
        </w:tc>
        <w:tc>
          <w:tcPr>
            <w:tcW w:type="dxa" w:w="1401"/>
            <w:tcBorders>
              <w:top w:sz="4" w:val="nil"/>
              <w:left w:sz="4" w:val="nil"/>
              <w:bottom w:color="000000" w:sz="4" w:val="single"/>
              <w:right w:color="000000" w:sz="4" w:val="single"/>
            </w:tcBorders>
            <w:vAlign w:val="center"/>
          </w:tcPr>
          <w:p w14:paraId="F50B0000">
            <w:pPr>
              <w:ind/>
              <w:jc w:val="center"/>
              <w:rPr>
                <w:sz w:val="20"/>
              </w:rPr>
            </w:pPr>
            <w:r>
              <w:rPr>
                <w:sz w:val="20"/>
              </w:rPr>
              <w:t>0,036</w:t>
            </w:r>
          </w:p>
        </w:tc>
        <w:tc>
          <w:tcPr>
            <w:tcW w:type="dxa" w:w="1262"/>
            <w:tcBorders>
              <w:top w:sz="4" w:val="nil"/>
              <w:left w:sz="4" w:val="nil"/>
              <w:bottom w:color="000000" w:sz="4" w:val="single"/>
              <w:right w:color="000000" w:sz="4" w:val="single"/>
            </w:tcBorders>
            <w:vAlign w:val="center"/>
          </w:tcPr>
          <w:p w14:paraId="F60B0000">
            <w:pPr>
              <w:ind/>
              <w:jc w:val="center"/>
              <w:rPr>
                <w:sz w:val="20"/>
              </w:rPr>
            </w:pPr>
            <w:r>
              <w:rPr>
                <w:sz w:val="20"/>
              </w:rPr>
              <w:t>0,036</w:t>
            </w:r>
          </w:p>
        </w:tc>
        <w:tc>
          <w:tcPr>
            <w:tcW w:type="dxa" w:w="1541"/>
            <w:tcBorders>
              <w:top w:sz="4" w:val="nil"/>
              <w:left w:color="000000" w:sz="4" w:val="single"/>
              <w:bottom w:color="000000" w:sz="4" w:val="single"/>
              <w:right w:color="000000" w:sz="4" w:val="single"/>
            </w:tcBorders>
            <w:vAlign w:val="center"/>
          </w:tcPr>
          <w:p w14:paraId="F70B0000">
            <w:pPr>
              <w:ind/>
              <w:jc w:val="center"/>
              <w:rPr>
                <w:sz w:val="20"/>
              </w:rPr>
            </w:pPr>
            <w:r>
              <w:rPr>
                <w:sz w:val="20"/>
              </w:rPr>
              <w:t>0,030</w:t>
            </w:r>
          </w:p>
        </w:tc>
        <w:tc>
          <w:tcPr>
            <w:tcW w:type="dxa" w:w="1682"/>
            <w:tcBorders>
              <w:top w:color="000000" w:sz="4" w:val="single"/>
              <w:left w:color="000000" w:sz="4" w:val="single"/>
              <w:bottom w:color="000000" w:sz="4" w:val="single"/>
              <w:right w:color="000000" w:sz="4" w:val="single"/>
            </w:tcBorders>
            <w:vAlign w:val="center"/>
          </w:tcPr>
          <w:p w14:paraId="F80B0000">
            <w:pPr>
              <w:ind/>
              <w:jc w:val="center"/>
              <w:rPr>
                <w:sz w:val="20"/>
              </w:rPr>
            </w:pPr>
            <w:r>
              <w:rPr>
                <w:sz w:val="20"/>
              </w:rPr>
              <w:t>0,006</w:t>
            </w:r>
          </w:p>
        </w:tc>
      </w:tr>
    </w:tbl>
    <w:p w14:paraId="F90B0000">
      <w:pPr>
        <w:spacing w:after="0" w:before="200" w:line="240" w:lineRule="auto"/>
        <w:ind w:firstLine="567" w:left="0"/>
        <w:jc w:val="both"/>
        <w:rPr>
          <w:sz w:val="28"/>
        </w:rPr>
      </w:pPr>
      <w:r>
        <w:rPr>
          <w:sz w:val="28"/>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w:t>
      </w:r>
      <w:r>
        <w:rPr>
          <w:sz w:val="28"/>
        </w:rPr>
        <w:t xml:space="preserve">епловой энергии. </w:t>
      </w:r>
    </w:p>
    <w:p w14:paraId="FA0B0000">
      <w:pPr>
        <w:spacing w:after="0" w:before="200" w:line="240" w:lineRule="auto"/>
        <w:ind w:firstLine="567" w:left="0"/>
        <w:jc w:val="both"/>
        <w:rPr>
          <w:sz w:val="28"/>
        </w:rPr>
      </w:pPr>
      <w:r>
        <w:rPr>
          <w:sz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w:t>
      </w:r>
      <w:r>
        <w:rPr>
          <w:sz w:val="28"/>
        </w:rPr>
        <w:t>ого магистрального вывода.</w:t>
      </w:r>
    </w:p>
    <w:p w14:paraId="FB0B0000">
      <w:pPr>
        <w:spacing w:line="240" w:lineRule="auto"/>
        <w:ind w:firstLine="567" w:left="0"/>
        <w:jc w:val="both"/>
        <w:rPr>
          <w:sz w:val="28"/>
        </w:rPr>
      </w:pPr>
      <w:r>
        <w:rPr>
          <w:sz w:val="28"/>
        </w:rPr>
        <w:t>Магистральный трубопровод – единый имущественный, неделимый комплекс, состоящий из подземных, наземных и надземных трубопроводов и других объектов, обеспечивающих безопасную транспортировку продукции от пункта ее приемки до пункт</w:t>
      </w:r>
      <w:r>
        <w:rPr>
          <w:sz w:val="28"/>
        </w:rPr>
        <w:t xml:space="preserve">а сдачи, передачи в другие трубопроводы, на иной вид транспорта. Учитывая вышеизложенное определение, магистральных трубопроводов в системе теплоснабжения Куйбышевского сельского поселения нет, и соответственно гидравлический расчет не выполняется. </w:t>
      </w:r>
    </w:p>
    <w:p w14:paraId="FC0B0000">
      <w:pPr>
        <w:spacing w:line="240" w:lineRule="auto"/>
        <w:ind w:firstLine="567" w:left="0"/>
        <w:jc w:val="both"/>
        <w:rPr>
          <w:sz w:val="28"/>
        </w:rPr>
      </w:pPr>
      <w:r>
        <w:rPr>
          <w:sz w:val="28"/>
        </w:rPr>
        <w:t>в) Выв</w:t>
      </w:r>
      <w:r>
        <w:rPr>
          <w:sz w:val="28"/>
        </w:rPr>
        <w:t xml:space="preserve">оды о резервах (дефицитах) существующей системы теплоснабжения при обеспечении перспективной тепловой нагрузки потребителей. </w:t>
      </w:r>
    </w:p>
    <w:p w14:paraId="FD0B0000">
      <w:pPr>
        <w:spacing w:line="240" w:lineRule="auto"/>
        <w:ind w:firstLine="567" w:left="0"/>
        <w:jc w:val="both"/>
        <w:rPr>
          <w:sz w:val="28"/>
        </w:rPr>
      </w:pPr>
      <w:r>
        <w:rPr>
          <w:sz w:val="28"/>
        </w:rPr>
        <w:t>Из анализа балансов располагаемой мощности на источниках и подключенной нагрузки до 2033 года, следует вывод о достаточности резер</w:t>
      </w:r>
      <w:r>
        <w:rPr>
          <w:sz w:val="28"/>
        </w:rPr>
        <w:t>ва тепловой мощности на источнике ЦТ. В дальнейшем подключение перспективных потребителей к системе теплоснабжения от котельных возможно.</w:t>
      </w:r>
    </w:p>
    <w:p w14:paraId="FE0B0000">
      <w:pPr>
        <w:spacing w:line="240" w:lineRule="auto"/>
        <w:ind w:firstLine="567" w:left="0"/>
        <w:jc w:val="both"/>
        <w:rPr>
          <w:sz w:val="28"/>
        </w:rPr>
      </w:pPr>
    </w:p>
    <w:p w14:paraId="FF0B0000">
      <w:pPr>
        <w:spacing w:line="240" w:lineRule="auto"/>
        <w:ind w:firstLine="567" w:left="0"/>
        <w:jc w:val="both"/>
        <w:rPr>
          <w:sz w:val="28"/>
        </w:rPr>
      </w:pPr>
    </w:p>
    <w:p w14:paraId="000C0000">
      <w:pPr>
        <w:spacing w:line="240" w:lineRule="auto"/>
        <w:ind w:firstLine="567" w:left="0"/>
        <w:jc w:val="center"/>
        <w:rPr>
          <w:b w:val="1"/>
          <w:sz w:val="28"/>
        </w:rPr>
      </w:pPr>
      <w:r>
        <w:rPr>
          <w:b w:val="1"/>
          <w:sz w:val="28"/>
        </w:rPr>
        <w:t>Глава 5 «Мастер-план развития систем теплоснабжения Куйбышевского сельского поселения Куйбышевского района»</w:t>
      </w:r>
    </w:p>
    <w:p w14:paraId="010C0000">
      <w:pPr>
        <w:spacing w:line="240" w:lineRule="auto"/>
        <w:ind w:firstLine="567" w:left="0"/>
        <w:jc w:val="both"/>
        <w:rPr>
          <w:sz w:val="28"/>
        </w:rPr>
      </w:pPr>
      <w:r>
        <w:rPr>
          <w:sz w:val="28"/>
        </w:rPr>
        <w:t xml:space="preserve">а) Описание вариантов перспективного развития систем теплоснабжения Куйбышевского сельского поселения Куйбышевского района. </w:t>
      </w:r>
    </w:p>
    <w:p w14:paraId="020C0000">
      <w:pPr>
        <w:spacing w:line="240" w:lineRule="auto"/>
        <w:ind w:firstLine="567" w:left="0"/>
        <w:jc w:val="both"/>
        <w:rPr>
          <w:sz w:val="28"/>
        </w:rPr>
      </w:pPr>
      <w:r>
        <w:rPr>
          <w:sz w:val="28"/>
        </w:rPr>
        <w:t xml:space="preserve">1) Первый вариант перспективного развития системы теплоснабжения </w:t>
      </w:r>
    </w:p>
    <w:p w14:paraId="030C0000">
      <w:pPr>
        <w:spacing w:after="0" w:line="240" w:lineRule="auto"/>
        <w:ind/>
        <w:jc w:val="both"/>
        <w:rPr>
          <w:sz w:val="28"/>
        </w:rPr>
      </w:pPr>
      <w:r>
        <w:rPr>
          <w:sz w:val="28"/>
        </w:rPr>
        <w:t>Куйбышевского сельского поселения предлагается по генеральному пл</w:t>
      </w:r>
      <w:r>
        <w:rPr>
          <w:sz w:val="28"/>
        </w:rPr>
        <w:t xml:space="preserve">ану. </w:t>
      </w:r>
    </w:p>
    <w:p w14:paraId="040C0000">
      <w:pPr>
        <w:spacing w:after="0" w:line="240" w:lineRule="auto"/>
        <w:ind w:firstLine="567" w:left="0"/>
        <w:jc w:val="both"/>
        <w:rPr>
          <w:sz w:val="28"/>
        </w:rPr>
      </w:pPr>
      <w:r>
        <w:rPr>
          <w:sz w:val="28"/>
        </w:rPr>
        <w:t>Теплоснабжение потребителей населённых пунктов – жилая застройка предусматривается от автономных газовых котельных, отдельно стоящих, пристроенных, крышных. Разработка проектов теплоснабжения осуществляется специализированной организации.Существующие</w:t>
      </w:r>
      <w:r>
        <w:rPr>
          <w:sz w:val="28"/>
        </w:rPr>
        <w:t xml:space="preserve"> объекты общественной застройки обеспечиваются теплом от существующих котельных.</w:t>
      </w:r>
    </w:p>
    <w:p w14:paraId="050C0000">
      <w:pPr>
        <w:spacing w:after="0" w:line="240" w:lineRule="auto"/>
        <w:ind w:firstLine="567" w:left="0"/>
        <w:jc w:val="both"/>
        <w:rPr>
          <w:sz w:val="28"/>
        </w:rPr>
      </w:pPr>
      <w:r>
        <w:rPr>
          <w:sz w:val="28"/>
        </w:rPr>
        <w:t>2) Второй вариант перспективного развития системы теплоснабжения.</w:t>
      </w:r>
    </w:p>
    <w:p w14:paraId="060C0000">
      <w:pPr>
        <w:spacing w:after="0" w:line="240" w:lineRule="auto"/>
        <w:ind w:firstLine="567" w:left="0"/>
        <w:jc w:val="both"/>
        <w:rPr>
          <w:sz w:val="28"/>
        </w:rPr>
      </w:pPr>
      <w:r>
        <w:rPr>
          <w:sz w:val="28"/>
        </w:rPr>
        <w:t>Существующая зона жилой застройки сохраняется в зоне индивидуального</w:t>
      </w:r>
    </w:p>
    <w:p w14:paraId="070C0000">
      <w:pPr>
        <w:spacing w:line="240" w:lineRule="auto"/>
        <w:ind/>
        <w:jc w:val="both"/>
        <w:rPr>
          <w:sz w:val="28"/>
        </w:rPr>
      </w:pPr>
      <w:r>
        <w:rPr>
          <w:sz w:val="28"/>
        </w:rPr>
        <w:t>теплоснабжения с помощью квартирных котл</w:t>
      </w:r>
      <w:r>
        <w:rPr>
          <w:sz w:val="28"/>
        </w:rPr>
        <w:t>ов и прочие. Существующие объекты общественной застройки обеспечиваются теплом от существующих котельных.</w:t>
      </w:r>
    </w:p>
    <w:p w14:paraId="080C0000">
      <w:pPr>
        <w:spacing w:line="240" w:lineRule="auto"/>
        <w:ind w:firstLine="709" w:left="0"/>
        <w:jc w:val="both"/>
        <w:rPr>
          <w:sz w:val="28"/>
        </w:rPr>
      </w:pPr>
      <w:r>
        <w:rPr>
          <w:sz w:val="28"/>
        </w:rPr>
        <w:t xml:space="preserve">б) Технико-экономическое сравнение вариантов перспективного развития систем теплоснабжения Куйбышевского сельского поселения Куйбышевского района. </w:t>
      </w:r>
    </w:p>
    <w:p w14:paraId="090C0000">
      <w:pPr>
        <w:spacing w:line="240" w:lineRule="auto"/>
        <w:ind/>
        <w:jc w:val="both"/>
        <w:rPr>
          <w:sz w:val="28"/>
        </w:rPr>
      </w:pPr>
      <w:r>
        <w:rPr>
          <w:sz w:val="28"/>
        </w:rPr>
        <w:t>Таблица 33 Технико-экономическое сравнение вариантов перспективного развития на 2024 год</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25"/>
        <w:gridCol w:w="4905"/>
      </w:tblGrid>
      <w:tr>
        <w:tc>
          <w:tcPr>
            <w:tcW w:type="dxa" w:w="4625"/>
            <w:tcBorders>
              <w:top w:color="000000" w:sz="4" w:val="single"/>
              <w:left w:color="000000" w:sz="4" w:val="single"/>
              <w:bottom w:color="000000" w:sz="4" w:val="single"/>
              <w:right w:color="000000" w:sz="4" w:val="single"/>
            </w:tcBorders>
            <w:vAlign w:val="center"/>
          </w:tcPr>
          <w:p w14:paraId="0A0C0000">
            <w:pPr>
              <w:spacing w:line="240" w:lineRule="auto"/>
              <w:ind/>
              <w:jc w:val="center"/>
              <w:rPr>
                <w:sz w:val="20"/>
              </w:rPr>
            </w:pPr>
            <w:r>
              <w:rPr>
                <w:sz w:val="20"/>
              </w:rPr>
              <w:t xml:space="preserve">1 вариант </w:t>
            </w:r>
          </w:p>
        </w:tc>
        <w:tc>
          <w:tcPr>
            <w:tcW w:type="dxa" w:w="4905"/>
            <w:tcBorders>
              <w:top w:color="000000" w:sz="4" w:val="single"/>
              <w:left w:color="000000" w:sz="4" w:val="single"/>
              <w:bottom w:color="000000" w:sz="4" w:val="single"/>
              <w:right w:color="000000" w:sz="4" w:val="single"/>
            </w:tcBorders>
            <w:vAlign w:val="center"/>
          </w:tcPr>
          <w:p w14:paraId="0B0C0000">
            <w:pPr>
              <w:spacing w:line="240" w:lineRule="auto"/>
              <w:ind/>
              <w:jc w:val="center"/>
              <w:rPr>
                <w:sz w:val="20"/>
              </w:rPr>
            </w:pPr>
            <w:r>
              <w:rPr>
                <w:sz w:val="20"/>
              </w:rPr>
              <w:t xml:space="preserve">2 вариант </w:t>
            </w:r>
          </w:p>
        </w:tc>
      </w:tr>
      <w:tr>
        <w:tc>
          <w:tcPr>
            <w:tcW w:type="dxa" w:w="4625"/>
            <w:tcBorders>
              <w:top w:color="000000" w:sz="4" w:val="single"/>
              <w:left w:color="000000" w:sz="4" w:val="single"/>
              <w:bottom w:color="000000" w:sz="4" w:val="single"/>
              <w:right w:color="000000" w:sz="4" w:val="single"/>
            </w:tcBorders>
            <w:vAlign w:val="center"/>
          </w:tcPr>
          <w:p w14:paraId="0C0C0000">
            <w:pPr>
              <w:spacing w:line="240" w:lineRule="auto"/>
              <w:ind/>
              <w:jc w:val="center"/>
              <w:rPr>
                <w:sz w:val="20"/>
              </w:rPr>
            </w:pPr>
            <w:r>
              <w:rPr>
                <w:sz w:val="20"/>
              </w:rPr>
              <w:t>Тепловая нагрузка ЦИТЭ, 0,818 Гкал/час,                    ИИТЭ 1,251 Гкал/ч</w:t>
            </w:r>
          </w:p>
        </w:tc>
        <w:tc>
          <w:tcPr>
            <w:tcW w:type="dxa" w:w="4905"/>
            <w:tcBorders>
              <w:top w:color="000000" w:sz="4" w:val="single"/>
              <w:left w:color="000000" w:sz="4" w:val="single"/>
              <w:bottom w:color="000000" w:sz="4" w:val="single"/>
              <w:right w:color="000000" w:sz="4" w:val="single"/>
            </w:tcBorders>
            <w:vAlign w:val="center"/>
          </w:tcPr>
          <w:p w14:paraId="0D0C0000">
            <w:pPr>
              <w:spacing w:line="240" w:lineRule="auto"/>
              <w:ind/>
              <w:jc w:val="center"/>
              <w:rPr>
                <w:sz w:val="20"/>
              </w:rPr>
            </w:pPr>
            <w:r>
              <w:rPr>
                <w:sz w:val="20"/>
              </w:rPr>
              <w:t xml:space="preserve">Тепловая нагрузка ЦИТЭ, 0,818 Гкал/час,                    ИИТЭ </w:t>
            </w:r>
            <w:r>
              <w:rPr>
                <w:sz w:val="20"/>
              </w:rPr>
              <w:t>1,251 Гкал/ч</w:t>
            </w:r>
          </w:p>
        </w:tc>
      </w:tr>
      <w:tr>
        <w:trPr>
          <w:trHeight w:hRule="atLeast" w:val="665"/>
        </w:trPr>
        <w:tc>
          <w:tcPr>
            <w:tcW w:type="dxa" w:w="4625"/>
            <w:tcBorders>
              <w:top w:color="000000" w:sz="4" w:val="single"/>
              <w:left w:color="000000" w:sz="4" w:val="single"/>
              <w:bottom w:color="000000" w:sz="4" w:val="single"/>
              <w:right w:color="000000" w:sz="4" w:val="single"/>
            </w:tcBorders>
            <w:vAlign w:val="center"/>
          </w:tcPr>
          <w:p w14:paraId="0E0C0000">
            <w:pPr>
              <w:spacing w:line="240" w:lineRule="auto"/>
              <w:ind/>
              <w:jc w:val="center"/>
              <w:rPr>
                <w:sz w:val="20"/>
              </w:rPr>
            </w:pPr>
            <w:r>
              <w:rPr>
                <w:sz w:val="20"/>
              </w:rPr>
              <w:t>Годовое потребление тепловой энергии 3540,434 Гкал/год</w:t>
            </w:r>
          </w:p>
        </w:tc>
        <w:tc>
          <w:tcPr>
            <w:tcW w:type="dxa" w:w="4905"/>
            <w:tcBorders>
              <w:top w:color="000000" w:sz="4" w:val="single"/>
              <w:left w:color="000000" w:sz="4" w:val="single"/>
              <w:bottom w:color="000000" w:sz="4" w:val="single"/>
              <w:right w:color="000000" w:sz="4" w:val="single"/>
            </w:tcBorders>
            <w:vAlign w:val="center"/>
          </w:tcPr>
          <w:p w14:paraId="0F0C0000">
            <w:pPr>
              <w:spacing w:line="240" w:lineRule="auto"/>
              <w:ind/>
              <w:jc w:val="center"/>
              <w:rPr>
                <w:sz w:val="20"/>
              </w:rPr>
            </w:pPr>
            <w:r>
              <w:rPr>
                <w:sz w:val="20"/>
              </w:rPr>
              <w:t>Годовое потребление тепловой энергии 3730,462 Гкал/год</w:t>
            </w:r>
          </w:p>
        </w:tc>
      </w:tr>
      <w:tr>
        <w:tc>
          <w:tcPr>
            <w:tcW w:type="dxa" w:w="4625"/>
            <w:tcBorders>
              <w:top w:color="000000" w:sz="4" w:val="single"/>
              <w:left w:color="000000" w:sz="4" w:val="single"/>
              <w:bottom w:color="000000" w:sz="4" w:val="single"/>
              <w:right w:color="000000" w:sz="4" w:val="single"/>
            </w:tcBorders>
            <w:vAlign w:val="center"/>
          </w:tcPr>
          <w:p w14:paraId="100C0000">
            <w:pPr>
              <w:spacing w:line="240" w:lineRule="auto"/>
              <w:ind/>
              <w:jc w:val="center"/>
              <w:rPr>
                <w:sz w:val="20"/>
              </w:rPr>
            </w:pPr>
            <w:r>
              <w:rPr>
                <w:sz w:val="20"/>
              </w:rPr>
              <w:t>Финансирование за счет средств по концессионному соглашению</w:t>
            </w:r>
          </w:p>
        </w:tc>
        <w:tc>
          <w:tcPr>
            <w:tcW w:type="dxa" w:w="4905"/>
            <w:tcBorders>
              <w:top w:color="000000" w:sz="4" w:val="single"/>
              <w:left w:color="000000" w:sz="4" w:val="single"/>
              <w:bottom w:color="000000" w:sz="4" w:val="single"/>
              <w:right w:color="000000" w:sz="4" w:val="single"/>
            </w:tcBorders>
            <w:vAlign w:val="center"/>
          </w:tcPr>
          <w:p w14:paraId="110C0000">
            <w:pPr>
              <w:spacing w:line="240" w:lineRule="auto"/>
              <w:ind/>
              <w:jc w:val="center"/>
              <w:rPr>
                <w:sz w:val="20"/>
              </w:rPr>
            </w:pPr>
            <w:r>
              <w:rPr>
                <w:sz w:val="20"/>
              </w:rPr>
              <w:t xml:space="preserve">Финансирование за счет средств по                   концессионному </w:t>
            </w:r>
            <w:r>
              <w:rPr>
                <w:sz w:val="20"/>
              </w:rPr>
              <w:t>соглашению</w:t>
            </w:r>
          </w:p>
        </w:tc>
      </w:tr>
      <w:tr>
        <w:tc>
          <w:tcPr>
            <w:tcW w:type="dxa" w:w="4625"/>
            <w:tcBorders>
              <w:top w:color="000000" w:sz="4" w:val="single"/>
              <w:left w:color="000000" w:sz="4" w:val="single"/>
              <w:bottom w:color="000000" w:sz="4" w:val="single"/>
              <w:right w:color="000000" w:sz="4" w:val="single"/>
            </w:tcBorders>
            <w:vAlign w:val="center"/>
          </w:tcPr>
          <w:p w14:paraId="120C0000">
            <w:pPr>
              <w:spacing w:line="240" w:lineRule="auto"/>
              <w:ind/>
              <w:jc w:val="center"/>
              <w:rPr>
                <w:sz w:val="20"/>
              </w:rPr>
            </w:pPr>
            <w:r>
              <w:rPr>
                <w:sz w:val="20"/>
              </w:rPr>
              <w:t>Протяженность построенных тепловых сетей, 1446,9 м</w:t>
            </w:r>
          </w:p>
        </w:tc>
        <w:tc>
          <w:tcPr>
            <w:tcW w:type="dxa" w:w="4905"/>
            <w:tcBorders>
              <w:top w:color="000000" w:sz="4" w:val="single"/>
              <w:left w:color="000000" w:sz="4" w:val="single"/>
              <w:bottom w:color="000000" w:sz="4" w:val="single"/>
              <w:right w:color="000000" w:sz="4" w:val="single"/>
            </w:tcBorders>
            <w:vAlign w:val="center"/>
          </w:tcPr>
          <w:p w14:paraId="130C0000">
            <w:pPr>
              <w:spacing w:line="240" w:lineRule="auto"/>
              <w:ind/>
              <w:jc w:val="center"/>
              <w:rPr>
                <w:sz w:val="20"/>
              </w:rPr>
            </w:pPr>
            <w:r>
              <w:rPr>
                <w:sz w:val="20"/>
              </w:rPr>
              <w:t>Протяженность построенных тепловых сетей, 1446,9 м</w:t>
            </w:r>
          </w:p>
        </w:tc>
      </w:tr>
      <w:tr>
        <w:tc>
          <w:tcPr>
            <w:tcW w:type="dxa" w:w="4625"/>
            <w:tcBorders>
              <w:top w:color="000000" w:sz="4" w:val="single"/>
              <w:left w:color="000000" w:sz="4" w:val="single"/>
              <w:bottom w:color="000000" w:sz="4" w:val="single"/>
              <w:right w:color="000000" w:sz="4" w:val="single"/>
            </w:tcBorders>
            <w:vAlign w:val="center"/>
          </w:tcPr>
          <w:p w14:paraId="140C0000">
            <w:pPr>
              <w:spacing w:line="240" w:lineRule="auto"/>
              <w:ind/>
              <w:jc w:val="center"/>
              <w:rPr>
                <w:sz w:val="20"/>
              </w:rPr>
            </w:pPr>
            <w:r>
              <w:rPr>
                <w:sz w:val="20"/>
              </w:rPr>
              <w:t>Жилая застройка обеспечивается теплом автономно</w:t>
            </w:r>
          </w:p>
        </w:tc>
        <w:tc>
          <w:tcPr>
            <w:tcW w:type="dxa" w:w="4905"/>
            <w:tcBorders>
              <w:top w:color="000000" w:sz="4" w:val="single"/>
              <w:left w:color="000000" w:sz="4" w:val="single"/>
              <w:bottom w:color="000000" w:sz="4" w:val="single"/>
              <w:right w:color="000000" w:sz="4" w:val="single"/>
            </w:tcBorders>
            <w:vAlign w:val="center"/>
          </w:tcPr>
          <w:p w14:paraId="150C0000">
            <w:pPr>
              <w:spacing w:line="240" w:lineRule="auto"/>
              <w:ind/>
              <w:jc w:val="center"/>
              <w:rPr>
                <w:sz w:val="20"/>
              </w:rPr>
            </w:pPr>
            <w:r>
              <w:rPr>
                <w:sz w:val="20"/>
              </w:rPr>
              <w:t>Жилая застройка обеспечивается теплом автономно</w:t>
            </w:r>
          </w:p>
        </w:tc>
      </w:tr>
    </w:tbl>
    <w:p w14:paraId="160C0000">
      <w:pPr>
        <w:spacing w:before="200" w:line="240" w:lineRule="auto"/>
        <w:ind w:firstLine="709" w:left="0"/>
        <w:jc w:val="both"/>
        <w:rPr>
          <w:sz w:val="28"/>
        </w:rPr>
      </w:pPr>
      <w:r>
        <w:rPr>
          <w:sz w:val="28"/>
        </w:rPr>
        <w:t>в) Обоснование выбора приоритетного варианта</w:t>
      </w:r>
      <w:r>
        <w:rPr>
          <w:sz w:val="28"/>
        </w:rPr>
        <w:t xml:space="preserve"> перспективного развития систем теплоснабжения Куйбышевского сельского поселения Куйбышевского района, на основе анализа ценовых (тарифных) последствий для потребителей, а в ценовых зонах теплоснабжения - на основе анализа ценовых (тарифных) последствий дл</w:t>
      </w:r>
      <w:r>
        <w:rPr>
          <w:sz w:val="28"/>
        </w:rPr>
        <w:t xml:space="preserve">я потребителей, возникших при осуществлении регулируемых видов деятельности, и индикаторов развития систем теплоснабжения Куйбышевского сельского поселения Куйбышевского района. </w:t>
      </w:r>
    </w:p>
    <w:p w14:paraId="170C0000">
      <w:pPr>
        <w:spacing w:before="200" w:line="240" w:lineRule="auto"/>
        <w:ind w:firstLine="709" w:left="0"/>
        <w:jc w:val="both"/>
        <w:rPr>
          <w:sz w:val="28"/>
        </w:rPr>
      </w:pPr>
      <w:r>
        <w:rPr>
          <w:sz w:val="28"/>
        </w:rPr>
        <w:t>Поскольку в предлагаемых вариантах развития теплоснабжения на 2024 год не пре</w:t>
      </w:r>
      <w:r>
        <w:rPr>
          <w:sz w:val="28"/>
        </w:rPr>
        <w:t xml:space="preserve">дполагается строительство (реконструкция) котельных центрального теплоснабжения, анализ ценовых (тарифных) последствий не проводится. </w:t>
      </w:r>
    </w:p>
    <w:p w14:paraId="180C0000">
      <w:pPr>
        <w:spacing w:before="200" w:line="240" w:lineRule="auto"/>
        <w:ind/>
        <w:jc w:val="center"/>
        <w:rPr>
          <w:b w:val="1"/>
          <w:sz w:val="28"/>
        </w:rPr>
      </w:pPr>
      <w:r>
        <w:rPr>
          <w:b w:val="1"/>
          <w:sz w:val="28"/>
        </w:rPr>
        <w:t>Глава 6 «Существующие и перспективные балансы производительности водоподготовительных установок и максимального потреблен</w:t>
      </w:r>
      <w:r>
        <w:rPr>
          <w:b w:val="1"/>
          <w:sz w:val="28"/>
        </w:rPr>
        <w:t>ия теплоносителя теплопотребляющими установками потребителей, в том числе в аварийных режимах Куйбышевского сельского поселения Куйбышевского района»</w:t>
      </w:r>
    </w:p>
    <w:p w14:paraId="190C0000">
      <w:pPr>
        <w:spacing w:line="20" w:lineRule="atLeast"/>
        <w:ind w:firstLine="709" w:left="0"/>
        <w:jc w:val="both"/>
        <w:rPr>
          <w:sz w:val="28"/>
        </w:rPr>
      </w:pPr>
      <w:r>
        <w:rPr>
          <w:sz w:val="28"/>
        </w:rPr>
        <w:t>а) Расчетная величина нормативных потерь (в ценовых зонах теплоснабжения - расчетную величину плановых пот</w:t>
      </w:r>
      <w:r>
        <w:rPr>
          <w:sz w:val="28"/>
        </w:rPr>
        <w:t>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p w14:paraId="1A0C0000">
      <w:pPr>
        <w:spacing w:line="20" w:lineRule="atLeast"/>
        <w:ind w:firstLine="709" w:left="0"/>
        <w:jc w:val="both"/>
        <w:rPr>
          <w:sz w:val="28"/>
        </w:rPr>
      </w:pPr>
      <w:r>
        <w:rPr>
          <w:sz w:val="28"/>
        </w:rPr>
        <w:t xml:space="preserve">Сведения о ВПУ отражены в утверждаемой части схемы. </w:t>
      </w:r>
    </w:p>
    <w:p w14:paraId="1B0C0000">
      <w:pPr>
        <w:spacing w:line="20" w:lineRule="atLeast"/>
        <w:ind w:firstLine="709" w:left="0"/>
        <w:jc w:val="both"/>
        <w:rPr>
          <w:sz w:val="28"/>
        </w:rPr>
      </w:pPr>
      <w:r>
        <w:rPr>
          <w:sz w:val="28"/>
        </w:rPr>
        <w:t>б) Максимальный и среднечасовой</w:t>
      </w:r>
      <w:r>
        <w:rPr>
          <w:sz w:val="28"/>
        </w:rPr>
        <w:t xml:space="preserve">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w:t>
      </w:r>
      <w:r>
        <w:rPr>
          <w:sz w:val="28"/>
        </w:rPr>
        <w:t>нных к открытой системе теплоснабжения (горячего водоснабжения), отдельным участкам такой системы, на закрытую систему горячего водоснабжения;.</w:t>
      </w:r>
    </w:p>
    <w:p w14:paraId="1C0C0000">
      <w:pPr>
        <w:spacing w:before="200" w:line="240" w:lineRule="auto"/>
        <w:ind w:firstLine="709" w:left="0"/>
        <w:jc w:val="both"/>
        <w:rPr>
          <w:sz w:val="28"/>
        </w:rPr>
      </w:pPr>
      <w:r>
        <w:rPr>
          <w:sz w:val="28"/>
        </w:rPr>
        <w:t>Централизованная ГВС на территории Куйбышевского сельского поселения не предусмотрена.</w:t>
      </w:r>
    </w:p>
    <w:p w14:paraId="1D0C0000">
      <w:pPr>
        <w:spacing w:before="200" w:line="240" w:lineRule="auto"/>
        <w:ind w:firstLine="709" w:left="0"/>
        <w:jc w:val="both"/>
        <w:rPr>
          <w:sz w:val="28"/>
        </w:rPr>
      </w:pPr>
      <w:r>
        <w:rPr>
          <w:sz w:val="28"/>
        </w:rPr>
        <w:t xml:space="preserve">в) Сведения о наличии </w:t>
      </w:r>
      <w:r>
        <w:rPr>
          <w:sz w:val="28"/>
        </w:rPr>
        <w:t>баков-аккумуляторов.</w:t>
      </w:r>
    </w:p>
    <w:p w14:paraId="1E0C0000">
      <w:pPr>
        <w:spacing w:before="200" w:line="240" w:lineRule="auto"/>
        <w:ind w:firstLine="709" w:left="0"/>
        <w:jc w:val="both"/>
        <w:rPr>
          <w:sz w:val="28"/>
        </w:rPr>
      </w:pPr>
      <w:r>
        <w:rPr>
          <w:sz w:val="28"/>
        </w:rPr>
        <w:t>На территории Куйбышевского сельского поселения баки-аккумуляторы не предусмотрены.</w:t>
      </w:r>
    </w:p>
    <w:p w14:paraId="1F0C0000">
      <w:pPr>
        <w:spacing w:before="200" w:line="240" w:lineRule="auto"/>
        <w:ind w:firstLine="709" w:left="0"/>
        <w:jc w:val="both"/>
        <w:rPr>
          <w:sz w:val="28"/>
        </w:rPr>
      </w:pPr>
      <w:r>
        <w:rPr>
          <w:sz w:val="28"/>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200C0000">
      <w:pPr>
        <w:spacing w:line="20" w:lineRule="atLeast"/>
        <w:ind w:firstLine="709" w:left="0"/>
        <w:jc w:val="both"/>
        <w:rPr>
          <w:sz w:val="28"/>
        </w:rPr>
      </w:pPr>
      <w:r>
        <w:rPr>
          <w:sz w:val="28"/>
        </w:rPr>
        <w:t xml:space="preserve">Сведения о ВПУ отражены в утверждаемой части схемы. </w:t>
      </w:r>
    </w:p>
    <w:p w14:paraId="210C0000">
      <w:pPr>
        <w:spacing w:before="200" w:line="240" w:lineRule="auto"/>
        <w:ind w:firstLine="709" w:left="0"/>
        <w:jc w:val="both"/>
        <w:rPr>
          <w:sz w:val="28"/>
        </w:rPr>
      </w:pPr>
      <w:r>
        <w:rPr>
          <w:sz w:val="28"/>
        </w:rPr>
        <w:t xml:space="preserve">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p>
    <w:p w14:paraId="220C0000">
      <w:pPr>
        <w:spacing w:before="200" w:line="240" w:lineRule="auto"/>
        <w:ind w:firstLine="709" w:left="0"/>
        <w:jc w:val="both"/>
        <w:rPr>
          <w:sz w:val="28"/>
        </w:rPr>
      </w:pPr>
      <w:r>
        <w:rPr>
          <w:sz w:val="28"/>
        </w:rPr>
        <w:t>Сведения о ВПУ отражены в утверждаемой части схе</w:t>
      </w:r>
      <w:r>
        <w:rPr>
          <w:sz w:val="28"/>
        </w:rPr>
        <w:t xml:space="preserve">мы. В схеме не предусматриваются мероприятия по модернизации, техническому перевооружению ВПУ.  </w:t>
      </w:r>
    </w:p>
    <w:p w14:paraId="230C0000">
      <w:pPr>
        <w:spacing w:before="200" w:line="240" w:lineRule="auto"/>
        <w:ind w:firstLine="567" w:left="0"/>
        <w:jc w:val="center"/>
        <w:rPr>
          <w:b w:val="1"/>
          <w:sz w:val="28"/>
        </w:rPr>
      </w:pPr>
      <w:r>
        <w:rPr>
          <w:b w:val="1"/>
          <w:sz w:val="28"/>
        </w:rPr>
        <w:t>Глава 7 «Предложения по строительству, реконструкции, техническому перевооружению и (или) модернизации источников тепловой энергии Куйбышевского сельского посе</w:t>
      </w:r>
      <w:r>
        <w:rPr>
          <w:b w:val="1"/>
          <w:sz w:val="28"/>
        </w:rPr>
        <w:t>ления Куйбышевского района»</w:t>
      </w:r>
    </w:p>
    <w:p w14:paraId="240C0000">
      <w:pPr>
        <w:spacing w:before="200" w:line="240" w:lineRule="auto"/>
        <w:ind w:firstLine="567" w:left="0"/>
        <w:jc w:val="both"/>
        <w:rPr>
          <w:sz w:val="28"/>
        </w:rPr>
      </w:pPr>
      <w:r>
        <w:rPr>
          <w:sz w:val="28"/>
        </w:rPr>
        <w:t xml:space="preserve">а) Описание условий организации централизованного теплоснабжения, </w:t>
      </w:r>
    </w:p>
    <w:p w14:paraId="250C0000">
      <w:pPr>
        <w:spacing w:line="240" w:lineRule="auto"/>
        <w:ind/>
        <w:jc w:val="both"/>
        <w:rPr>
          <w:sz w:val="28"/>
        </w:rPr>
      </w:pPr>
      <w:r>
        <w:rPr>
          <w:sz w:val="28"/>
        </w:rPr>
        <w:t>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w:t>
      </w:r>
      <w:r>
        <w:rPr>
          <w:sz w:val="28"/>
        </w:rPr>
        <w:t>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w:t>
      </w:r>
      <w:r>
        <w:rPr>
          <w:sz w:val="28"/>
        </w:rPr>
        <w:t>орядке, установленном методическими указаниями по разработке схем теплоснабжения.</w:t>
      </w:r>
    </w:p>
    <w:p w14:paraId="260C0000">
      <w:pPr>
        <w:spacing w:line="240" w:lineRule="auto"/>
        <w:ind w:firstLine="567" w:left="0"/>
        <w:jc w:val="both"/>
        <w:rPr>
          <w:sz w:val="28"/>
        </w:rPr>
      </w:pPr>
      <w:r>
        <w:rPr>
          <w:sz w:val="28"/>
        </w:rPr>
        <w:t>Таблица 34 Описание условий организации теплоснабжения</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20"/>
        <w:gridCol w:w="5650"/>
        <w:gridCol w:w="1559"/>
      </w:tblGrid>
      <w:tr>
        <w:trPr>
          <w:trHeight w:hRule="atLeast" w:val="413"/>
        </w:trPr>
        <w:tc>
          <w:tcPr>
            <w:tcW w:type="dxa" w:w="2320"/>
            <w:tcBorders>
              <w:top w:color="000000" w:sz="4" w:val="single"/>
              <w:left w:color="000000" w:sz="4" w:val="single"/>
              <w:bottom w:color="000000" w:sz="4" w:val="single"/>
              <w:right w:color="000000" w:sz="4" w:val="single"/>
            </w:tcBorders>
            <w:vAlign w:val="center"/>
          </w:tcPr>
          <w:p w14:paraId="270C0000">
            <w:pPr>
              <w:spacing w:line="240" w:lineRule="auto"/>
              <w:ind/>
              <w:jc w:val="center"/>
              <w:rPr>
                <w:sz w:val="20"/>
              </w:rPr>
            </w:pPr>
            <w:r>
              <w:rPr>
                <w:sz w:val="20"/>
              </w:rPr>
              <w:t>ЦТ</w:t>
            </w:r>
          </w:p>
        </w:tc>
        <w:tc>
          <w:tcPr>
            <w:tcW w:type="dxa" w:w="5650"/>
            <w:tcBorders>
              <w:top w:color="000000" w:sz="4" w:val="single"/>
              <w:left w:color="000000" w:sz="4" w:val="single"/>
              <w:bottom w:color="000000" w:sz="4" w:val="single"/>
              <w:right w:color="000000" w:sz="4" w:val="single"/>
            </w:tcBorders>
            <w:vAlign w:val="center"/>
          </w:tcPr>
          <w:p w14:paraId="280C0000">
            <w:pPr>
              <w:spacing w:line="240" w:lineRule="auto"/>
              <w:ind/>
              <w:jc w:val="center"/>
              <w:rPr>
                <w:sz w:val="20"/>
              </w:rPr>
            </w:pPr>
            <w:r>
              <w:rPr>
                <w:sz w:val="20"/>
              </w:rPr>
              <w:t>ИТ</w:t>
            </w:r>
          </w:p>
        </w:tc>
        <w:tc>
          <w:tcPr>
            <w:tcW w:type="dxa" w:w="1559"/>
            <w:tcBorders>
              <w:top w:color="000000" w:sz="4" w:val="single"/>
              <w:left w:color="000000" w:sz="4" w:val="single"/>
              <w:bottom w:color="000000" w:sz="4" w:val="single"/>
              <w:right w:color="000000" w:sz="4" w:val="single"/>
            </w:tcBorders>
            <w:vAlign w:val="center"/>
          </w:tcPr>
          <w:p w14:paraId="290C0000">
            <w:pPr>
              <w:spacing w:line="240" w:lineRule="auto"/>
              <w:ind/>
              <w:jc w:val="center"/>
              <w:rPr>
                <w:sz w:val="20"/>
              </w:rPr>
            </w:pPr>
            <w:r>
              <w:rPr>
                <w:sz w:val="20"/>
              </w:rPr>
              <w:t>Поквартирное отопление</w:t>
            </w:r>
          </w:p>
        </w:tc>
      </w:tr>
      <w:tr>
        <w:tc>
          <w:tcPr>
            <w:tcW w:type="dxa" w:w="2320"/>
            <w:tcBorders>
              <w:top w:color="000000" w:sz="4" w:val="single"/>
              <w:left w:color="000000" w:sz="4" w:val="single"/>
              <w:bottom w:color="000000" w:sz="4" w:val="single"/>
              <w:right w:color="000000" w:sz="4" w:val="single"/>
            </w:tcBorders>
            <w:vAlign w:val="center"/>
          </w:tcPr>
          <w:p w14:paraId="2A0C0000">
            <w:pPr>
              <w:spacing w:line="240" w:lineRule="auto"/>
              <w:ind/>
              <w:jc w:val="center"/>
              <w:rPr>
                <w:sz w:val="20"/>
              </w:rPr>
            </w:pPr>
            <w:r>
              <w:rPr>
                <w:sz w:val="20"/>
              </w:rPr>
              <w:t xml:space="preserve">Котельная с. Куйбышево, ул. Пролетарская, 7, ТН 0,818 Гкал/ч, подключение *ТУ нет- наличие устройств регулирования подачи тепловой энергии на котельной. Все объекты, подключенные к котельным, в доступном радиусе обслуживания. </w:t>
            </w:r>
          </w:p>
        </w:tc>
        <w:tc>
          <w:tcPr>
            <w:tcW w:type="dxa" w:w="5650"/>
            <w:tcBorders>
              <w:top w:color="000000" w:sz="4" w:val="single"/>
              <w:left w:color="000000" w:sz="4" w:val="single"/>
              <w:bottom w:color="000000" w:sz="4" w:val="single"/>
              <w:right w:color="000000" w:sz="4" w:val="single"/>
            </w:tcBorders>
            <w:vAlign w:val="center"/>
          </w:tcPr>
          <w:p w14:paraId="2B0C0000">
            <w:pPr>
              <w:spacing w:line="240" w:lineRule="auto"/>
              <w:ind/>
              <w:jc w:val="center"/>
              <w:rPr>
                <w:sz w:val="20"/>
              </w:rPr>
            </w:pPr>
            <w:r>
              <w:rPr>
                <w:sz w:val="20"/>
              </w:rPr>
              <w:t>с. Русское, ул. Красноармейск</w:t>
            </w:r>
            <w:r>
              <w:rPr>
                <w:sz w:val="20"/>
              </w:rPr>
              <w:t>ая, 8-а</w:t>
            </w:r>
          </w:p>
          <w:p w14:paraId="2C0C0000">
            <w:pPr>
              <w:spacing w:line="240" w:lineRule="auto"/>
              <w:ind/>
              <w:jc w:val="center"/>
              <w:rPr>
                <w:sz w:val="20"/>
              </w:rPr>
            </w:pPr>
            <w:r>
              <w:rPr>
                <w:sz w:val="20"/>
              </w:rPr>
              <w:t>с. Русское, ул. Героя Советского Союза М.П. Алексеева, 8</w:t>
            </w:r>
          </w:p>
          <w:p w14:paraId="2D0C0000">
            <w:pPr>
              <w:spacing w:line="240" w:lineRule="auto"/>
              <w:ind/>
              <w:jc w:val="center"/>
              <w:rPr>
                <w:sz w:val="20"/>
              </w:rPr>
            </w:pPr>
            <w:r>
              <w:rPr>
                <w:sz w:val="20"/>
              </w:rPr>
              <w:t>с. Куйбышево, ул. Театральная, 72</w:t>
            </w:r>
          </w:p>
          <w:p w14:paraId="2E0C0000">
            <w:pPr>
              <w:spacing w:line="240" w:lineRule="auto"/>
              <w:ind/>
              <w:jc w:val="center"/>
              <w:rPr>
                <w:sz w:val="20"/>
              </w:rPr>
            </w:pPr>
            <w:r>
              <w:rPr>
                <w:sz w:val="20"/>
              </w:rPr>
              <w:t>с. Куйбышево, ул. Пролетарская, 2 а</w:t>
            </w:r>
          </w:p>
          <w:p w14:paraId="2F0C0000">
            <w:pPr>
              <w:spacing w:line="240" w:lineRule="auto"/>
              <w:ind/>
              <w:jc w:val="center"/>
              <w:rPr>
                <w:sz w:val="20"/>
              </w:rPr>
            </w:pPr>
            <w:r>
              <w:rPr>
                <w:sz w:val="20"/>
              </w:rPr>
              <w:t>с. Куйбышево, ул. Кузьменко, 3 а</w:t>
            </w:r>
          </w:p>
          <w:p w14:paraId="300C0000">
            <w:pPr>
              <w:spacing w:line="240" w:lineRule="auto"/>
              <w:ind/>
              <w:jc w:val="center"/>
              <w:rPr>
                <w:sz w:val="20"/>
              </w:rPr>
            </w:pPr>
            <w:r>
              <w:rPr>
                <w:sz w:val="20"/>
              </w:rPr>
              <w:t>х. Свободный, ул. Молодёжная, 8</w:t>
            </w:r>
          </w:p>
          <w:p w14:paraId="310C0000">
            <w:pPr>
              <w:spacing w:line="240" w:lineRule="auto"/>
              <w:ind/>
              <w:jc w:val="center"/>
              <w:rPr>
                <w:sz w:val="20"/>
              </w:rPr>
            </w:pPr>
            <w:r>
              <w:rPr>
                <w:sz w:val="20"/>
              </w:rPr>
              <w:t>х. Ольховский, ул. Центральная, 3 а</w:t>
            </w:r>
          </w:p>
          <w:p w14:paraId="320C0000">
            <w:pPr>
              <w:spacing w:line="240" w:lineRule="auto"/>
              <w:ind/>
              <w:jc w:val="center"/>
              <w:rPr>
                <w:sz w:val="20"/>
              </w:rPr>
            </w:pPr>
            <w:r>
              <w:rPr>
                <w:sz w:val="20"/>
              </w:rPr>
              <w:t xml:space="preserve">с. Куйбышево, ул. </w:t>
            </w:r>
            <w:r>
              <w:rPr>
                <w:sz w:val="20"/>
              </w:rPr>
              <w:t>Пролетарская, 5</w:t>
            </w:r>
          </w:p>
          <w:p w14:paraId="330C0000">
            <w:pPr>
              <w:spacing w:line="240" w:lineRule="auto"/>
              <w:ind/>
              <w:jc w:val="center"/>
              <w:rPr>
                <w:sz w:val="20"/>
              </w:rPr>
            </w:pPr>
            <w:r>
              <w:rPr>
                <w:sz w:val="20"/>
              </w:rPr>
              <w:t>с. Куйбышево, ул. Театральная, 22</w:t>
            </w:r>
          </w:p>
          <w:p w14:paraId="340C0000">
            <w:pPr>
              <w:spacing w:line="240" w:lineRule="auto"/>
              <w:ind/>
              <w:jc w:val="center"/>
              <w:rPr>
                <w:sz w:val="20"/>
              </w:rPr>
            </w:pPr>
            <w:r>
              <w:rPr>
                <w:sz w:val="20"/>
              </w:rPr>
              <w:t>х. Свободный, ул. Победы, 29</w:t>
            </w:r>
          </w:p>
          <w:p w14:paraId="350C0000">
            <w:pPr>
              <w:spacing w:line="240" w:lineRule="auto"/>
              <w:ind/>
              <w:jc w:val="center"/>
              <w:rPr>
                <w:sz w:val="20"/>
              </w:rPr>
            </w:pPr>
            <w:r>
              <w:rPr>
                <w:sz w:val="20"/>
              </w:rPr>
              <w:t>х. Новобахмутский, ул. Широкая, 89 а</w:t>
            </w:r>
          </w:p>
          <w:p w14:paraId="360C0000">
            <w:pPr>
              <w:spacing w:line="240" w:lineRule="auto"/>
              <w:ind/>
              <w:jc w:val="center"/>
              <w:rPr>
                <w:sz w:val="20"/>
              </w:rPr>
            </w:pPr>
            <w:r>
              <w:rPr>
                <w:sz w:val="20"/>
              </w:rPr>
              <w:t>с. Русское, ул. Красноармейская, 1</w:t>
            </w:r>
          </w:p>
          <w:p w14:paraId="370C0000">
            <w:pPr>
              <w:spacing w:line="240" w:lineRule="auto"/>
              <w:ind/>
              <w:jc w:val="center"/>
              <w:rPr>
                <w:sz w:val="20"/>
              </w:rPr>
            </w:pPr>
            <w:r>
              <w:rPr>
                <w:sz w:val="20"/>
              </w:rPr>
              <w:t>с. Куйбышево, ул. Цветаева, 31</w:t>
            </w:r>
          </w:p>
          <w:p w14:paraId="380C0000">
            <w:pPr>
              <w:spacing w:line="240" w:lineRule="auto"/>
              <w:ind/>
              <w:jc w:val="center"/>
              <w:rPr>
                <w:sz w:val="20"/>
              </w:rPr>
            </w:pPr>
            <w:r>
              <w:rPr>
                <w:sz w:val="20"/>
              </w:rPr>
              <w:t>с. Куйбышево, ул. Куйбышевская, 24</w:t>
            </w:r>
          </w:p>
          <w:p w14:paraId="390C0000">
            <w:pPr>
              <w:spacing w:line="240" w:lineRule="auto"/>
              <w:ind/>
              <w:jc w:val="center"/>
              <w:rPr>
                <w:sz w:val="20"/>
              </w:rPr>
            </w:pPr>
            <w:r>
              <w:rPr>
                <w:sz w:val="20"/>
              </w:rPr>
              <w:t>с. Куйбышево, ул. Куйбышевская, 20</w:t>
            </w:r>
          </w:p>
          <w:p w14:paraId="3A0C0000">
            <w:pPr>
              <w:spacing w:line="240" w:lineRule="auto"/>
              <w:ind/>
              <w:jc w:val="center"/>
              <w:rPr>
                <w:sz w:val="20"/>
              </w:rPr>
            </w:pPr>
            <w:r>
              <w:rPr>
                <w:sz w:val="20"/>
              </w:rPr>
              <w:t xml:space="preserve">с. </w:t>
            </w:r>
            <w:r>
              <w:rPr>
                <w:sz w:val="20"/>
              </w:rPr>
              <w:t>Куйбышево, ул. Миусская, 3 *10 объектов</w:t>
            </w:r>
          </w:p>
        </w:tc>
        <w:tc>
          <w:tcPr>
            <w:tcW w:type="dxa" w:w="1559"/>
            <w:tcBorders>
              <w:top w:color="000000" w:sz="4" w:val="single"/>
              <w:left w:color="000000" w:sz="4" w:val="single"/>
              <w:bottom w:color="000000" w:sz="4" w:val="single"/>
              <w:right w:color="000000" w:sz="4" w:val="single"/>
            </w:tcBorders>
            <w:vAlign w:val="center"/>
          </w:tcPr>
          <w:p w14:paraId="3B0C0000">
            <w:pPr>
              <w:spacing w:line="240" w:lineRule="auto"/>
              <w:ind/>
              <w:jc w:val="center"/>
              <w:rPr>
                <w:sz w:val="20"/>
              </w:rPr>
            </w:pPr>
            <w:r>
              <w:rPr>
                <w:sz w:val="20"/>
              </w:rPr>
              <w:t>Сведения об объектах отсутствуют</w:t>
            </w:r>
          </w:p>
        </w:tc>
      </w:tr>
    </w:tbl>
    <w:p w14:paraId="3C0C0000">
      <w:pPr>
        <w:spacing w:line="240" w:lineRule="auto"/>
        <w:ind/>
        <w:jc w:val="both"/>
        <w:rPr>
          <w:sz w:val="20"/>
        </w:rPr>
      </w:pPr>
      <w:r>
        <w:rPr>
          <w:sz w:val="20"/>
        </w:rPr>
        <w:t>*тепло-потребляющая установка</w:t>
      </w:r>
    </w:p>
    <w:p w14:paraId="3D0C0000">
      <w:pPr>
        <w:spacing w:line="240" w:lineRule="auto"/>
        <w:ind w:firstLine="567" w:left="0"/>
        <w:jc w:val="both"/>
        <w:rPr>
          <w:sz w:val="28"/>
        </w:rPr>
      </w:pPr>
      <w:r>
        <w:rPr>
          <w:sz w:val="28"/>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w:t>
      </w:r>
      <w:r>
        <w:rPr>
          <w:sz w:val="28"/>
        </w:rPr>
        <w:t xml:space="preserve">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14:paraId="3E0C0000">
      <w:pPr>
        <w:spacing w:line="240" w:lineRule="auto"/>
        <w:ind w:firstLine="567" w:left="0"/>
        <w:jc w:val="both"/>
        <w:rPr>
          <w:sz w:val="28"/>
        </w:rPr>
      </w:pPr>
      <w:r>
        <w:rPr>
          <w:sz w:val="28"/>
        </w:rPr>
        <w:t>На территории Куйбышевского сельского поселения генерирующие объекты, мощность которых поста</w:t>
      </w:r>
      <w:r>
        <w:rPr>
          <w:sz w:val="28"/>
        </w:rPr>
        <w:t xml:space="preserve">вляется в вынужденном режиме в целях </w:t>
      </w:r>
    </w:p>
    <w:p w14:paraId="3F0C0000">
      <w:pPr>
        <w:spacing w:line="240" w:lineRule="auto"/>
        <w:ind/>
        <w:jc w:val="both"/>
        <w:rPr>
          <w:sz w:val="28"/>
        </w:rPr>
      </w:pPr>
      <w:r>
        <w:rPr>
          <w:sz w:val="28"/>
        </w:rPr>
        <w:t xml:space="preserve">обеспечения надежного теплоснабжения потребителей, отсутствуют. </w:t>
      </w:r>
    </w:p>
    <w:p w14:paraId="400C0000">
      <w:pPr>
        <w:spacing w:line="240" w:lineRule="auto"/>
        <w:ind w:firstLine="567" w:left="0"/>
        <w:jc w:val="both"/>
        <w:rPr>
          <w:sz w:val="28"/>
        </w:rPr>
      </w:pPr>
      <w:r>
        <w:rPr>
          <w:sz w:val="28"/>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w:t>
      </w:r>
      <w:r>
        <w:rPr>
          <w:sz w:val="28"/>
        </w:rPr>
        <w:t>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w:t>
      </w:r>
      <w:r>
        <w:rPr>
          <w:sz w:val="28"/>
        </w:rPr>
        <w:t xml:space="preserve">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w:t>
      </w:r>
    </w:p>
    <w:p w14:paraId="410C0000">
      <w:pPr>
        <w:spacing w:line="240" w:lineRule="auto"/>
        <w:ind w:firstLine="567" w:left="0"/>
        <w:jc w:val="both"/>
        <w:rPr>
          <w:sz w:val="28"/>
        </w:rPr>
      </w:pPr>
      <w:r>
        <w:rPr>
          <w:sz w:val="28"/>
        </w:rPr>
        <w:t>На территории Куйбышевского сельского поселения генерирующие объекты, мощнос</w:t>
      </w:r>
      <w:r>
        <w:rPr>
          <w:sz w:val="28"/>
        </w:rPr>
        <w:t>ть которых поставляется в вынужденном режиме в целях обеспечения надежного теплоснабжения потребителей, отсутствуют.</w:t>
      </w:r>
    </w:p>
    <w:p w14:paraId="420C0000">
      <w:pPr>
        <w:spacing w:line="240" w:lineRule="auto"/>
        <w:ind w:firstLine="567" w:left="0"/>
        <w:jc w:val="both"/>
        <w:rPr>
          <w:sz w:val="28"/>
        </w:rPr>
      </w:pPr>
      <w:r>
        <w:rPr>
          <w:sz w:val="28"/>
        </w:rPr>
        <w:t>г) Обоснование предлагаемых для строительства источников тепловой энергии, функционирующих в режиме комбинированной выработки электрической</w:t>
      </w:r>
      <w:r>
        <w:rPr>
          <w:sz w:val="28"/>
        </w:rPr>
        <w:t xml:space="preserve">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w:t>
      </w:r>
    </w:p>
    <w:p w14:paraId="430C0000">
      <w:pPr>
        <w:spacing w:line="240" w:lineRule="auto"/>
        <w:ind w:firstLine="567" w:left="0"/>
        <w:jc w:val="both"/>
        <w:rPr>
          <w:sz w:val="28"/>
        </w:rPr>
      </w:pPr>
      <w:r>
        <w:rPr>
          <w:sz w:val="28"/>
        </w:rPr>
        <w:t>Строительство источников тепловой энергии, функционирующих в режиме комбинированной выра</w:t>
      </w:r>
      <w:r>
        <w:rPr>
          <w:sz w:val="28"/>
        </w:rPr>
        <w:t>ботки электрической и тепловой энергии, на территории Куйбышевского сельского поселения, отсутствуют.</w:t>
      </w:r>
    </w:p>
    <w:p w14:paraId="440C0000">
      <w:pPr>
        <w:spacing w:line="240" w:lineRule="auto"/>
        <w:ind w:firstLine="567" w:left="0"/>
        <w:jc w:val="both"/>
        <w:rPr>
          <w:sz w:val="28"/>
        </w:rPr>
      </w:pPr>
      <w:r>
        <w:rPr>
          <w:sz w:val="28"/>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w:t>
      </w:r>
      <w:r>
        <w:rPr>
          <w:sz w:val="28"/>
        </w:rPr>
        <w:t>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14:paraId="450C0000">
      <w:pPr>
        <w:spacing w:line="240" w:lineRule="auto"/>
        <w:ind w:firstLine="567" w:left="0"/>
        <w:jc w:val="both"/>
        <w:rPr>
          <w:sz w:val="28"/>
        </w:rPr>
      </w:pPr>
      <w:r>
        <w:rPr>
          <w:sz w:val="28"/>
        </w:rPr>
        <w:t xml:space="preserve">Реконструкция источников тепловой энергии, функционирующих в </w:t>
      </w:r>
      <w:r>
        <w:rPr>
          <w:sz w:val="28"/>
        </w:rPr>
        <w:t>режиме комбинированной выработки электрической и тепловой энергии, на территорииКуйбышевского сельского поселения, отсутствуют.</w:t>
      </w:r>
    </w:p>
    <w:p w14:paraId="460C0000">
      <w:pPr>
        <w:spacing w:line="240" w:lineRule="auto"/>
        <w:ind w:firstLine="567" w:left="0"/>
        <w:jc w:val="both"/>
        <w:rPr>
          <w:sz w:val="28"/>
        </w:rPr>
      </w:pPr>
      <w:r>
        <w:rPr>
          <w:sz w:val="28"/>
        </w:rPr>
        <w:t xml:space="preserve">е) Обоснование предложений по переоборудованию котельных в источники тепловой энергии, функционирующие в режиме комбинированной </w:t>
      </w:r>
      <w:r>
        <w:rPr>
          <w:sz w:val="28"/>
        </w:rPr>
        <w:t>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470C0000">
      <w:pPr>
        <w:spacing w:line="240" w:lineRule="auto"/>
        <w:ind w:firstLine="567" w:left="0"/>
        <w:jc w:val="both"/>
        <w:rPr>
          <w:sz w:val="28"/>
        </w:rPr>
      </w:pPr>
      <w:r>
        <w:rPr>
          <w:sz w:val="28"/>
        </w:rPr>
        <w:t xml:space="preserve">Переоборудование котельных в источники </w:t>
      </w:r>
      <w:r>
        <w:rPr>
          <w:sz w:val="28"/>
        </w:rPr>
        <w:t>тепловой энергии, функционирующие в режиме комбинированной выработки электрической и тепловой энергии, с выработкой электроэнергиина территории Куйбышевского сельского поселения, отсутствуют.</w:t>
      </w:r>
    </w:p>
    <w:p w14:paraId="480C0000">
      <w:pPr>
        <w:spacing w:line="240" w:lineRule="auto"/>
        <w:ind w:firstLine="567" w:left="0"/>
        <w:jc w:val="both"/>
        <w:rPr>
          <w:sz w:val="28"/>
        </w:rPr>
      </w:pPr>
      <w:r>
        <w:rPr>
          <w:sz w:val="28"/>
        </w:rPr>
        <w:t>ж) Обоснование предлагаемых для реконструкции и (или) модернизац</w:t>
      </w:r>
      <w:r>
        <w:rPr>
          <w:sz w:val="28"/>
        </w:rPr>
        <w:t>ии котельных с увеличением зоны их действия путем включения в нее зон действия существующих источников тепловой энергии</w:t>
      </w:r>
    </w:p>
    <w:p w14:paraId="490C0000">
      <w:pPr>
        <w:spacing w:line="240" w:lineRule="auto"/>
        <w:ind w:firstLine="567" w:left="0"/>
        <w:jc w:val="both"/>
        <w:rPr>
          <w:sz w:val="28"/>
        </w:rPr>
      </w:pPr>
      <w:r>
        <w:rPr>
          <w:sz w:val="28"/>
        </w:rPr>
        <w:t xml:space="preserve">Реконструкция котельных с увеличением зоны их действия путем включения в нее зон действия, существующих источников тепловой энергии, на </w:t>
      </w:r>
      <w:r>
        <w:rPr>
          <w:sz w:val="28"/>
        </w:rPr>
        <w:t>территории Куйбышевского сельского поселения, не предусмотрены.</w:t>
      </w:r>
    </w:p>
    <w:p w14:paraId="4A0C0000">
      <w:pPr>
        <w:spacing w:line="240" w:lineRule="auto"/>
        <w:ind w:firstLine="567" w:left="0"/>
        <w:jc w:val="both"/>
        <w:rPr>
          <w:sz w:val="28"/>
        </w:rPr>
      </w:pPr>
      <w:r>
        <w:rPr>
          <w:sz w:val="28"/>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w:t>
      </w:r>
      <w:r>
        <w:rPr>
          <w:sz w:val="28"/>
        </w:rPr>
        <w:t>й энергии.</w:t>
      </w:r>
    </w:p>
    <w:p w14:paraId="4B0C0000">
      <w:pPr>
        <w:spacing w:line="240" w:lineRule="auto"/>
        <w:ind w:firstLine="567" w:left="0"/>
        <w:jc w:val="both"/>
        <w:rPr>
          <w:sz w:val="28"/>
        </w:rPr>
      </w:pPr>
      <w:r>
        <w:rPr>
          <w:sz w:val="28"/>
        </w:rPr>
        <w:t>Источники тепловой энергии, функционирующие в режиме комбинированной выработки электрической и тепловой энергии, на территории Куйбышевского сельского поселения, отсутствуют.</w:t>
      </w:r>
    </w:p>
    <w:p w14:paraId="4C0C0000">
      <w:pPr>
        <w:spacing w:line="240" w:lineRule="auto"/>
        <w:ind w:firstLine="567" w:left="0"/>
        <w:jc w:val="both"/>
        <w:rPr>
          <w:sz w:val="28"/>
        </w:rPr>
      </w:pPr>
      <w:r>
        <w:rPr>
          <w:sz w:val="28"/>
        </w:rPr>
        <w:t>и) Обоснование предложений по расширению зон действия действующих исто</w:t>
      </w:r>
      <w:r>
        <w:rPr>
          <w:sz w:val="28"/>
        </w:rPr>
        <w:t>чников тепловой энергии, функционирующих в режиме комбинированной выработки электрической и тепловой энергии.</w:t>
      </w:r>
    </w:p>
    <w:p w14:paraId="4D0C0000">
      <w:pPr>
        <w:spacing w:line="240" w:lineRule="auto"/>
        <w:ind w:firstLine="567" w:left="0"/>
        <w:jc w:val="both"/>
        <w:rPr>
          <w:sz w:val="28"/>
        </w:rPr>
      </w:pPr>
      <w:r>
        <w:rPr>
          <w:sz w:val="28"/>
        </w:rPr>
        <w:t>Источники тепловой энергии, функционирующие в режиме комбинированной выработки электрической и тепловой энергии, на территории Куйбышевского сельс</w:t>
      </w:r>
      <w:r>
        <w:rPr>
          <w:sz w:val="28"/>
        </w:rPr>
        <w:t>кого поселения, отсутствуют.</w:t>
      </w:r>
    </w:p>
    <w:p w14:paraId="4E0C0000">
      <w:pPr>
        <w:spacing w:line="240" w:lineRule="auto"/>
        <w:ind w:firstLine="567" w:left="0"/>
        <w:jc w:val="both"/>
        <w:rPr>
          <w:sz w:val="28"/>
        </w:rPr>
      </w:pPr>
      <w:r>
        <w:rPr>
          <w:sz w:val="28"/>
        </w:rPr>
        <w:t xml:space="preserve">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 </w:t>
      </w:r>
    </w:p>
    <w:p w14:paraId="4F0C0000">
      <w:pPr>
        <w:spacing w:line="240" w:lineRule="auto"/>
        <w:ind w:firstLine="567" w:left="0"/>
        <w:jc w:val="both"/>
        <w:rPr>
          <w:sz w:val="28"/>
        </w:rPr>
      </w:pPr>
      <w:r>
        <w:rPr>
          <w:sz w:val="28"/>
        </w:rPr>
        <w:t>Предлагаемые для вывода в резерв и (или) вывода из эксплуатации коте</w:t>
      </w:r>
      <w:r>
        <w:rPr>
          <w:sz w:val="28"/>
        </w:rPr>
        <w:t>льных при передаче тепловых нагрузок на другие источники тепловой энергии на территории Куйбышевского сельского поселения, отсутствуют.</w:t>
      </w:r>
    </w:p>
    <w:p w14:paraId="500C0000">
      <w:pPr>
        <w:spacing w:line="240" w:lineRule="auto"/>
        <w:ind w:firstLine="567" w:left="0"/>
        <w:jc w:val="both"/>
        <w:rPr>
          <w:sz w:val="28"/>
        </w:rPr>
      </w:pPr>
      <w:r>
        <w:rPr>
          <w:sz w:val="28"/>
        </w:rPr>
        <w:t>л) Обоснование организации индивидуального теплоснабжения в зонах застройки сельского поселения малоэтажными жилыми здан</w:t>
      </w:r>
      <w:r>
        <w:rPr>
          <w:sz w:val="28"/>
        </w:rPr>
        <w:t>иями.</w:t>
      </w:r>
    </w:p>
    <w:p w14:paraId="510C0000">
      <w:pPr>
        <w:spacing w:line="240" w:lineRule="auto"/>
        <w:ind w:firstLine="567" w:left="0"/>
        <w:jc w:val="both"/>
        <w:rPr>
          <w:sz w:val="28"/>
        </w:rPr>
      </w:pPr>
      <w:r>
        <w:rPr>
          <w:sz w:val="28"/>
        </w:rPr>
        <w:t>По Генеральному плану теплоснабжение потребителей населенных пунктов - жилые дома средней этажности, общественные здания, предусматривается от автономных газовых котельных (блочно-модульных, отдельно стоящих, пристроенных, крышных). Теплоснабжение жи</w:t>
      </w:r>
      <w:r>
        <w:rPr>
          <w:sz w:val="28"/>
        </w:rPr>
        <w:t>лых домов усадебной застройки премиум-класса, эконом-класса, жилых домов малоэтажной застройки предлагается осуществить за счет устройства поквартирных газовых тепловых генераторов.</w:t>
      </w:r>
    </w:p>
    <w:p w14:paraId="520C0000">
      <w:pPr>
        <w:spacing w:line="240" w:lineRule="auto"/>
        <w:ind w:firstLine="567" w:left="0"/>
        <w:jc w:val="both"/>
        <w:rPr>
          <w:sz w:val="28"/>
        </w:rPr>
      </w:pPr>
      <w:r>
        <w:rPr>
          <w:sz w:val="28"/>
        </w:rPr>
        <w:t xml:space="preserve">м) Обоснование перспективных балансов производства и потребления </w:t>
      </w:r>
    </w:p>
    <w:p w14:paraId="530C0000">
      <w:pPr>
        <w:spacing w:line="240" w:lineRule="auto"/>
        <w:ind/>
        <w:jc w:val="both"/>
        <w:rPr>
          <w:sz w:val="28"/>
        </w:rPr>
      </w:pPr>
      <w:r>
        <w:rPr>
          <w:sz w:val="28"/>
        </w:rPr>
        <w:t>тепловой</w:t>
      </w:r>
      <w:r>
        <w:rPr>
          <w:sz w:val="28"/>
        </w:rPr>
        <w:t xml:space="preserve"> мощности источников тепловой энергии и теплоносителя и присоединенной тепловой нагрузки в каждой из систем теплоснабжения Куйбышевского сельского поселения Куйбышевского района. </w:t>
      </w:r>
    </w:p>
    <w:p w14:paraId="540C0000">
      <w:pPr>
        <w:spacing w:line="240" w:lineRule="auto"/>
        <w:ind w:firstLine="567" w:left="0"/>
        <w:jc w:val="both"/>
        <w:rPr>
          <w:sz w:val="28"/>
        </w:rPr>
      </w:pPr>
      <w:r>
        <w:rPr>
          <w:sz w:val="28"/>
        </w:rPr>
        <w:t>Таблица 35 Перспективный (на 2033 год) баланс производства и потребления теп</w:t>
      </w:r>
      <w:r>
        <w:rPr>
          <w:sz w:val="28"/>
        </w:rPr>
        <w:t xml:space="preserve">ловой мощности источников тепловой энергии, присоединенной тепловой нагрузки в каждой из систем теплоснабжения </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906"/>
        <w:gridCol w:w="1682"/>
        <w:gridCol w:w="1401"/>
        <w:gridCol w:w="1541"/>
      </w:tblGrid>
      <w:tr>
        <w:trPr>
          <w:trHeight w:hRule="atLeast" w:val="1207"/>
        </w:trPr>
        <w:tc>
          <w:tcPr>
            <w:tcW w:type="dxa" w:w="4906"/>
            <w:tcBorders>
              <w:top w:color="000000" w:sz="4" w:val="single"/>
              <w:left w:color="000000" w:sz="4" w:val="single"/>
              <w:bottom w:color="000000" w:sz="4" w:val="single"/>
              <w:right w:color="000000" w:sz="4" w:val="single"/>
            </w:tcBorders>
            <w:vAlign w:val="center"/>
          </w:tcPr>
          <w:p w14:paraId="550C0000">
            <w:pPr>
              <w:ind/>
              <w:jc w:val="center"/>
              <w:rPr>
                <w:sz w:val="20"/>
              </w:rPr>
            </w:pPr>
            <w:r>
              <w:rPr>
                <w:sz w:val="20"/>
              </w:rPr>
              <w:t>Система теплоснабжения</w:t>
            </w:r>
          </w:p>
        </w:tc>
        <w:tc>
          <w:tcPr>
            <w:tcW w:type="dxa" w:w="1682"/>
            <w:tcBorders>
              <w:top w:color="000000" w:sz="4" w:val="single"/>
              <w:left w:color="000000" w:sz="4" w:val="single"/>
              <w:bottom w:color="000000" w:sz="4" w:val="single"/>
              <w:right w:color="000000" w:sz="4" w:val="single"/>
            </w:tcBorders>
            <w:vAlign w:val="center"/>
          </w:tcPr>
          <w:p w14:paraId="560C0000">
            <w:pPr>
              <w:ind/>
              <w:jc w:val="center"/>
              <w:rPr>
                <w:sz w:val="20"/>
              </w:rPr>
            </w:pPr>
            <w:r>
              <w:rPr>
                <w:sz w:val="20"/>
              </w:rPr>
              <w:t>Производство (выработка) тепловой энергии, Гкал/год</w:t>
            </w:r>
          </w:p>
        </w:tc>
        <w:tc>
          <w:tcPr>
            <w:tcW w:type="dxa" w:w="1401"/>
            <w:tcBorders>
              <w:top w:color="000000" w:sz="4" w:val="single"/>
              <w:left w:color="000000" w:sz="4" w:val="single"/>
              <w:bottom w:color="000000" w:sz="4" w:val="single"/>
              <w:right w:color="000000" w:sz="4" w:val="single"/>
            </w:tcBorders>
            <w:vAlign w:val="center"/>
          </w:tcPr>
          <w:p w14:paraId="570C0000">
            <w:pPr>
              <w:ind/>
              <w:jc w:val="center"/>
              <w:rPr>
                <w:sz w:val="20"/>
              </w:rPr>
            </w:pPr>
            <w:r>
              <w:rPr>
                <w:sz w:val="20"/>
              </w:rPr>
              <w:t>Потребление тепловой энергии, Гкал/год</w:t>
            </w:r>
          </w:p>
        </w:tc>
        <w:tc>
          <w:tcPr>
            <w:tcW w:type="dxa" w:w="1541"/>
            <w:tcBorders>
              <w:top w:color="000000" w:sz="4" w:val="single"/>
              <w:left w:color="000000" w:sz="4" w:val="single"/>
              <w:bottom w:color="000000" w:sz="4" w:val="single"/>
              <w:right w:color="000000" w:sz="4" w:val="single"/>
            </w:tcBorders>
            <w:vAlign w:val="center"/>
          </w:tcPr>
          <w:p w14:paraId="580C0000">
            <w:pPr>
              <w:ind/>
              <w:jc w:val="center"/>
              <w:rPr>
                <w:sz w:val="20"/>
              </w:rPr>
            </w:pPr>
            <w:r>
              <w:rPr>
                <w:sz w:val="20"/>
              </w:rPr>
              <w:t>Перспективная тепловая нагрузк</w:t>
            </w:r>
            <w:r>
              <w:rPr>
                <w:sz w:val="20"/>
              </w:rPr>
              <w:t>а, Гкал/ч</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590C0000">
            <w:pPr>
              <w:ind/>
              <w:jc w:val="center"/>
              <w:rPr>
                <w:sz w:val="20"/>
              </w:rPr>
            </w:pPr>
            <w:r>
              <w:rPr>
                <w:sz w:val="20"/>
              </w:rPr>
              <w:t>с. Куйбышево, ул. Пролетарская, 7</w:t>
            </w:r>
          </w:p>
        </w:tc>
        <w:tc>
          <w:tcPr>
            <w:tcW w:type="dxa" w:w="1682"/>
            <w:tcBorders>
              <w:top w:color="000000" w:sz="4" w:val="single"/>
              <w:left w:color="000000" w:sz="4" w:val="single"/>
              <w:bottom w:color="000000" w:sz="4" w:val="single"/>
              <w:right w:color="000000" w:sz="4" w:val="single"/>
            </w:tcBorders>
            <w:vAlign w:val="center"/>
          </w:tcPr>
          <w:p w14:paraId="5A0C0000">
            <w:pPr>
              <w:ind/>
              <w:jc w:val="center"/>
              <w:rPr>
                <w:sz w:val="20"/>
              </w:rPr>
            </w:pPr>
            <w:r>
              <w:rPr>
                <w:sz w:val="20"/>
              </w:rPr>
              <w:t>1235,0</w:t>
            </w:r>
          </w:p>
        </w:tc>
        <w:tc>
          <w:tcPr>
            <w:tcW w:type="dxa" w:w="1401"/>
            <w:tcBorders>
              <w:top w:color="000000" w:sz="4" w:val="single"/>
              <w:left w:color="000000" w:sz="4" w:val="single"/>
              <w:bottom w:color="000000" w:sz="4" w:val="single"/>
              <w:right w:color="000000" w:sz="4" w:val="single"/>
            </w:tcBorders>
            <w:vAlign w:val="center"/>
          </w:tcPr>
          <w:p w14:paraId="5B0C0000">
            <w:pPr>
              <w:spacing w:after="0" w:line="20" w:lineRule="atLeast"/>
              <w:ind/>
              <w:jc w:val="center"/>
              <w:rPr>
                <w:sz w:val="20"/>
              </w:rPr>
            </w:pPr>
            <w:r>
              <w:rPr>
                <w:sz w:val="20"/>
              </w:rPr>
              <w:t>1235,0</w:t>
            </w:r>
          </w:p>
        </w:tc>
        <w:tc>
          <w:tcPr>
            <w:tcW w:type="dxa" w:w="1541"/>
            <w:tcBorders>
              <w:top w:color="000000" w:sz="4" w:val="single"/>
              <w:left w:color="000000" w:sz="4" w:val="single"/>
              <w:bottom w:color="000000" w:sz="4" w:val="single"/>
              <w:right w:color="000000" w:sz="4" w:val="single"/>
            </w:tcBorders>
            <w:vAlign w:val="center"/>
          </w:tcPr>
          <w:p w14:paraId="5C0C0000">
            <w:pPr>
              <w:ind/>
              <w:jc w:val="center"/>
              <w:rPr>
                <w:sz w:val="20"/>
              </w:rPr>
            </w:pPr>
            <w:r>
              <w:rPr>
                <w:sz w:val="20"/>
              </w:rPr>
              <w:t>0,818</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5D0C0000">
            <w:pPr>
              <w:ind/>
              <w:jc w:val="center"/>
              <w:rPr>
                <w:sz w:val="20"/>
              </w:rPr>
            </w:pPr>
            <w:r>
              <w:rPr>
                <w:sz w:val="20"/>
              </w:rPr>
              <w:t>с. Русское, ул. Красноармейская, 8-а</w:t>
            </w:r>
          </w:p>
        </w:tc>
        <w:tc>
          <w:tcPr>
            <w:tcW w:type="dxa" w:w="1682"/>
            <w:tcBorders>
              <w:top w:color="000000" w:sz="4" w:val="single"/>
              <w:left w:color="000000" w:sz="4" w:val="single"/>
              <w:bottom w:color="000000" w:sz="4" w:val="single"/>
              <w:right w:color="000000" w:sz="4" w:val="single"/>
            </w:tcBorders>
            <w:vAlign w:val="center"/>
          </w:tcPr>
          <w:p w14:paraId="5E0C0000">
            <w:pPr>
              <w:ind/>
              <w:jc w:val="center"/>
              <w:rPr>
                <w:sz w:val="20"/>
              </w:rPr>
            </w:pPr>
            <w:r>
              <w:rPr>
                <w:sz w:val="20"/>
              </w:rPr>
              <w:t>279,969</w:t>
            </w:r>
          </w:p>
        </w:tc>
        <w:tc>
          <w:tcPr>
            <w:tcW w:type="dxa" w:w="1401"/>
            <w:tcBorders>
              <w:top w:color="000000" w:sz="4" w:val="single"/>
              <w:left w:color="000000" w:sz="4" w:val="single"/>
              <w:bottom w:color="000000" w:sz="4" w:val="single"/>
              <w:right w:color="000000" w:sz="4" w:val="single"/>
            </w:tcBorders>
            <w:vAlign w:val="center"/>
          </w:tcPr>
          <w:p w14:paraId="5F0C0000">
            <w:pPr>
              <w:spacing w:after="0" w:line="20" w:lineRule="atLeast"/>
              <w:ind/>
              <w:jc w:val="center"/>
              <w:rPr>
                <w:sz w:val="20"/>
              </w:rPr>
            </w:pPr>
            <w:r>
              <w:rPr>
                <w:sz w:val="20"/>
              </w:rPr>
              <w:t>279,969</w:t>
            </w:r>
          </w:p>
        </w:tc>
        <w:tc>
          <w:tcPr>
            <w:tcW w:type="dxa" w:w="1541"/>
            <w:tcBorders>
              <w:top w:color="000000" w:sz="4" w:val="single"/>
              <w:left w:color="000000" w:sz="4" w:val="single"/>
              <w:bottom w:color="000000" w:sz="4" w:val="single"/>
              <w:right w:color="000000" w:sz="4" w:val="single"/>
            </w:tcBorders>
            <w:vAlign w:val="bottom"/>
          </w:tcPr>
          <w:p w14:paraId="600C0000">
            <w:pPr>
              <w:ind/>
              <w:jc w:val="center"/>
              <w:rPr>
                <w:sz w:val="20"/>
              </w:rPr>
            </w:pPr>
            <w:r>
              <w:rPr>
                <w:sz w:val="20"/>
              </w:rPr>
              <w:t>0,165</w:t>
            </w:r>
          </w:p>
        </w:tc>
      </w:tr>
      <w:tr>
        <w:trPr>
          <w:trHeight w:hRule="atLeast" w:val="433"/>
        </w:trPr>
        <w:tc>
          <w:tcPr>
            <w:tcW w:type="dxa" w:w="4906"/>
            <w:tcBorders>
              <w:top w:sz="4" w:val="nil"/>
              <w:left w:color="000000" w:sz="4" w:val="single"/>
              <w:bottom w:color="000000" w:sz="4" w:val="single"/>
              <w:right w:color="000000" w:sz="4" w:val="single"/>
            </w:tcBorders>
            <w:vAlign w:val="center"/>
          </w:tcPr>
          <w:p w14:paraId="610C0000">
            <w:pPr>
              <w:ind/>
              <w:jc w:val="center"/>
              <w:rPr>
                <w:sz w:val="20"/>
              </w:rPr>
            </w:pPr>
            <w:r>
              <w:rPr>
                <w:sz w:val="20"/>
              </w:rPr>
              <w:t>с. Русское, ул. Героя Советского Союза М.П. Алексеева, 8</w:t>
            </w:r>
          </w:p>
        </w:tc>
        <w:tc>
          <w:tcPr>
            <w:tcW w:type="dxa" w:w="1682"/>
            <w:tcBorders>
              <w:top w:sz="4" w:val="nil"/>
              <w:left w:color="000000" w:sz="4" w:val="single"/>
              <w:bottom w:color="000000" w:sz="4" w:val="single"/>
              <w:right w:color="000000" w:sz="4" w:val="single"/>
            </w:tcBorders>
            <w:vAlign w:val="center"/>
          </w:tcPr>
          <w:p w14:paraId="620C0000">
            <w:pPr>
              <w:ind/>
              <w:jc w:val="center"/>
              <w:rPr>
                <w:sz w:val="20"/>
              </w:rPr>
            </w:pPr>
            <w:r>
              <w:rPr>
                <w:sz w:val="20"/>
              </w:rPr>
              <w:t>51,108</w:t>
            </w:r>
          </w:p>
        </w:tc>
        <w:tc>
          <w:tcPr>
            <w:tcW w:type="dxa" w:w="1401"/>
            <w:tcBorders>
              <w:top w:sz="4" w:val="nil"/>
              <w:left w:color="000000" w:sz="4" w:val="single"/>
              <w:bottom w:color="000000" w:sz="4" w:val="single"/>
              <w:right w:color="000000" w:sz="4" w:val="single"/>
            </w:tcBorders>
            <w:vAlign w:val="center"/>
          </w:tcPr>
          <w:p w14:paraId="630C0000">
            <w:pPr>
              <w:spacing w:after="0" w:line="20" w:lineRule="atLeast"/>
              <w:ind/>
              <w:jc w:val="center"/>
              <w:rPr>
                <w:sz w:val="20"/>
              </w:rPr>
            </w:pPr>
            <w:r>
              <w:rPr>
                <w:sz w:val="20"/>
              </w:rPr>
              <w:t>51,108</w:t>
            </w:r>
          </w:p>
        </w:tc>
        <w:tc>
          <w:tcPr>
            <w:tcW w:type="dxa" w:w="1541"/>
            <w:tcBorders>
              <w:top w:sz="4" w:val="nil"/>
              <w:left w:color="000000" w:sz="4" w:val="single"/>
              <w:bottom w:color="000000" w:sz="4" w:val="single"/>
              <w:right w:color="000000" w:sz="4" w:val="single"/>
            </w:tcBorders>
            <w:vAlign w:val="bottom"/>
          </w:tcPr>
          <w:p w14:paraId="640C0000">
            <w:pPr>
              <w:ind/>
              <w:jc w:val="center"/>
              <w:rPr>
                <w:sz w:val="20"/>
              </w:rPr>
            </w:pPr>
            <w:r>
              <w:rPr>
                <w:sz w:val="20"/>
              </w:rPr>
              <w:t>0,029</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650C0000">
            <w:pPr>
              <w:ind/>
              <w:jc w:val="center"/>
              <w:rPr>
                <w:sz w:val="20"/>
              </w:rPr>
            </w:pPr>
            <w:r>
              <w:rPr>
                <w:sz w:val="20"/>
              </w:rPr>
              <w:t>с. Куйбышево, ул. Театральная, 72</w:t>
            </w:r>
          </w:p>
        </w:tc>
        <w:tc>
          <w:tcPr>
            <w:tcW w:type="dxa" w:w="1682"/>
            <w:tcBorders>
              <w:top w:sz="4" w:val="nil"/>
              <w:left w:color="000000" w:sz="4" w:val="single"/>
              <w:bottom w:color="000000" w:sz="4" w:val="single"/>
              <w:right w:color="000000" w:sz="4" w:val="single"/>
            </w:tcBorders>
            <w:vAlign w:val="center"/>
          </w:tcPr>
          <w:p w14:paraId="660C0000">
            <w:pPr>
              <w:ind/>
              <w:jc w:val="center"/>
              <w:rPr>
                <w:sz w:val="20"/>
              </w:rPr>
            </w:pPr>
            <w:r>
              <w:rPr>
                <w:sz w:val="20"/>
              </w:rPr>
              <w:t>66,248</w:t>
            </w:r>
          </w:p>
        </w:tc>
        <w:tc>
          <w:tcPr>
            <w:tcW w:type="dxa" w:w="1401"/>
            <w:tcBorders>
              <w:top w:sz="4" w:val="nil"/>
              <w:left w:color="000000" w:sz="4" w:val="single"/>
              <w:bottom w:color="000000" w:sz="4" w:val="single"/>
              <w:right w:color="000000" w:sz="4" w:val="single"/>
            </w:tcBorders>
            <w:vAlign w:val="center"/>
          </w:tcPr>
          <w:p w14:paraId="670C0000">
            <w:pPr>
              <w:spacing w:after="0" w:line="20" w:lineRule="atLeast"/>
              <w:ind/>
              <w:jc w:val="center"/>
              <w:rPr>
                <w:sz w:val="20"/>
              </w:rPr>
            </w:pPr>
            <w:r>
              <w:rPr>
                <w:sz w:val="20"/>
              </w:rPr>
              <w:t>66,248</w:t>
            </w:r>
          </w:p>
        </w:tc>
        <w:tc>
          <w:tcPr>
            <w:tcW w:type="dxa" w:w="1541"/>
            <w:tcBorders>
              <w:top w:sz="4" w:val="nil"/>
              <w:left w:color="000000" w:sz="4" w:val="single"/>
              <w:bottom w:color="000000" w:sz="4" w:val="single"/>
              <w:right w:color="000000" w:sz="4" w:val="single"/>
            </w:tcBorders>
            <w:vAlign w:val="bottom"/>
          </w:tcPr>
          <w:p w14:paraId="680C0000">
            <w:pPr>
              <w:ind/>
              <w:jc w:val="center"/>
              <w:rPr>
                <w:sz w:val="20"/>
              </w:rPr>
            </w:pPr>
            <w:r>
              <w:rPr>
                <w:sz w:val="20"/>
              </w:rPr>
              <w:t>0,028</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690C0000">
            <w:pPr>
              <w:ind/>
              <w:jc w:val="center"/>
              <w:rPr>
                <w:sz w:val="20"/>
              </w:rPr>
            </w:pPr>
            <w:r>
              <w:rPr>
                <w:sz w:val="20"/>
              </w:rPr>
              <w:t>с. Куйбышево, ул. Пролетарская, 2 а</w:t>
            </w:r>
          </w:p>
        </w:tc>
        <w:tc>
          <w:tcPr>
            <w:tcW w:type="dxa" w:w="1682"/>
            <w:tcBorders>
              <w:top w:sz="4" w:val="nil"/>
              <w:left w:color="000000" w:sz="4" w:val="single"/>
              <w:bottom w:color="000000" w:sz="4" w:val="single"/>
              <w:right w:color="000000" w:sz="4" w:val="single"/>
            </w:tcBorders>
            <w:vAlign w:val="center"/>
          </w:tcPr>
          <w:p w14:paraId="6A0C0000">
            <w:pPr>
              <w:ind/>
              <w:jc w:val="center"/>
              <w:rPr>
                <w:sz w:val="20"/>
              </w:rPr>
            </w:pPr>
            <w:r>
              <w:rPr>
                <w:sz w:val="20"/>
              </w:rPr>
              <w:t>288,184</w:t>
            </w:r>
          </w:p>
        </w:tc>
        <w:tc>
          <w:tcPr>
            <w:tcW w:type="dxa" w:w="1401"/>
            <w:tcBorders>
              <w:top w:sz="4" w:val="nil"/>
              <w:left w:color="000000" w:sz="4" w:val="single"/>
              <w:bottom w:color="000000" w:sz="4" w:val="single"/>
              <w:right w:color="000000" w:sz="4" w:val="single"/>
            </w:tcBorders>
            <w:vAlign w:val="center"/>
          </w:tcPr>
          <w:p w14:paraId="6B0C0000">
            <w:pPr>
              <w:spacing w:after="0" w:line="20" w:lineRule="atLeast"/>
              <w:ind/>
              <w:jc w:val="center"/>
              <w:rPr>
                <w:sz w:val="20"/>
              </w:rPr>
            </w:pPr>
            <w:r>
              <w:rPr>
                <w:sz w:val="20"/>
              </w:rPr>
              <w:t>288,184</w:t>
            </w:r>
          </w:p>
        </w:tc>
        <w:tc>
          <w:tcPr>
            <w:tcW w:type="dxa" w:w="1541"/>
            <w:tcBorders>
              <w:top w:sz="4" w:val="nil"/>
              <w:left w:color="000000" w:sz="4" w:val="single"/>
              <w:bottom w:color="000000" w:sz="4" w:val="single"/>
              <w:right w:color="000000" w:sz="4" w:val="single"/>
            </w:tcBorders>
            <w:vAlign w:val="bottom"/>
          </w:tcPr>
          <w:p w14:paraId="6C0C0000">
            <w:pPr>
              <w:ind/>
              <w:jc w:val="center"/>
              <w:rPr>
                <w:sz w:val="20"/>
              </w:rPr>
            </w:pPr>
            <w:r>
              <w:rPr>
                <w:sz w:val="20"/>
              </w:rPr>
              <w:t>0,086</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6D0C0000">
            <w:pPr>
              <w:ind/>
              <w:jc w:val="center"/>
              <w:rPr>
                <w:sz w:val="20"/>
              </w:rPr>
            </w:pPr>
            <w:r>
              <w:rPr>
                <w:sz w:val="20"/>
              </w:rPr>
              <w:t>с. Куйбышево, ул. Кузьменко, 3 а</w:t>
            </w:r>
          </w:p>
        </w:tc>
        <w:tc>
          <w:tcPr>
            <w:tcW w:type="dxa" w:w="1682"/>
            <w:tcBorders>
              <w:top w:sz="4" w:val="nil"/>
              <w:left w:color="000000" w:sz="4" w:val="single"/>
              <w:bottom w:color="000000" w:sz="4" w:val="single"/>
              <w:right w:color="000000" w:sz="4" w:val="single"/>
            </w:tcBorders>
            <w:vAlign w:val="center"/>
          </w:tcPr>
          <w:p w14:paraId="6E0C0000">
            <w:pPr>
              <w:ind/>
              <w:jc w:val="center"/>
              <w:rPr>
                <w:sz w:val="20"/>
              </w:rPr>
            </w:pPr>
            <w:r>
              <w:rPr>
                <w:sz w:val="20"/>
              </w:rPr>
              <w:t>210,288</w:t>
            </w:r>
          </w:p>
        </w:tc>
        <w:tc>
          <w:tcPr>
            <w:tcW w:type="dxa" w:w="1401"/>
            <w:tcBorders>
              <w:top w:sz="4" w:val="nil"/>
              <w:left w:color="000000" w:sz="4" w:val="single"/>
              <w:bottom w:color="000000" w:sz="4" w:val="single"/>
              <w:right w:color="000000" w:sz="4" w:val="single"/>
            </w:tcBorders>
            <w:vAlign w:val="center"/>
          </w:tcPr>
          <w:p w14:paraId="6F0C0000">
            <w:pPr>
              <w:spacing w:after="0" w:line="20" w:lineRule="atLeast"/>
              <w:ind/>
              <w:jc w:val="center"/>
              <w:rPr>
                <w:sz w:val="20"/>
              </w:rPr>
            </w:pPr>
            <w:r>
              <w:rPr>
                <w:sz w:val="20"/>
              </w:rPr>
              <w:t>210,288</w:t>
            </w:r>
          </w:p>
        </w:tc>
        <w:tc>
          <w:tcPr>
            <w:tcW w:type="dxa" w:w="1541"/>
            <w:tcBorders>
              <w:top w:sz="4" w:val="nil"/>
              <w:left w:color="000000" w:sz="4" w:val="single"/>
              <w:bottom w:color="000000" w:sz="4" w:val="single"/>
              <w:right w:color="000000" w:sz="4" w:val="single"/>
            </w:tcBorders>
            <w:vAlign w:val="bottom"/>
          </w:tcPr>
          <w:p w14:paraId="700C0000">
            <w:pPr>
              <w:ind/>
              <w:jc w:val="center"/>
              <w:rPr>
                <w:sz w:val="20"/>
              </w:rPr>
            </w:pPr>
            <w:r>
              <w:rPr>
                <w:sz w:val="20"/>
              </w:rPr>
              <w:t>0,105</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710C0000">
            <w:pPr>
              <w:ind/>
              <w:jc w:val="center"/>
              <w:rPr>
                <w:sz w:val="20"/>
              </w:rPr>
            </w:pPr>
            <w:r>
              <w:rPr>
                <w:sz w:val="20"/>
              </w:rPr>
              <w:t>х. Свободный, ул. Молодёжная, 8</w:t>
            </w:r>
          </w:p>
        </w:tc>
        <w:tc>
          <w:tcPr>
            <w:tcW w:type="dxa" w:w="1682"/>
            <w:tcBorders>
              <w:top w:sz="4" w:val="nil"/>
              <w:left w:color="000000" w:sz="4" w:val="single"/>
              <w:bottom w:color="000000" w:sz="4" w:val="single"/>
              <w:right w:color="000000" w:sz="4" w:val="single"/>
            </w:tcBorders>
            <w:vAlign w:val="center"/>
          </w:tcPr>
          <w:p w14:paraId="720C0000">
            <w:pPr>
              <w:ind/>
              <w:jc w:val="center"/>
              <w:rPr>
                <w:sz w:val="20"/>
              </w:rPr>
            </w:pPr>
            <w:r>
              <w:rPr>
                <w:sz w:val="20"/>
              </w:rPr>
              <w:t>105,571</w:t>
            </w:r>
          </w:p>
        </w:tc>
        <w:tc>
          <w:tcPr>
            <w:tcW w:type="dxa" w:w="1401"/>
            <w:tcBorders>
              <w:top w:sz="4" w:val="nil"/>
              <w:left w:color="000000" w:sz="4" w:val="single"/>
              <w:bottom w:color="000000" w:sz="4" w:val="single"/>
              <w:right w:color="000000" w:sz="4" w:val="single"/>
            </w:tcBorders>
            <w:vAlign w:val="center"/>
          </w:tcPr>
          <w:p w14:paraId="730C0000">
            <w:pPr>
              <w:spacing w:after="0" w:line="20" w:lineRule="atLeast"/>
              <w:ind/>
              <w:jc w:val="center"/>
              <w:rPr>
                <w:sz w:val="20"/>
              </w:rPr>
            </w:pPr>
            <w:r>
              <w:rPr>
                <w:sz w:val="20"/>
              </w:rPr>
              <w:t>105,571</w:t>
            </w:r>
          </w:p>
        </w:tc>
        <w:tc>
          <w:tcPr>
            <w:tcW w:type="dxa" w:w="1541"/>
            <w:tcBorders>
              <w:top w:sz="4" w:val="nil"/>
              <w:left w:color="000000" w:sz="4" w:val="single"/>
              <w:bottom w:color="000000" w:sz="4" w:val="single"/>
              <w:right w:color="000000" w:sz="4" w:val="single"/>
            </w:tcBorders>
            <w:vAlign w:val="bottom"/>
          </w:tcPr>
          <w:p w14:paraId="740C0000">
            <w:pPr>
              <w:ind/>
              <w:jc w:val="center"/>
              <w:rPr>
                <w:sz w:val="20"/>
              </w:rPr>
            </w:pPr>
            <w:r>
              <w:rPr>
                <w:sz w:val="20"/>
              </w:rPr>
              <w:t>0,045</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750C0000">
            <w:pPr>
              <w:ind/>
              <w:jc w:val="center"/>
              <w:rPr>
                <w:sz w:val="20"/>
              </w:rPr>
            </w:pPr>
            <w:r>
              <w:rPr>
                <w:sz w:val="20"/>
              </w:rPr>
              <w:t>х. Ольховский, ул. Центральная, 3 а</w:t>
            </w:r>
          </w:p>
        </w:tc>
        <w:tc>
          <w:tcPr>
            <w:tcW w:type="dxa" w:w="1682"/>
            <w:tcBorders>
              <w:top w:sz="4" w:val="nil"/>
              <w:left w:color="000000" w:sz="4" w:val="single"/>
              <w:bottom w:color="000000" w:sz="4" w:val="single"/>
              <w:right w:color="000000" w:sz="4" w:val="single"/>
            </w:tcBorders>
            <w:vAlign w:val="center"/>
          </w:tcPr>
          <w:p w14:paraId="760C0000">
            <w:pPr>
              <w:ind/>
              <w:jc w:val="center"/>
              <w:rPr>
                <w:sz w:val="20"/>
              </w:rPr>
            </w:pPr>
            <w:r>
              <w:rPr>
                <w:sz w:val="20"/>
              </w:rPr>
              <w:t>57,200</w:t>
            </w:r>
          </w:p>
        </w:tc>
        <w:tc>
          <w:tcPr>
            <w:tcW w:type="dxa" w:w="1401"/>
            <w:tcBorders>
              <w:top w:sz="4" w:val="nil"/>
              <w:left w:color="000000" w:sz="4" w:val="single"/>
              <w:bottom w:color="000000" w:sz="4" w:val="single"/>
              <w:right w:color="000000" w:sz="4" w:val="single"/>
            </w:tcBorders>
            <w:vAlign w:val="center"/>
          </w:tcPr>
          <w:p w14:paraId="770C0000">
            <w:pPr>
              <w:spacing w:after="0" w:line="20" w:lineRule="atLeast"/>
              <w:ind/>
              <w:jc w:val="center"/>
              <w:rPr>
                <w:sz w:val="20"/>
              </w:rPr>
            </w:pPr>
            <w:r>
              <w:rPr>
                <w:sz w:val="20"/>
              </w:rPr>
              <w:t>57,200</w:t>
            </w:r>
          </w:p>
        </w:tc>
        <w:tc>
          <w:tcPr>
            <w:tcW w:type="dxa" w:w="1541"/>
            <w:tcBorders>
              <w:top w:sz="4" w:val="nil"/>
              <w:left w:color="000000" w:sz="4" w:val="single"/>
              <w:bottom w:color="000000" w:sz="4" w:val="single"/>
              <w:right w:color="000000" w:sz="4" w:val="single"/>
            </w:tcBorders>
            <w:vAlign w:val="bottom"/>
          </w:tcPr>
          <w:p w14:paraId="780C0000">
            <w:pPr>
              <w:ind/>
              <w:jc w:val="center"/>
              <w:rPr>
                <w:sz w:val="20"/>
              </w:rPr>
            </w:pPr>
            <w:r>
              <w:rPr>
                <w:sz w:val="20"/>
              </w:rPr>
              <w:t>0,026</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790C0000">
            <w:pPr>
              <w:ind/>
              <w:jc w:val="center"/>
              <w:rPr>
                <w:sz w:val="20"/>
              </w:rPr>
            </w:pPr>
            <w:r>
              <w:rPr>
                <w:sz w:val="20"/>
              </w:rPr>
              <w:t xml:space="preserve">с. Куйбышево, ул. </w:t>
            </w:r>
            <w:r>
              <w:rPr>
                <w:sz w:val="20"/>
              </w:rPr>
              <w:t>Пролетарская, 5</w:t>
            </w:r>
          </w:p>
        </w:tc>
        <w:tc>
          <w:tcPr>
            <w:tcW w:type="dxa" w:w="1682"/>
            <w:tcBorders>
              <w:top w:sz="4" w:val="nil"/>
              <w:left w:color="000000" w:sz="4" w:val="single"/>
              <w:bottom w:color="000000" w:sz="4" w:val="single"/>
              <w:right w:color="000000" w:sz="4" w:val="single"/>
            </w:tcBorders>
            <w:vAlign w:val="center"/>
          </w:tcPr>
          <w:p w14:paraId="7A0C0000">
            <w:pPr>
              <w:ind/>
              <w:jc w:val="center"/>
              <w:rPr>
                <w:sz w:val="20"/>
              </w:rPr>
            </w:pPr>
            <w:r>
              <w:rPr>
                <w:sz w:val="20"/>
              </w:rPr>
              <w:t>110,760</w:t>
            </w:r>
          </w:p>
        </w:tc>
        <w:tc>
          <w:tcPr>
            <w:tcW w:type="dxa" w:w="1401"/>
            <w:tcBorders>
              <w:top w:sz="4" w:val="nil"/>
              <w:left w:color="000000" w:sz="4" w:val="single"/>
              <w:bottom w:color="000000" w:sz="4" w:val="single"/>
              <w:right w:color="000000" w:sz="4" w:val="single"/>
            </w:tcBorders>
            <w:vAlign w:val="center"/>
          </w:tcPr>
          <w:p w14:paraId="7B0C0000">
            <w:pPr>
              <w:spacing w:after="0" w:line="20" w:lineRule="atLeast"/>
              <w:ind/>
              <w:jc w:val="center"/>
              <w:rPr>
                <w:sz w:val="20"/>
              </w:rPr>
            </w:pPr>
            <w:r>
              <w:rPr>
                <w:sz w:val="20"/>
              </w:rPr>
              <w:t>110,760</w:t>
            </w:r>
          </w:p>
        </w:tc>
        <w:tc>
          <w:tcPr>
            <w:tcW w:type="dxa" w:w="1541"/>
            <w:tcBorders>
              <w:top w:sz="4" w:val="nil"/>
              <w:left w:color="000000" w:sz="4" w:val="single"/>
              <w:bottom w:color="000000" w:sz="4" w:val="single"/>
              <w:right w:color="000000" w:sz="4" w:val="single"/>
            </w:tcBorders>
            <w:vAlign w:val="bottom"/>
          </w:tcPr>
          <w:p w14:paraId="7C0C0000">
            <w:pPr>
              <w:ind/>
              <w:jc w:val="center"/>
              <w:rPr>
                <w:sz w:val="20"/>
              </w:rPr>
            </w:pPr>
            <w:r>
              <w:rPr>
                <w:sz w:val="20"/>
              </w:rPr>
              <w:t>0,034</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7D0C0000">
            <w:pPr>
              <w:ind/>
              <w:jc w:val="center"/>
              <w:rPr>
                <w:sz w:val="20"/>
              </w:rPr>
            </w:pPr>
            <w:r>
              <w:rPr>
                <w:sz w:val="20"/>
              </w:rPr>
              <w:t>с. Куйбышево, ул. Театральная, 22</w:t>
            </w:r>
          </w:p>
        </w:tc>
        <w:tc>
          <w:tcPr>
            <w:tcW w:type="dxa" w:w="1682"/>
            <w:tcBorders>
              <w:top w:sz="4" w:val="nil"/>
              <w:left w:color="000000" w:sz="4" w:val="single"/>
              <w:bottom w:color="000000" w:sz="4" w:val="single"/>
              <w:right w:color="000000" w:sz="4" w:val="single"/>
            </w:tcBorders>
            <w:vAlign w:val="center"/>
          </w:tcPr>
          <w:p w14:paraId="7E0C0000">
            <w:pPr>
              <w:ind/>
              <w:jc w:val="center"/>
              <w:rPr>
                <w:sz w:val="20"/>
              </w:rPr>
            </w:pPr>
            <w:r>
              <w:rPr>
                <w:sz w:val="20"/>
              </w:rPr>
              <w:t>109,200</w:t>
            </w:r>
          </w:p>
        </w:tc>
        <w:tc>
          <w:tcPr>
            <w:tcW w:type="dxa" w:w="1401"/>
            <w:tcBorders>
              <w:top w:sz="4" w:val="nil"/>
              <w:left w:color="000000" w:sz="4" w:val="single"/>
              <w:bottom w:color="000000" w:sz="4" w:val="single"/>
              <w:right w:color="000000" w:sz="4" w:val="single"/>
            </w:tcBorders>
            <w:vAlign w:val="center"/>
          </w:tcPr>
          <w:p w14:paraId="7F0C0000">
            <w:pPr>
              <w:spacing w:after="0" w:line="20" w:lineRule="atLeast"/>
              <w:ind/>
              <w:jc w:val="center"/>
              <w:rPr>
                <w:sz w:val="20"/>
              </w:rPr>
            </w:pPr>
            <w:r>
              <w:rPr>
                <w:sz w:val="20"/>
              </w:rPr>
              <w:t>109,200</w:t>
            </w:r>
          </w:p>
        </w:tc>
        <w:tc>
          <w:tcPr>
            <w:tcW w:type="dxa" w:w="1541"/>
            <w:tcBorders>
              <w:top w:sz="4" w:val="nil"/>
              <w:left w:color="000000" w:sz="4" w:val="single"/>
              <w:bottom w:color="000000" w:sz="4" w:val="single"/>
              <w:right w:color="000000" w:sz="4" w:val="single"/>
            </w:tcBorders>
            <w:vAlign w:val="bottom"/>
          </w:tcPr>
          <w:p w14:paraId="800C0000">
            <w:pPr>
              <w:ind/>
              <w:jc w:val="center"/>
              <w:rPr>
                <w:sz w:val="20"/>
              </w:rPr>
            </w:pPr>
            <w:r>
              <w:rPr>
                <w:sz w:val="20"/>
              </w:rPr>
              <w:t>0,141</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810C0000">
            <w:pPr>
              <w:ind/>
              <w:jc w:val="center"/>
              <w:rPr>
                <w:sz w:val="20"/>
              </w:rPr>
            </w:pPr>
            <w:r>
              <w:rPr>
                <w:sz w:val="20"/>
              </w:rPr>
              <w:t>х. Свободный, ул. Победы, 29</w:t>
            </w:r>
          </w:p>
        </w:tc>
        <w:tc>
          <w:tcPr>
            <w:tcW w:type="dxa" w:w="1682"/>
            <w:tcBorders>
              <w:top w:sz="4" w:val="nil"/>
              <w:left w:color="000000" w:sz="4" w:val="single"/>
              <w:bottom w:color="000000" w:sz="4" w:val="single"/>
              <w:right w:color="000000" w:sz="4" w:val="single"/>
            </w:tcBorders>
            <w:vAlign w:val="center"/>
          </w:tcPr>
          <w:p w14:paraId="820C0000">
            <w:pPr>
              <w:ind/>
              <w:jc w:val="center"/>
              <w:rPr>
                <w:sz w:val="20"/>
              </w:rPr>
            </w:pPr>
            <w:r>
              <w:rPr>
                <w:sz w:val="20"/>
              </w:rPr>
              <w:t>23,192</w:t>
            </w:r>
          </w:p>
        </w:tc>
        <w:tc>
          <w:tcPr>
            <w:tcW w:type="dxa" w:w="1401"/>
            <w:tcBorders>
              <w:top w:sz="4" w:val="nil"/>
              <w:left w:color="000000" w:sz="4" w:val="single"/>
              <w:bottom w:color="000000" w:sz="4" w:val="single"/>
              <w:right w:color="000000" w:sz="4" w:val="single"/>
            </w:tcBorders>
            <w:vAlign w:val="center"/>
          </w:tcPr>
          <w:p w14:paraId="830C0000">
            <w:pPr>
              <w:spacing w:after="0" w:line="20" w:lineRule="atLeast"/>
              <w:ind/>
              <w:jc w:val="center"/>
              <w:rPr>
                <w:sz w:val="20"/>
              </w:rPr>
            </w:pPr>
            <w:r>
              <w:rPr>
                <w:sz w:val="20"/>
              </w:rPr>
              <w:t>23,192</w:t>
            </w:r>
          </w:p>
        </w:tc>
        <w:tc>
          <w:tcPr>
            <w:tcW w:type="dxa" w:w="1541"/>
            <w:tcBorders>
              <w:top w:sz="4" w:val="nil"/>
              <w:left w:color="000000" w:sz="4" w:val="single"/>
              <w:bottom w:color="000000" w:sz="4" w:val="single"/>
              <w:right w:color="000000" w:sz="4" w:val="single"/>
            </w:tcBorders>
            <w:vAlign w:val="bottom"/>
          </w:tcPr>
          <w:p w14:paraId="840C0000">
            <w:pPr>
              <w:ind/>
              <w:jc w:val="center"/>
              <w:rPr>
                <w:sz w:val="20"/>
              </w:rPr>
            </w:pPr>
            <w:r>
              <w:rPr>
                <w:sz w:val="20"/>
              </w:rPr>
              <w:t>0,013</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850C0000">
            <w:pPr>
              <w:ind/>
              <w:jc w:val="center"/>
              <w:rPr>
                <w:sz w:val="20"/>
              </w:rPr>
            </w:pPr>
            <w:r>
              <w:rPr>
                <w:sz w:val="20"/>
              </w:rPr>
              <w:t>х. Новобахмутский, ул. Широкая, 89 а</w:t>
            </w:r>
          </w:p>
        </w:tc>
        <w:tc>
          <w:tcPr>
            <w:tcW w:type="dxa" w:w="1682"/>
            <w:tcBorders>
              <w:top w:sz="4" w:val="nil"/>
              <w:left w:color="000000" w:sz="4" w:val="single"/>
              <w:bottom w:color="000000" w:sz="4" w:val="single"/>
              <w:right w:color="000000" w:sz="4" w:val="single"/>
            </w:tcBorders>
            <w:vAlign w:val="center"/>
          </w:tcPr>
          <w:p w14:paraId="860C0000">
            <w:pPr>
              <w:ind/>
              <w:jc w:val="center"/>
              <w:rPr>
                <w:sz w:val="20"/>
              </w:rPr>
            </w:pPr>
            <w:r>
              <w:rPr>
                <w:sz w:val="20"/>
              </w:rPr>
              <w:t>30,992</w:t>
            </w:r>
          </w:p>
        </w:tc>
        <w:tc>
          <w:tcPr>
            <w:tcW w:type="dxa" w:w="1401"/>
            <w:tcBorders>
              <w:top w:sz="4" w:val="nil"/>
              <w:left w:color="000000" w:sz="4" w:val="single"/>
              <w:bottom w:color="000000" w:sz="4" w:val="single"/>
              <w:right w:color="000000" w:sz="4" w:val="single"/>
            </w:tcBorders>
            <w:vAlign w:val="center"/>
          </w:tcPr>
          <w:p w14:paraId="870C0000">
            <w:pPr>
              <w:spacing w:after="0" w:line="20" w:lineRule="atLeast"/>
              <w:ind/>
              <w:jc w:val="center"/>
              <w:rPr>
                <w:sz w:val="20"/>
              </w:rPr>
            </w:pPr>
            <w:r>
              <w:rPr>
                <w:sz w:val="20"/>
              </w:rPr>
              <w:t>30,992</w:t>
            </w:r>
          </w:p>
        </w:tc>
        <w:tc>
          <w:tcPr>
            <w:tcW w:type="dxa" w:w="1541"/>
            <w:tcBorders>
              <w:top w:sz="4" w:val="nil"/>
              <w:left w:color="000000" w:sz="4" w:val="single"/>
              <w:bottom w:color="000000" w:sz="4" w:val="single"/>
              <w:right w:color="000000" w:sz="4" w:val="single"/>
            </w:tcBorders>
            <w:vAlign w:val="bottom"/>
          </w:tcPr>
          <w:p w14:paraId="880C0000">
            <w:pPr>
              <w:ind/>
              <w:jc w:val="center"/>
              <w:rPr>
                <w:sz w:val="20"/>
              </w:rPr>
            </w:pPr>
            <w:r>
              <w:rPr>
                <w:sz w:val="20"/>
              </w:rPr>
              <w:t>0,014</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890C0000">
            <w:pPr>
              <w:ind/>
              <w:jc w:val="center"/>
              <w:rPr>
                <w:sz w:val="20"/>
              </w:rPr>
            </w:pPr>
            <w:r>
              <w:rPr>
                <w:sz w:val="20"/>
              </w:rPr>
              <w:t>с. Русское, ул. Красноармейская, 1</w:t>
            </w:r>
          </w:p>
        </w:tc>
        <w:tc>
          <w:tcPr>
            <w:tcW w:type="dxa" w:w="1682"/>
            <w:tcBorders>
              <w:top w:sz="4" w:val="nil"/>
              <w:left w:color="000000" w:sz="4" w:val="single"/>
              <w:bottom w:color="000000" w:sz="4" w:val="single"/>
              <w:right w:color="000000" w:sz="4" w:val="single"/>
            </w:tcBorders>
            <w:vAlign w:val="center"/>
          </w:tcPr>
          <w:p w14:paraId="8A0C0000">
            <w:pPr>
              <w:ind/>
              <w:jc w:val="center"/>
              <w:rPr>
                <w:sz w:val="20"/>
              </w:rPr>
            </w:pPr>
            <w:r>
              <w:rPr>
                <w:sz w:val="20"/>
              </w:rPr>
              <w:t>109,512</w:t>
            </w:r>
          </w:p>
        </w:tc>
        <w:tc>
          <w:tcPr>
            <w:tcW w:type="dxa" w:w="1401"/>
            <w:tcBorders>
              <w:top w:sz="4" w:val="nil"/>
              <w:left w:color="000000" w:sz="4" w:val="single"/>
              <w:bottom w:color="000000" w:sz="4" w:val="single"/>
              <w:right w:color="000000" w:sz="4" w:val="single"/>
            </w:tcBorders>
            <w:vAlign w:val="center"/>
          </w:tcPr>
          <w:p w14:paraId="8B0C0000">
            <w:pPr>
              <w:spacing w:after="0" w:line="20" w:lineRule="atLeast"/>
              <w:ind/>
              <w:jc w:val="center"/>
              <w:rPr>
                <w:sz w:val="20"/>
              </w:rPr>
            </w:pPr>
            <w:r>
              <w:rPr>
                <w:sz w:val="20"/>
              </w:rPr>
              <w:t>109,512</w:t>
            </w:r>
          </w:p>
        </w:tc>
        <w:tc>
          <w:tcPr>
            <w:tcW w:type="dxa" w:w="1541"/>
            <w:tcBorders>
              <w:top w:sz="4" w:val="nil"/>
              <w:left w:color="000000" w:sz="4" w:val="single"/>
              <w:bottom w:color="000000" w:sz="4" w:val="single"/>
              <w:right w:color="000000" w:sz="4" w:val="single"/>
            </w:tcBorders>
            <w:vAlign w:val="bottom"/>
          </w:tcPr>
          <w:p w14:paraId="8C0C0000">
            <w:pPr>
              <w:ind/>
              <w:jc w:val="center"/>
              <w:rPr>
                <w:sz w:val="20"/>
              </w:rPr>
            </w:pPr>
            <w:r>
              <w:rPr>
                <w:sz w:val="20"/>
              </w:rPr>
              <w:t>0,051</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8D0C0000">
            <w:pPr>
              <w:ind/>
              <w:jc w:val="center"/>
              <w:rPr>
                <w:sz w:val="20"/>
              </w:rPr>
            </w:pPr>
            <w:r>
              <w:rPr>
                <w:sz w:val="20"/>
              </w:rPr>
              <w:t>с. Куйбышево, ул. Цветаева, 31</w:t>
            </w:r>
          </w:p>
        </w:tc>
        <w:tc>
          <w:tcPr>
            <w:tcW w:type="dxa" w:w="1682"/>
            <w:tcBorders>
              <w:top w:sz="4" w:val="nil"/>
              <w:left w:color="000000" w:sz="4" w:val="single"/>
              <w:bottom w:color="000000" w:sz="4" w:val="single"/>
              <w:right w:color="000000" w:sz="4" w:val="single"/>
            </w:tcBorders>
            <w:vAlign w:val="center"/>
          </w:tcPr>
          <w:p w14:paraId="8E0C0000">
            <w:pPr>
              <w:ind/>
              <w:jc w:val="center"/>
              <w:rPr>
                <w:sz w:val="20"/>
              </w:rPr>
            </w:pPr>
            <w:r>
              <w:rPr>
                <w:sz w:val="20"/>
              </w:rPr>
              <w:t>24,128</w:t>
            </w:r>
          </w:p>
        </w:tc>
        <w:tc>
          <w:tcPr>
            <w:tcW w:type="dxa" w:w="1401"/>
            <w:tcBorders>
              <w:top w:sz="4" w:val="nil"/>
              <w:left w:color="000000" w:sz="4" w:val="single"/>
              <w:bottom w:color="000000" w:sz="4" w:val="single"/>
              <w:right w:color="000000" w:sz="4" w:val="single"/>
            </w:tcBorders>
            <w:vAlign w:val="center"/>
          </w:tcPr>
          <w:p w14:paraId="8F0C0000">
            <w:pPr>
              <w:spacing w:after="0" w:line="20" w:lineRule="atLeast"/>
              <w:ind/>
              <w:jc w:val="center"/>
              <w:rPr>
                <w:sz w:val="20"/>
              </w:rPr>
            </w:pPr>
            <w:r>
              <w:rPr>
                <w:sz w:val="20"/>
              </w:rPr>
              <w:t>24,128</w:t>
            </w:r>
          </w:p>
        </w:tc>
        <w:tc>
          <w:tcPr>
            <w:tcW w:type="dxa" w:w="1541"/>
            <w:tcBorders>
              <w:top w:sz="4" w:val="nil"/>
              <w:left w:color="000000" w:sz="4" w:val="single"/>
              <w:bottom w:color="000000" w:sz="4" w:val="single"/>
              <w:right w:color="000000" w:sz="4" w:val="single"/>
            </w:tcBorders>
            <w:vAlign w:val="bottom"/>
          </w:tcPr>
          <w:p w14:paraId="900C0000">
            <w:pPr>
              <w:ind/>
              <w:jc w:val="center"/>
              <w:rPr>
                <w:sz w:val="20"/>
              </w:rPr>
            </w:pPr>
            <w:r>
              <w:rPr>
                <w:sz w:val="20"/>
              </w:rPr>
              <w:t>0,012</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910C0000">
            <w:pPr>
              <w:ind/>
              <w:jc w:val="center"/>
              <w:rPr>
                <w:sz w:val="20"/>
              </w:rPr>
            </w:pPr>
            <w:r>
              <w:rPr>
                <w:sz w:val="20"/>
              </w:rPr>
              <w:t>с. Куйбышево, ул. Куйбышевская, 24</w:t>
            </w:r>
          </w:p>
        </w:tc>
        <w:tc>
          <w:tcPr>
            <w:tcW w:type="dxa" w:w="1682"/>
            <w:tcBorders>
              <w:top w:sz="4" w:val="nil"/>
              <w:left w:color="000000" w:sz="4" w:val="single"/>
              <w:bottom w:color="000000" w:sz="4" w:val="single"/>
              <w:right w:color="000000" w:sz="4" w:val="single"/>
            </w:tcBorders>
            <w:vAlign w:val="center"/>
          </w:tcPr>
          <w:p w14:paraId="920C0000">
            <w:pPr>
              <w:ind/>
              <w:jc w:val="center"/>
              <w:rPr>
                <w:sz w:val="20"/>
              </w:rPr>
            </w:pPr>
            <w:r>
              <w:rPr>
                <w:sz w:val="20"/>
              </w:rPr>
              <w:t>230,108</w:t>
            </w:r>
          </w:p>
        </w:tc>
        <w:tc>
          <w:tcPr>
            <w:tcW w:type="dxa" w:w="1401"/>
            <w:tcBorders>
              <w:top w:sz="4" w:val="nil"/>
              <w:left w:color="000000" w:sz="4" w:val="single"/>
              <w:bottom w:color="000000" w:sz="4" w:val="single"/>
              <w:right w:color="000000" w:sz="4" w:val="single"/>
            </w:tcBorders>
            <w:vAlign w:val="center"/>
          </w:tcPr>
          <w:p w14:paraId="930C0000">
            <w:pPr>
              <w:spacing w:after="0" w:line="20" w:lineRule="atLeast"/>
              <w:ind/>
              <w:jc w:val="center"/>
              <w:rPr>
                <w:sz w:val="20"/>
              </w:rPr>
            </w:pPr>
            <w:r>
              <w:rPr>
                <w:sz w:val="20"/>
              </w:rPr>
              <w:t>230,108</w:t>
            </w:r>
          </w:p>
        </w:tc>
        <w:tc>
          <w:tcPr>
            <w:tcW w:type="dxa" w:w="1541"/>
            <w:tcBorders>
              <w:top w:sz="4" w:val="nil"/>
              <w:left w:color="000000" w:sz="4" w:val="single"/>
              <w:bottom w:color="000000" w:sz="4" w:val="single"/>
              <w:right w:color="000000" w:sz="4" w:val="single"/>
            </w:tcBorders>
            <w:vAlign w:val="bottom"/>
          </w:tcPr>
          <w:p w14:paraId="940C0000">
            <w:pPr>
              <w:ind/>
              <w:jc w:val="center"/>
              <w:rPr>
                <w:sz w:val="20"/>
              </w:rPr>
            </w:pPr>
            <w:r>
              <w:rPr>
                <w:sz w:val="20"/>
              </w:rPr>
              <w:t>0,153</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950C0000">
            <w:pPr>
              <w:ind/>
              <w:jc w:val="center"/>
              <w:rPr>
                <w:sz w:val="20"/>
              </w:rPr>
            </w:pPr>
            <w:r>
              <w:rPr>
                <w:sz w:val="20"/>
              </w:rPr>
              <w:t>с. Куйбышево, ул. Куйбышевская, 20</w:t>
            </w:r>
          </w:p>
        </w:tc>
        <w:tc>
          <w:tcPr>
            <w:tcW w:type="dxa" w:w="1682"/>
            <w:tcBorders>
              <w:top w:sz="4" w:val="nil"/>
              <w:left w:color="000000" w:sz="4" w:val="single"/>
              <w:bottom w:color="000000" w:sz="4" w:val="single"/>
              <w:right w:color="000000" w:sz="4" w:val="single"/>
            </w:tcBorders>
            <w:vAlign w:val="center"/>
          </w:tcPr>
          <w:p w14:paraId="960C0000">
            <w:pPr>
              <w:ind/>
              <w:jc w:val="center"/>
              <w:rPr>
                <w:sz w:val="20"/>
              </w:rPr>
            </w:pPr>
            <w:r>
              <w:rPr>
                <w:sz w:val="20"/>
              </w:rPr>
              <w:t>40,773</w:t>
            </w:r>
          </w:p>
        </w:tc>
        <w:tc>
          <w:tcPr>
            <w:tcW w:type="dxa" w:w="1401"/>
            <w:tcBorders>
              <w:top w:sz="4" w:val="nil"/>
              <w:left w:color="000000" w:sz="4" w:val="single"/>
              <w:bottom w:color="000000" w:sz="4" w:val="single"/>
              <w:right w:color="000000" w:sz="4" w:val="single"/>
            </w:tcBorders>
            <w:vAlign w:val="center"/>
          </w:tcPr>
          <w:p w14:paraId="970C0000">
            <w:pPr>
              <w:spacing w:after="0" w:line="20" w:lineRule="atLeast"/>
              <w:ind/>
              <w:jc w:val="center"/>
              <w:rPr>
                <w:sz w:val="20"/>
              </w:rPr>
            </w:pPr>
            <w:r>
              <w:rPr>
                <w:sz w:val="20"/>
              </w:rPr>
              <w:t>40,773</w:t>
            </w:r>
          </w:p>
        </w:tc>
        <w:tc>
          <w:tcPr>
            <w:tcW w:type="dxa" w:w="1541"/>
            <w:tcBorders>
              <w:top w:sz="4" w:val="nil"/>
              <w:left w:color="000000" w:sz="4" w:val="single"/>
              <w:bottom w:color="000000" w:sz="4" w:val="single"/>
              <w:right w:color="000000" w:sz="4" w:val="single"/>
            </w:tcBorders>
            <w:vAlign w:val="bottom"/>
          </w:tcPr>
          <w:p w14:paraId="980C0000">
            <w:pPr>
              <w:ind/>
              <w:jc w:val="center"/>
              <w:rPr>
                <w:sz w:val="20"/>
              </w:rPr>
            </w:pPr>
            <w:r>
              <w:rPr>
                <w:sz w:val="20"/>
              </w:rPr>
              <w:t>0,021</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990C0000">
            <w:pPr>
              <w:ind/>
              <w:jc w:val="center"/>
              <w:rPr>
                <w:sz w:val="20"/>
              </w:rPr>
            </w:pPr>
            <w:r>
              <w:rPr>
                <w:sz w:val="20"/>
              </w:rPr>
              <w:t>с. Куйбышево, ул. Миусская, 3</w:t>
            </w:r>
          </w:p>
        </w:tc>
        <w:tc>
          <w:tcPr>
            <w:tcW w:type="dxa" w:w="1682"/>
            <w:tcBorders>
              <w:top w:sz="4" w:val="nil"/>
              <w:left w:color="000000" w:sz="4" w:val="single"/>
              <w:bottom w:color="000000" w:sz="4" w:val="single"/>
              <w:right w:color="000000" w:sz="4" w:val="single"/>
            </w:tcBorders>
            <w:vAlign w:val="center"/>
          </w:tcPr>
          <w:p w14:paraId="9A0C0000">
            <w:pPr>
              <w:ind/>
              <w:jc w:val="center"/>
              <w:rPr>
                <w:sz w:val="20"/>
              </w:rPr>
            </w:pPr>
            <w:r>
              <w:rPr>
                <w:sz w:val="20"/>
              </w:rPr>
              <w:t>273,246</w:t>
            </w:r>
          </w:p>
        </w:tc>
        <w:tc>
          <w:tcPr>
            <w:tcW w:type="dxa" w:w="1401"/>
            <w:tcBorders>
              <w:top w:sz="4" w:val="nil"/>
              <w:left w:color="000000" w:sz="4" w:val="single"/>
              <w:bottom w:color="000000" w:sz="4" w:val="single"/>
              <w:right w:color="000000" w:sz="4" w:val="single"/>
            </w:tcBorders>
            <w:vAlign w:val="center"/>
          </w:tcPr>
          <w:p w14:paraId="9B0C0000">
            <w:pPr>
              <w:spacing w:after="0" w:line="20" w:lineRule="atLeast"/>
              <w:ind/>
              <w:jc w:val="center"/>
              <w:rPr>
                <w:sz w:val="20"/>
              </w:rPr>
            </w:pPr>
            <w:r>
              <w:rPr>
                <w:sz w:val="20"/>
              </w:rPr>
              <w:t>273,246</w:t>
            </w:r>
          </w:p>
        </w:tc>
        <w:tc>
          <w:tcPr>
            <w:tcW w:type="dxa" w:w="1541"/>
            <w:tcBorders>
              <w:top w:sz="4" w:val="nil"/>
              <w:left w:color="000000" w:sz="4" w:val="single"/>
              <w:bottom w:color="000000" w:sz="4" w:val="single"/>
              <w:right w:color="000000" w:sz="4" w:val="single"/>
            </w:tcBorders>
            <w:vAlign w:val="bottom"/>
          </w:tcPr>
          <w:p w14:paraId="9C0C0000">
            <w:pPr>
              <w:ind/>
              <w:jc w:val="center"/>
              <w:rPr>
                <w:sz w:val="20"/>
              </w:rPr>
            </w:pPr>
            <w:r>
              <w:rPr>
                <w:sz w:val="20"/>
              </w:rPr>
              <w:t>0,105</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9D0C0000">
            <w:pPr>
              <w:ind/>
              <w:jc w:val="center"/>
              <w:rPr>
                <w:sz w:val="20"/>
              </w:rPr>
            </w:pPr>
            <w:r>
              <w:rPr>
                <w:sz w:val="20"/>
              </w:rPr>
              <w:t>с. Куйбышево, ул. Миусская, 3</w:t>
            </w:r>
          </w:p>
        </w:tc>
        <w:tc>
          <w:tcPr>
            <w:tcW w:type="dxa" w:w="1682"/>
            <w:tcBorders>
              <w:top w:sz="4" w:val="nil"/>
              <w:left w:color="000000" w:sz="4" w:val="single"/>
              <w:bottom w:color="000000" w:sz="4" w:val="single"/>
              <w:right w:color="000000" w:sz="4" w:val="single"/>
            </w:tcBorders>
            <w:vAlign w:val="center"/>
          </w:tcPr>
          <w:p w14:paraId="9E0C0000">
            <w:pPr>
              <w:ind/>
              <w:jc w:val="center"/>
              <w:rPr>
                <w:sz w:val="20"/>
              </w:rPr>
            </w:pPr>
            <w:r>
              <w:rPr>
                <w:sz w:val="20"/>
              </w:rPr>
              <w:t>156,354</w:t>
            </w:r>
          </w:p>
        </w:tc>
        <w:tc>
          <w:tcPr>
            <w:tcW w:type="dxa" w:w="1401"/>
            <w:tcBorders>
              <w:top w:sz="4" w:val="nil"/>
              <w:left w:color="000000" w:sz="4" w:val="single"/>
              <w:bottom w:color="000000" w:sz="4" w:val="single"/>
              <w:right w:color="000000" w:sz="4" w:val="single"/>
            </w:tcBorders>
            <w:vAlign w:val="center"/>
          </w:tcPr>
          <w:p w14:paraId="9F0C0000">
            <w:pPr>
              <w:spacing w:after="0" w:line="20" w:lineRule="atLeast"/>
              <w:ind/>
              <w:jc w:val="center"/>
              <w:rPr>
                <w:sz w:val="20"/>
              </w:rPr>
            </w:pPr>
            <w:r>
              <w:rPr>
                <w:sz w:val="20"/>
              </w:rPr>
              <w:t>156,354</w:t>
            </w:r>
          </w:p>
        </w:tc>
        <w:tc>
          <w:tcPr>
            <w:tcW w:type="dxa" w:w="1541"/>
            <w:tcBorders>
              <w:top w:sz="4" w:val="nil"/>
              <w:left w:color="000000" w:sz="4" w:val="single"/>
              <w:bottom w:color="000000" w:sz="4" w:val="single"/>
              <w:right w:color="000000" w:sz="4" w:val="single"/>
            </w:tcBorders>
            <w:vAlign w:val="bottom"/>
          </w:tcPr>
          <w:p w14:paraId="A00C0000">
            <w:pPr>
              <w:ind/>
              <w:jc w:val="center"/>
              <w:rPr>
                <w:sz w:val="20"/>
              </w:rPr>
            </w:pPr>
            <w:r>
              <w:rPr>
                <w:sz w:val="20"/>
              </w:rPr>
              <w:t>0,060</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A10C0000">
            <w:pPr>
              <w:ind/>
              <w:jc w:val="center"/>
              <w:rPr>
                <w:sz w:val="20"/>
              </w:rPr>
            </w:pPr>
            <w:r>
              <w:rPr>
                <w:sz w:val="20"/>
              </w:rPr>
              <w:t>с. Куйбышево, ул. Миусская, 3</w:t>
            </w:r>
          </w:p>
        </w:tc>
        <w:tc>
          <w:tcPr>
            <w:tcW w:type="dxa" w:w="1682"/>
            <w:tcBorders>
              <w:top w:sz="4" w:val="nil"/>
              <w:left w:color="000000" w:sz="4" w:val="single"/>
              <w:bottom w:color="000000" w:sz="4" w:val="single"/>
              <w:right w:color="000000" w:sz="4" w:val="single"/>
            </w:tcBorders>
            <w:vAlign w:val="center"/>
          </w:tcPr>
          <w:p w14:paraId="A20C0000">
            <w:pPr>
              <w:ind/>
              <w:jc w:val="center"/>
              <w:rPr>
                <w:sz w:val="20"/>
              </w:rPr>
            </w:pPr>
            <w:r>
              <w:rPr>
                <w:sz w:val="20"/>
              </w:rPr>
              <w:t>49,675</w:t>
            </w:r>
          </w:p>
        </w:tc>
        <w:tc>
          <w:tcPr>
            <w:tcW w:type="dxa" w:w="1401"/>
            <w:tcBorders>
              <w:top w:sz="4" w:val="nil"/>
              <w:left w:color="000000" w:sz="4" w:val="single"/>
              <w:bottom w:color="000000" w:sz="4" w:val="single"/>
              <w:right w:color="000000" w:sz="4" w:val="single"/>
            </w:tcBorders>
            <w:vAlign w:val="center"/>
          </w:tcPr>
          <w:p w14:paraId="A30C0000">
            <w:pPr>
              <w:spacing w:after="0" w:line="20" w:lineRule="atLeast"/>
              <w:ind/>
              <w:jc w:val="center"/>
              <w:rPr>
                <w:sz w:val="20"/>
              </w:rPr>
            </w:pPr>
            <w:r>
              <w:rPr>
                <w:sz w:val="20"/>
              </w:rPr>
              <w:t>49,675</w:t>
            </w:r>
          </w:p>
        </w:tc>
        <w:tc>
          <w:tcPr>
            <w:tcW w:type="dxa" w:w="1541"/>
            <w:tcBorders>
              <w:top w:sz="4" w:val="nil"/>
              <w:left w:color="000000" w:sz="4" w:val="single"/>
              <w:bottom w:color="000000" w:sz="4" w:val="single"/>
              <w:right w:color="000000" w:sz="4" w:val="single"/>
            </w:tcBorders>
            <w:vAlign w:val="bottom"/>
          </w:tcPr>
          <w:p w14:paraId="A40C0000">
            <w:pPr>
              <w:ind/>
              <w:jc w:val="center"/>
              <w:rPr>
                <w:sz w:val="20"/>
              </w:rPr>
            </w:pPr>
            <w:r>
              <w:rPr>
                <w:sz w:val="20"/>
              </w:rPr>
              <w:t>0,025</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A50C0000">
            <w:pPr>
              <w:ind/>
              <w:jc w:val="center"/>
              <w:rPr>
                <w:sz w:val="20"/>
              </w:rPr>
            </w:pPr>
            <w:r>
              <w:rPr>
                <w:sz w:val="20"/>
              </w:rPr>
              <w:t>с. Куйбышево, ул. Миусская, 3</w:t>
            </w:r>
          </w:p>
        </w:tc>
        <w:tc>
          <w:tcPr>
            <w:tcW w:type="dxa" w:w="1682"/>
            <w:tcBorders>
              <w:top w:sz="4" w:val="nil"/>
              <w:left w:color="000000" w:sz="4" w:val="single"/>
              <w:bottom w:color="000000" w:sz="4" w:val="single"/>
              <w:right w:color="000000" w:sz="4" w:val="single"/>
            </w:tcBorders>
            <w:vAlign w:val="center"/>
          </w:tcPr>
          <w:p w14:paraId="A60C0000">
            <w:pPr>
              <w:ind/>
              <w:jc w:val="center"/>
              <w:rPr>
                <w:sz w:val="20"/>
              </w:rPr>
            </w:pPr>
            <w:r>
              <w:rPr>
                <w:sz w:val="20"/>
              </w:rPr>
              <w:t>35,962</w:t>
            </w:r>
          </w:p>
        </w:tc>
        <w:tc>
          <w:tcPr>
            <w:tcW w:type="dxa" w:w="1401"/>
            <w:tcBorders>
              <w:top w:sz="4" w:val="nil"/>
              <w:left w:color="000000" w:sz="4" w:val="single"/>
              <w:bottom w:color="000000" w:sz="4" w:val="single"/>
              <w:right w:color="000000" w:sz="4" w:val="single"/>
            </w:tcBorders>
            <w:vAlign w:val="center"/>
          </w:tcPr>
          <w:p w14:paraId="A70C0000">
            <w:pPr>
              <w:spacing w:after="0" w:line="20" w:lineRule="atLeast"/>
              <w:ind/>
              <w:jc w:val="center"/>
              <w:rPr>
                <w:sz w:val="20"/>
              </w:rPr>
            </w:pPr>
            <w:r>
              <w:rPr>
                <w:sz w:val="20"/>
              </w:rPr>
              <w:t>35,962</w:t>
            </w:r>
          </w:p>
        </w:tc>
        <w:tc>
          <w:tcPr>
            <w:tcW w:type="dxa" w:w="1541"/>
            <w:tcBorders>
              <w:top w:sz="4" w:val="nil"/>
              <w:left w:color="000000" w:sz="4" w:val="single"/>
              <w:bottom w:color="000000" w:sz="4" w:val="single"/>
              <w:right w:color="000000" w:sz="4" w:val="single"/>
            </w:tcBorders>
            <w:vAlign w:val="bottom"/>
          </w:tcPr>
          <w:p w14:paraId="A80C0000">
            <w:pPr>
              <w:ind/>
              <w:jc w:val="center"/>
              <w:rPr>
                <w:sz w:val="20"/>
              </w:rPr>
            </w:pPr>
            <w:r>
              <w:rPr>
                <w:sz w:val="20"/>
              </w:rPr>
              <w:t>0,019</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A90C0000">
            <w:pPr>
              <w:ind/>
              <w:jc w:val="center"/>
              <w:rPr>
                <w:sz w:val="20"/>
              </w:rPr>
            </w:pPr>
            <w:r>
              <w:rPr>
                <w:sz w:val="20"/>
              </w:rPr>
              <w:t>с. Куйбышево, ул. Миусская, 3</w:t>
            </w:r>
          </w:p>
        </w:tc>
        <w:tc>
          <w:tcPr>
            <w:tcW w:type="dxa" w:w="1682"/>
            <w:tcBorders>
              <w:top w:sz="4" w:val="nil"/>
              <w:left w:color="000000" w:sz="4" w:val="single"/>
              <w:bottom w:color="000000" w:sz="4" w:val="single"/>
              <w:right w:color="000000" w:sz="4" w:val="single"/>
            </w:tcBorders>
            <w:vAlign w:val="center"/>
          </w:tcPr>
          <w:p w14:paraId="AA0C0000">
            <w:pPr>
              <w:ind/>
              <w:jc w:val="center"/>
              <w:rPr>
                <w:sz w:val="20"/>
              </w:rPr>
            </w:pPr>
            <w:r>
              <w:rPr>
                <w:sz w:val="20"/>
              </w:rPr>
              <w:t>32,746</w:t>
            </w:r>
          </w:p>
        </w:tc>
        <w:tc>
          <w:tcPr>
            <w:tcW w:type="dxa" w:w="1401"/>
            <w:tcBorders>
              <w:top w:sz="4" w:val="nil"/>
              <w:left w:color="000000" w:sz="4" w:val="single"/>
              <w:bottom w:color="000000" w:sz="4" w:val="single"/>
              <w:right w:color="000000" w:sz="4" w:val="single"/>
            </w:tcBorders>
            <w:vAlign w:val="center"/>
          </w:tcPr>
          <w:p w14:paraId="AB0C0000">
            <w:pPr>
              <w:spacing w:after="0" w:line="20" w:lineRule="atLeast"/>
              <w:ind/>
              <w:jc w:val="center"/>
              <w:rPr>
                <w:sz w:val="20"/>
              </w:rPr>
            </w:pPr>
            <w:r>
              <w:rPr>
                <w:sz w:val="20"/>
              </w:rPr>
              <w:t>32,746</w:t>
            </w:r>
          </w:p>
        </w:tc>
        <w:tc>
          <w:tcPr>
            <w:tcW w:type="dxa" w:w="1541"/>
            <w:tcBorders>
              <w:top w:sz="4" w:val="nil"/>
              <w:left w:color="000000" w:sz="4" w:val="single"/>
              <w:bottom w:color="000000" w:sz="4" w:val="single"/>
              <w:right w:color="000000" w:sz="4" w:val="single"/>
            </w:tcBorders>
            <w:vAlign w:val="bottom"/>
          </w:tcPr>
          <w:p w14:paraId="AC0C0000">
            <w:pPr>
              <w:ind/>
              <w:jc w:val="center"/>
              <w:rPr>
                <w:sz w:val="20"/>
              </w:rPr>
            </w:pPr>
            <w:r>
              <w:rPr>
                <w:sz w:val="20"/>
              </w:rPr>
              <w:t>0,017</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AD0C0000">
            <w:pPr>
              <w:ind/>
              <w:jc w:val="center"/>
              <w:rPr>
                <w:sz w:val="20"/>
              </w:rPr>
            </w:pPr>
            <w:r>
              <w:rPr>
                <w:sz w:val="20"/>
              </w:rPr>
              <w:t>с. Куйбышево, ул. Миусская, 3</w:t>
            </w:r>
          </w:p>
        </w:tc>
        <w:tc>
          <w:tcPr>
            <w:tcW w:type="dxa" w:w="1682"/>
            <w:tcBorders>
              <w:top w:sz="4" w:val="nil"/>
              <w:left w:color="000000" w:sz="4" w:val="single"/>
              <w:bottom w:color="000000" w:sz="4" w:val="single"/>
              <w:right w:color="000000" w:sz="4" w:val="single"/>
            </w:tcBorders>
            <w:vAlign w:val="center"/>
          </w:tcPr>
          <w:p w14:paraId="AE0C0000">
            <w:pPr>
              <w:ind/>
              <w:jc w:val="center"/>
              <w:rPr>
                <w:sz w:val="20"/>
              </w:rPr>
            </w:pPr>
            <w:r>
              <w:rPr>
                <w:sz w:val="20"/>
              </w:rPr>
              <w:t>101,478</w:t>
            </w:r>
          </w:p>
        </w:tc>
        <w:tc>
          <w:tcPr>
            <w:tcW w:type="dxa" w:w="1401"/>
            <w:tcBorders>
              <w:top w:sz="4" w:val="nil"/>
              <w:left w:color="000000" w:sz="4" w:val="single"/>
              <w:bottom w:color="000000" w:sz="4" w:val="single"/>
              <w:right w:color="000000" w:sz="4" w:val="single"/>
            </w:tcBorders>
            <w:vAlign w:val="center"/>
          </w:tcPr>
          <w:p w14:paraId="AF0C0000">
            <w:pPr>
              <w:spacing w:after="0" w:line="20" w:lineRule="atLeast"/>
              <w:ind/>
              <w:jc w:val="center"/>
              <w:rPr>
                <w:sz w:val="20"/>
              </w:rPr>
            </w:pPr>
            <w:r>
              <w:rPr>
                <w:sz w:val="20"/>
              </w:rPr>
              <w:t>101,478</w:t>
            </w:r>
          </w:p>
        </w:tc>
        <w:tc>
          <w:tcPr>
            <w:tcW w:type="dxa" w:w="1541"/>
            <w:tcBorders>
              <w:top w:sz="4" w:val="nil"/>
              <w:left w:color="000000" w:sz="4" w:val="single"/>
              <w:bottom w:color="000000" w:sz="4" w:val="single"/>
              <w:right w:color="000000" w:sz="4" w:val="single"/>
            </w:tcBorders>
            <w:vAlign w:val="bottom"/>
          </w:tcPr>
          <w:p w14:paraId="B00C0000">
            <w:pPr>
              <w:ind/>
              <w:jc w:val="center"/>
              <w:rPr>
                <w:sz w:val="20"/>
              </w:rPr>
            </w:pPr>
            <w:r>
              <w:rPr>
                <w:sz w:val="20"/>
              </w:rPr>
              <w:t>0,010</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B10C0000">
            <w:pPr>
              <w:ind/>
              <w:jc w:val="center"/>
              <w:rPr>
                <w:sz w:val="20"/>
              </w:rPr>
            </w:pPr>
            <w:r>
              <w:rPr>
                <w:sz w:val="20"/>
              </w:rPr>
              <w:t>с. Куйбышево, ул. Миусская,</w:t>
            </w:r>
            <w:r>
              <w:rPr>
                <w:sz w:val="20"/>
              </w:rPr>
              <w:t xml:space="preserve"> 3</w:t>
            </w:r>
          </w:p>
        </w:tc>
        <w:tc>
          <w:tcPr>
            <w:tcW w:type="dxa" w:w="1682"/>
            <w:tcBorders>
              <w:top w:sz="4" w:val="nil"/>
              <w:left w:color="000000" w:sz="4" w:val="single"/>
              <w:bottom w:color="000000" w:sz="4" w:val="single"/>
              <w:right w:color="000000" w:sz="4" w:val="single"/>
            </w:tcBorders>
            <w:vAlign w:val="center"/>
          </w:tcPr>
          <w:p w14:paraId="B20C0000">
            <w:pPr>
              <w:ind/>
              <w:jc w:val="center"/>
              <w:rPr>
                <w:sz w:val="20"/>
              </w:rPr>
            </w:pPr>
            <w:r>
              <w:rPr>
                <w:sz w:val="20"/>
              </w:rPr>
              <w:t>8,368</w:t>
            </w:r>
          </w:p>
        </w:tc>
        <w:tc>
          <w:tcPr>
            <w:tcW w:type="dxa" w:w="1401"/>
            <w:tcBorders>
              <w:top w:sz="4" w:val="nil"/>
              <w:left w:color="000000" w:sz="4" w:val="single"/>
              <w:bottom w:color="000000" w:sz="4" w:val="single"/>
              <w:right w:color="000000" w:sz="4" w:val="single"/>
            </w:tcBorders>
            <w:vAlign w:val="center"/>
          </w:tcPr>
          <w:p w14:paraId="B30C0000">
            <w:pPr>
              <w:spacing w:after="0" w:line="20" w:lineRule="atLeast"/>
              <w:ind/>
              <w:jc w:val="center"/>
              <w:rPr>
                <w:sz w:val="20"/>
              </w:rPr>
            </w:pPr>
            <w:r>
              <w:rPr>
                <w:sz w:val="20"/>
              </w:rPr>
              <w:t>8,368</w:t>
            </w:r>
          </w:p>
        </w:tc>
        <w:tc>
          <w:tcPr>
            <w:tcW w:type="dxa" w:w="1541"/>
            <w:tcBorders>
              <w:top w:sz="4" w:val="nil"/>
              <w:left w:color="000000" w:sz="4" w:val="single"/>
              <w:bottom w:color="000000" w:sz="4" w:val="single"/>
              <w:right w:color="000000" w:sz="4" w:val="single"/>
            </w:tcBorders>
            <w:vAlign w:val="bottom"/>
          </w:tcPr>
          <w:p w14:paraId="B40C0000">
            <w:pPr>
              <w:ind/>
              <w:jc w:val="center"/>
              <w:rPr>
                <w:sz w:val="20"/>
              </w:rPr>
            </w:pPr>
            <w:r>
              <w:rPr>
                <w:sz w:val="20"/>
              </w:rPr>
              <w:t>0,006</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B50C0000">
            <w:pPr>
              <w:ind/>
              <w:jc w:val="center"/>
              <w:rPr>
                <w:sz w:val="20"/>
              </w:rPr>
            </w:pPr>
            <w:r>
              <w:rPr>
                <w:sz w:val="20"/>
              </w:rPr>
              <w:t>с. Куйбышево, ул. Миусская, 3</w:t>
            </w:r>
          </w:p>
        </w:tc>
        <w:tc>
          <w:tcPr>
            <w:tcW w:type="dxa" w:w="1682"/>
            <w:tcBorders>
              <w:top w:sz="4" w:val="nil"/>
              <w:left w:color="000000" w:sz="4" w:val="single"/>
              <w:bottom w:color="000000" w:sz="4" w:val="single"/>
              <w:right w:color="000000" w:sz="4" w:val="single"/>
            </w:tcBorders>
            <w:vAlign w:val="center"/>
          </w:tcPr>
          <w:p w14:paraId="B60C0000">
            <w:pPr>
              <w:ind/>
              <w:jc w:val="center"/>
              <w:rPr>
                <w:sz w:val="20"/>
              </w:rPr>
            </w:pPr>
            <w:r>
              <w:rPr>
                <w:sz w:val="20"/>
              </w:rPr>
              <w:t>43,670</w:t>
            </w:r>
          </w:p>
        </w:tc>
        <w:tc>
          <w:tcPr>
            <w:tcW w:type="dxa" w:w="1401"/>
            <w:tcBorders>
              <w:top w:sz="4" w:val="nil"/>
              <w:left w:color="000000" w:sz="4" w:val="single"/>
              <w:bottom w:color="000000" w:sz="4" w:val="single"/>
              <w:right w:color="000000" w:sz="4" w:val="single"/>
            </w:tcBorders>
            <w:vAlign w:val="center"/>
          </w:tcPr>
          <w:p w14:paraId="B70C0000">
            <w:pPr>
              <w:spacing w:after="0" w:line="20" w:lineRule="atLeast"/>
              <w:ind/>
              <w:jc w:val="center"/>
              <w:rPr>
                <w:sz w:val="20"/>
              </w:rPr>
            </w:pPr>
            <w:r>
              <w:rPr>
                <w:sz w:val="20"/>
              </w:rPr>
              <w:t>43,670</w:t>
            </w:r>
          </w:p>
        </w:tc>
        <w:tc>
          <w:tcPr>
            <w:tcW w:type="dxa" w:w="1541"/>
            <w:tcBorders>
              <w:top w:sz="4" w:val="nil"/>
              <w:left w:color="000000" w:sz="4" w:val="single"/>
              <w:bottom w:color="000000" w:sz="4" w:val="single"/>
              <w:right w:color="000000" w:sz="4" w:val="single"/>
            </w:tcBorders>
            <w:vAlign w:val="bottom"/>
          </w:tcPr>
          <w:p w14:paraId="B80C0000">
            <w:pPr>
              <w:ind/>
              <w:jc w:val="center"/>
              <w:rPr>
                <w:sz w:val="20"/>
              </w:rPr>
            </w:pPr>
            <w:r>
              <w:rPr>
                <w:sz w:val="20"/>
              </w:rPr>
              <w:t>0,021</w:t>
            </w:r>
          </w:p>
        </w:tc>
      </w:tr>
      <w:tr>
        <w:trPr>
          <w:trHeight w:hRule="atLeast" w:val="331"/>
        </w:trPr>
        <w:tc>
          <w:tcPr>
            <w:tcW w:type="dxa" w:w="4906"/>
            <w:tcBorders>
              <w:top w:sz="4" w:val="nil"/>
              <w:left w:color="000000" w:sz="4" w:val="single"/>
              <w:bottom w:color="000000" w:sz="4" w:val="single"/>
              <w:right w:color="000000" w:sz="4" w:val="single"/>
            </w:tcBorders>
            <w:vAlign w:val="center"/>
          </w:tcPr>
          <w:p w14:paraId="B90C0000">
            <w:pPr>
              <w:ind/>
              <w:jc w:val="center"/>
              <w:rPr>
                <w:sz w:val="20"/>
              </w:rPr>
            </w:pPr>
            <w:r>
              <w:rPr>
                <w:sz w:val="20"/>
              </w:rPr>
              <w:t>с. Куйбышево, ул. Миусская, 3</w:t>
            </w:r>
          </w:p>
        </w:tc>
        <w:tc>
          <w:tcPr>
            <w:tcW w:type="dxa" w:w="1682"/>
            <w:tcBorders>
              <w:top w:sz="4" w:val="nil"/>
              <w:left w:color="000000" w:sz="4" w:val="single"/>
              <w:bottom w:color="000000" w:sz="4" w:val="single"/>
              <w:right w:color="000000" w:sz="4" w:val="single"/>
            </w:tcBorders>
            <w:vAlign w:val="center"/>
          </w:tcPr>
          <w:p w14:paraId="BA0C0000">
            <w:pPr>
              <w:ind/>
              <w:jc w:val="center"/>
              <w:rPr>
                <w:sz w:val="20"/>
              </w:rPr>
            </w:pPr>
            <w:r>
              <w:rPr>
                <w:sz w:val="20"/>
              </w:rPr>
              <w:t>92,153</w:t>
            </w:r>
          </w:p>
        </w:tc>
        <w:tc>
          <w:tcPr>
            <w:tcW w:type="dxa" w:w="1401"/>
            <w:tcBorders>
              <w:top w:sz="4" w:val="nil"/>
              <w:left w:color="000000" w:sz="4" w:val="single"/>
              <w:bottom w:color="000000" w:sz="4" w:val="single"/>
              <w:right w:color="000000" w:sz="4" w:val="single"/>
            </w:tcBorders>
            <w:vAlign w:val="center"/>
          </w:tcPr>
          <w:p w14:paraId="BB0C0000">
            <w:pPr>
              <w:spacing w:after="0" w:line="20" w:lineRule="atLeast"/>
              <w:ind/>
              <w:jc w:val="center"/>
              <w:rPr>
                <w:sz w:val="20"/>
              </w:rPr>
            </w:pPr>
            <w:r>
              <w:rPr>
                <w:sz w:val="20"/>
              </w:rPr>
              <w:t>92,153</w:t>
            </w:r>
          </w:p>
        </w:tc>
        <w:tc>
          <w:tcPr>
            <w:tcW w:type="dxa" w:w="1541"/>
            <w:tcBorders>
              <w:top w:sz="4" w:val="nil"/>
              <w:left w:color="000000" w:sz="4" w:val="single"/>
              <w:bottom w:color="000000" w:sz="4" w:val="single"/>
              <w:right w:color="000000" w:sz="4" w:val="single"/>
            </w:tcBorders>
            <w:vAlign w:val="bottom"/>
          </w:tcPr>
          <w:p w14:paraId="BC0C0000">
            <w:pPr>
              <w:ind/>
              <w:jc w:val="center"/>
              <w:rPr>
                <w:sz w:val="20"/>
              </w:rPr>
            </w:pPr>
            <w:r>
              <w:rPr>
                <w:sz w:val="20"/>
              </w:rPr>
              <w:t>0,036</w:t>
            </w:r>
          </w:p>
        </w:tc>
      </w:tr>
      <w:tr>
        <w:trPr>
          <w:trHeight w:hRule="atLeast" w:val="166"/>
        </w:trPr>
        <w:tc>
          <w:tcPr>
            <w:tcW w:type="dxa" w:w="4906"/>
            <w:tcBorders>
              <w:top w:sz="4" w:val="nil"/>
              <w:left w:color="000000" w:sz="4" w:val="single"/>
              <w:bottom w:color="000000" w:sz="4" w:val="single"/>
              <w:right w:color="000000" w:sz="4" w:val="single"/>
            </w:tcBorders>
            <w:vAlign w:val="center"/>
          </w:tcPr>
          <w:p w14:paraId="BD0C0000">
            <w:pPr>
              <w:ind/>
              <w:jc w:val="center"/>
              <w:rPr>
                <w:sz w:val="20"/>
              </w:rPr>
            </w:pPr>
            <w:r>
              <w:rPr>
                <w:sz w:val="20"/>
              </w:rPr>
              <w:t>с. Куйбышево, ул. Миусская, 3</w:t>
            </w:r>
          </w:p>
        </w:tc>
        <w:tc>
          <w:tcPr>
            <w:tcW w:type="dxa" w:w="1682"/>
            <w:tcBorders>
              <w:top w:sz="4" w:val="nil"/>
              <w:left w:color="000000" w:sz="4" w:val="single"/>
              <w:bottom w:color="000000" w:sz="4" w:val="single"/>
              <w:right w:color="000000" w:sz="4" w:val="single"/>
            </w:tcBorders>
            <w:vAlign w:val="center"/>
          </w:tcPr>
          <w:p w14:paraId="BE0C0000">
            <w:pPr>
              <w:ind/>
              <w:jc w:val="center"/>
              <w:rPr>
                <w:sz w:val="20"/>
              </w:rPr>
            </w:pPr>
            <w:r>
              <w:rPr>
                <w:sz w:val="20"/>
              </w:rPr>
              <w:t>64,395</w:t>
            </w:r>
          </w:p>
        </w:tc>
        <w:tc>
          <w:tcPr>
            <w:tcW w:type="dxa" w:w="1401"/>
            <w:tcBorders>
              <w:top w:sz="4" w:val="nil"/>
              <w:left w:color="000000" w:sz="4" w:val="single"/>
              <w:bottom w:color="000000" w:sz="4" w:val="single"/>
              <w:right w:color="000000" w:sz="4" w:val="single"/>
            </w:tcBorders>
            <w:vAlign w:val="center"/>
          </w:tcPr>
          <w:p w14:paraId="BF0C0000">
            <w:pPr>
              <w:spacing w:after="0" w:line="20" w:lineRule="atLeast"/>
              <w:ind/>
              <w:jc w:val="center"/>
              <w:rPr>
                <w:sz w:val="20"/>
              </w:rPr>
            </w:pPr>
            <w:r>
              <w:rPr>
                <w:sz w:val="20"/>
              </w:rPr>
              <w:t>64,395</w:t>
            </w:r>
          </w:p>
        </w:tc>
        <w:tc>
          <w:tcPr>
            <w:tcW w:type="dxa" w:w="1541"/>
            <w:tcBorders>
              <w:top w:sz="4" w:val="nil"/>
              <w:left w:color="000000" w:sz="4" w:val="single"/>
              <w:bottom w:color="000000" w:sz="4" w:val="single"/>
              <w:right w:color="000000" w:sz="4" w:val="single"/>
            </w:tcBorders>
            <w:vAlign w:val="bottom"/>
          </w:tcPr>
          <w:p w14:paraId="C00C0000">
            <w:pPr>
              <w:ind/>
              <w:jc w:val="center"/>
              <w:rPr>
                <w:sz w:val="20"/>
              </w:rPr>
            </w:pPr>
            <w:r>
              <w:rPr>
                <w:sz w:val="20"/>
              </w:rPr>
              <w:t>0,030</w:t>
            </w:r>
          </w:p>
        </w:tc>
      </w:tr>
    </w:tbl>
    <w:p w14:paraId="C10C0000">
      <w:pPr>
        <w:spacing w:before="200" w:line="240" w:lineRule="auto"/>
        <w:ind w:firstLine="709" w:left="0"/>
        <w:jc w:val="both"/>
        <w:rPr>
          <w:sz w:val="28"/>
        </w:rPr>
      </w:pPr>
      <w:r>
        <w:rPr>
          <w:sz w:val="28"/>
        </w:rPr>
        <w:t xml:space="preserve">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w:t>
      </w:r>
    </w:p>
    <w:p w14:paraId="C20C0000">
      <w:pPr>
        <w:spacing w:line="240" w:lineRule="auto"/>
        <w:ind w:firstLine="709" w:left="0"/>
        <w:jc w:val="both"/>
        <w:rPr>
          <w:sz w:val="28"/>
        </w:rPr>
      </w:pPr>
      <w:r>
        <w:rPr>
          <w:sz w:val="28"/>
        </w:rPr>
        <w:t xml:space="preserve">Ввод новых и реконструкции (модернизации) существующих </w:t>
      </w:r>
      <w:r>
        <w:rPr>
          <w:sz w:val="28"/>
        </w:rPr>
        <w:t>источников тепловой энергии с использованием возобновляемых источников энергии, а также местных видов топлива на территории Куйбышевского сельского поселения не планируется.</w:t>
      </w:r>
    </w:p>
    <w:p w14:paraId="C30C0000">
      <w:pPr>
        <w:spacing w:line="240" w:lineRule="auto"/>
        <w:ind w:firstLine="709" w:left="0"/>
        <w:jc w:val="both"/>
        <w:rPr>
          <w:sz w:val="28"/>
        </w:rPr>
      </w:pPr>
      <w:r>
        <w:rPr>
          <w:sz w:val="28"/>
        </w:rPr>
        <w:t>о) Обоснование организации теплоснабжения в производственных зонах на территории К</w:t>
      </w:r>
      <w:r>
        <w:rPr>
          <w:sz w:val="28"/>
        </w:rPr>
        <w:t>уйбышевского сельского поселения.</w:t>
      </w:r>
    </w:p>
    <w:p w14:paraId="C40C0000">
      <w:pPr>
        <w:spacing w:line="240" w:lineRule="auto"/>
        <w:ind w:firstLine="709" w:left="0"/>
        <w:jc w:val="both"/>
        <w:rPr>
          <w:sz w:val="28"/>
        </w:rPr>
      </w:pPr>
      <w:r>
        <w:rPr>
          <w:sz w:val="28"/>
        </w:rPr>
        <w:t xml:space="preserve">На территории Куйбышевского сельского поселения организацияв производственных зонах предусматривается от ведомственных автономных газовых котельных промышленных производств. </w:t>
      </w:r>
    </w:p>
    <w:p w14:paraId="C50C0000">
      <w:pPr>
        <w:spacing w:line="240" w:lineRule="auto"/>
        <w:ind w:firstLine="709" w:left="0"/>
        <w:jc w:val="both"/>
        <w:rPr>
          <w:sz w:val="28"/>
        </w:rPr>
      </w:pPr>
      <w:r>
        <w:rPr>
          <w:sz w:val="28"/>
        </w:rPr>
        <w:t>п) Результаты расчетов радиуса эффективного теп</w:t>
      </w:r>
      <w:r>
        <w:rPr>
          <w:sz w:val="28"/>
        </w:rPr>
        <w:t xml:space="preserve">лоснабжения. </w:t>
      </w:r>
    </w:p>
    <w:p w14:paraId="C60C0000">
      <w:pPr>
        <w:spacing w:line="240" w:lineRule="auto"/>
        <w:ind w:firstLine="709" w:left="0"/>
        <w:jc w:val="both"/>
        <w:rPr>
          <w:sz w:val="28"/>
        </w:rPr>
      </w:pPr>
      <w:r>
        <w:rPr>
          <w:sz w:val="28"/>
        </w:rPr>
        <w:t>Расширение радиусов действия тепловых сетей котельных не планируется. В силу Постановления Правительства Российской Федерации № 154 от 22.02.2012 года (изм. 10.01.2023 года) расчёт радиуса эффективного теплоснабжения не производится.</w:t>
      </w:r>
    </w:p>
    <w:p w14:paraId="C70C0000">
      <w:pPr>
        <w:spacing w:line="240" w:lineRule="auto"/>
        <w:ind w:firstLine="567" w:left="0"/>
        <w:jc w:val="center"/>
        <w:rPr>
          <w:b w:val="1"/>
          <w:sz w:val="28"/>
        </w:rPr>
      </w:pPr>
      <w:r>
        <w:rPr>
          <w:b w:val="1"/>
          <w:sz w:val="28"/>
        </w:rPr>
        <w:t xml:space="preserve">Глава 8 </w:t>
      </w:r>
      <w:r>
        <w:rPr>
          <w:b w:val="1"/>
          <w:sz w:val="28"/>
        </w:rPr>
        <w:t>«Предложения по строительству, реконструкции и (или) модернизации тепловых сетей Куйбышевского сельского поселения Куйбышевского района»</w:t>
      </w:r>
    </w:p>
    <w:p w14:paraId="C80C0000">
      <w:pPr>
        <w:spacing w:line="240" w:lineRule="auto"/>
        <w:ind w:firstLine="567" w:left="0"/>
        <w:jc w:val="both"/>
        <w:rPr>
          <w:sz w:val="28"/>
        </w:rPr>
      </w:pPr>
      <w:r>
        <w:rPr>
          <w:sz w:val="28"/>
        </w:rPr>
        <w:t>а) Предложения по реконструкции и (или) модернизации, строительству тепловых сетей, обеспечивающих перераспределение те</w:t>
      </w:r>
      <w:r>
        <w:rPr>
          <w:sz w:val="28"/>
        </w:rPr>
        <w:t>пловой нагрузки из зон с дефицитом тепловой мощности в зоны с избытком тепловой мощности (использование существующих резервов).</w:t>
      </w:r>
    </w:p>
    <w:p w14:paraId="C90C0000">
      <w:pPr>
        <w:spacing w:line="240" w:lineRule="auto"/>
        <w:ind w:firstLine="709" w:left="0"/>
        <w:jc w:val="both"/>
        <w:rPr>
          <w:sz w:val="28"/>
        </w:rPr>
      </w:pPr>
      <w:r>
        <w:rPr>
          <w:sz w:val="28"/>
        </w:rPr>
        <w:t>Предложения по реконструкции и (или) модернизации, строительству тепловых сетей, обеспечивающих перераспределение тепловой нагру</w:t>
      </w:r>
      <w:r>
        <w:rPr>
          <w:sz w:val="28"/>
        </w:rPr>
        <w:t>зки из зон с дефицитом тепловой мощности в зоны с избытком тепловой мощности (использование существующих резервов) не предусмотрены.</w:t>
      </w:r>
    </w:p>
    <w:p w14:paraId="CA0C0000">
      <w:pPr>
        <w:spacing w:line="240" w:lineRule="auto"/>
        <w:ind w:firstLine="709" w:left="0"/>
        <w:jc w:val="both"/>
        <w:rPr>
          <w:sz w:val="28"/>
        </w:rPr>
      </w:pPr>
      <w:r>
        <w:rPr>
          <w:sz w:val="28"/>
        </w:rPr>
        <w:t>б) Предложения по строительству тепловых сетей для обеспечения перспективных приростов тепловой нагрузки под жилищную, комп</w:t>
      </w:r>
      <w:r>
        <w:rPr>
          <w:sz w:val="28"/>
        </w:rPr>
        <w:t>лексную или производственную застройку во вновь осваиваемых районах сельского поселения.</w:t>
      </w:r>
    </w:p>
    <w:p w14:paraId="CB0C0000">
      <w:pPr>
        <w:spacing w:line="240" w:lineRule="auto"/>
        <w:ind w:firstLine="709" w:left="0"/>
        <w:jc w:val="both"/>
        <w:rPr>
          <w:sz w:val="28"/>
        </w:rPr>
      </w:pPr>
      <w:r>
        <w:rPr>
          <w:sz w:val="28"/>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w:t>
      </w:r>
      <w:r>
        <w:rPr>
          <w:sz w:val="28"/>
        </w:rPr>
        <w:t xml:space="preserve"> осваиваемых районах Куйбышевского сельского поселения отсутствуют.</w:t>
      </w:r>
    </w:p>
    <w:p w14:paraId="CC0C0000">
      <w:pPr>
        <w:spacing w:line="240" w:lineRule="auto"/>
        <w:ind w:firstLine="709" w:left="0"/>
        <w:jc w:val="both"/>
        <w:rPr>
          <w:sz w:val="28"/>
        </w:rPr>
      </w:pPr>
      <w:r>
        <w:rPr>
          <w:sz w:val="28"/>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w:t>
      </w:r>
      <w:r>
        <w:rPr>
          <w:sz w:val="28"/>
        </w:rPr>
        <w:t xml:space="preserve">нергии при сохранении надежности теплоснабжения. </w:t>
      </w:r>
    </w:p>
    <w:p w14:paraId="CD0C0000">
      <w:pPr>
        <w:spacing w:line="240" w:lineRule="auto"/>
        <w:ind w:firstLine="709" w:left="0"/>
        <w:jc w:val="both"/>
        <w:rPr>
          <w:sz w:val="28"/>
        </w:rPr>
      </w:pPr>
      <w:r>
        <w:rPr>
          <w:sz w:val="28"/>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w:t>
      </w:r>
      <w:r>
        <w:rPr>
          <w:sz w:val="28"/>
        </w:rPr>
        <w:t>нии надежности теплоснабжения на территории Куйбышевского сельского поселения отсутствуют.</w:t>
      </w:r>
    </w:p>
    <w:p w14:paraId="CE0C0000">
      <w:pPr>
        <w:spacing w:line="240" w:lineRule="auto"/>
        <w:ind w:firstLine="709" w:left="0"/>
        <w:jc w:val="both"/>
        <w:rPr>
          <w:sz w:val="28"/>
        </w:rPr>
      </w:pPr>
      <w:r>
        <w:rPr>
          <w:sz w:val="28"/>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w:t>
      </w:r>
      <w:r>
        <w:rPr>
          <w:sz w:val="28"/>
        </w:rPr>
        <w:t>а счет перевода котельных в пиковый режим работы или ликвидации котельных.</w:t>
      </w:r>
    </w:p>
    <w:p w14:paraId="CF0C0000">
      <w:pPr>
        <w:spacing w:line="240" w:lineRule="auto"/>
        <w:ind w:firstLine="709" w:left="0"/>
        <w:jc w:val="both"/>
        <w:rPr>
          <w:sz w:val="28"/>
        </w:rPr>
      </w:pPr>
      <w:r>
        <w:rPr>
          <w:sz w:val="28"/>
        </w:rPr>
        <w:t xml:space="preserve">Таблица 36Предложения по реконструкции и (или) модернизации тепловых сетей для повышения эффективности функционирования системы теплоснабжения </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53"/>
        <w:gridCol w:w="1231"/>
        <w:gridCol w:w="3146"/>
      </w:tblGrid>
      <w:tr>
        <w:tc>
          <w:tcPr>
            <w:tcW w:type="dxa" w:w="5153"/>
            <w:tcBorders>
              <w:top w:color="000000" w:sz="4" w:val="single"/>
              <w:left w:color="000000" w:sz="4" w:val="single"/>
              <w:bottom w:color="000000" w:sz="4" w:val="single"/>
              <w:right w:color="000000" w:sz="4" w:val="single"/>
            </w:tcBorders>
            <w:vAlign w:val="center"/>
          </w:tcPr>
          <w:p w14:paraId="D00C0000">
            <w:pPr>
              <w:spacing w:after="0" w:line="20" w:lineRule="atLeast"/>
              <w:ind/>
              <w:jc w:val="center"/>
              <w:rPr>
                <w:sz w:val="20"/>
              </w:rPr>
            </w:pPr>
            <w:r>
              <w:rPr>
                <w:sz w:val="20"/>
              </w:rPr>
              <w:t>Наименование участка</w:t>
            </w:r>
          </w:p>
        </w:tc>
        <w:tc>
          <w:tcPr>
            <w:tcW w:type="dxa" w:w="1231"/>
            <w:tcBorders>
              <w:top w:color="000000" w:sz="4" w:val="single"/>
              <w:left w:color="000000" w:sz="4" w:val="single"/>
              <w:bottom w:color="000000" w:sz="4" w:val="single"/>
              <w:right w:color="000000" w:sz="4" w:val="single"/>
            </w:tcBorders>
            <w:vAlign w:val="center"/>
          </w:tcPr>
          <w:p w14:paraId="D10C0000">
            <w:pPr>
              <w:spacing w:after="0" w:line="20" w:lineRule="atLeast"/>
              <w:ind/>
              <w:jc w:val="center"/>
              <w:rPr>
                <w:sz w:val="20"/>
              </w:rPr>
            </w:pPr>
            <w:r>
              <w:rPr>
                <w:sz w:val="20"/>
              </w:rPr>
              <w:t>Года внедрения</w:t>
            </w:r>
          </w:p>
        </w:tc>
        <w:tc>
          <w:tcPr>
            <w:tcW w:type="dxa" w:w="3146"/>
            <w:tcBorders>
              <w:top w:color="000000" w:sz="4" w:val="single"/>
              <w:left w:color="000000" w:sz="4" w:val="single"/>
              <w:bottom w:color="000000" w:sz="4" w:val="single"/>
              <w:right w:color="000000" w:sz="4" w:val="single"/>
            </w:tcBorders>
            <w:vAlign w:val="center"/>
          </w:tcPr>
          <w:p w14:paraId="D20C0000">
            <w:pPr>
              <w:ind/>
              <w:jc w:val="center"/>
              <w:rPr>
                <w:sz w:val="20"/>
              </w:rPr>
            </w:pPr>
            <w:r>
              <w:rPr>
                <w:sz w:val="20"/>
              </w:rPr>
              <w:t>Т</w:t>
            </w:r>
            <w:r>
              <w:rPr>
                <w:sz w:val="20"/>
              </w:rPr>
              <w:t>ехническая характеристика тепловых сетей (L (м)</w:t>
            </w:r>
          </w:p>
        </w:tc>
      </w:tr>
      <w:tr>
        <w:trPr>
          <w:trHeight w:hRule="atLeast" w:val="750"/>
        </w:trPr>
        <w:tc>
          <w:tcPr>
            <w:tcW w:type="dxa" w:w="5153"/>
            <w:tcBorders>
              <w:top w:color="000000" w:sz="4" w:val="single"/>
              <w:left w:color="000000" w:sz="4" w:val="single"/>
              <w:bottom w:color="000000" w:sz="4" w:val="single"/>
              <w:right w:color="000000" w:sz="4" w:val="single"/>
            </w:tcBorders>
            <w:vAlign w:val="center"/>
          </w:tcPr>
          <w:p w14:paraId="D30C0000">
            <w:pPr>
              <w:ind/>
              <w:jc w:val="center"/>
              <w:rPr>
                <w:sz w:val="20"/>
              </w:rPr>
            </w:pPr>
            <w:r>
              <w:rPr>
                <w:sz w:val="20"/>
              </w:rPr>
              <w:t xml:space="preserve">Котельная с. Русское, ул. Красноармейская,8-а </w:t>
            </w:r>
          </w:p>
        </w:tc>
        <w:tc>
          <w:tcPr>
            <w:tcW w:type="dxa" w:w="1231"/>
            <w:tcBorders>
              <w:top w:color="000000" w:sz="4" w:val="single"/>
              <w:left w:color="000000" w:sz="4" w:val="single"/>
              <w:bottom w:color="000000" w:sz="4" w:val="single"/>
              <w:right w:color="000000" w:sz="4" w:val="single"/>
            </w:tcBorders>
            <w:vAlign w:val="center"/>
          </w:tcPr>
          <w:p w14:paraId="D40C0000">
            <w:pPr>
              <w:spacing w:after="0" w:line="20" w:lineRule="atLeast"/>
              <w:ind/>
              <w:jc w:val="center"/>
              <w:rPr>
                <w:sz w:val="20"/>
              </w:rPr>
            </w:pPr>
            <w:r>
              <w:rPr>
                <w:sz w:val="20"/>
              </w:rPr>
              <w:t>2023</w:t>
            </w:r>
          </w:p>
          <w:p w14:paraId="D50C0000">
            <w:pPr>
              <w:spacing w:after="0" w:line="20" w:lineRule="atLeast"/>
              <w:ind/>
              <w:jc w:val="center"/>
              <w:rPr>
                <w:sz w:val="20"/>
              </w:rPr>
            </w:pPr>
            <w:r>
              <w:rPr>
                <w:sz w:val="20"/>
              </w:rPr>
              <w:t>2030</w:t>
            </w:r>
          </w:p>
        </w:tc>
        <w:tc>
          <w:tcPr>
            <w:tcW w:type="dxa" w:w="3146"/>
            <w:tcBorders>
              <w:top w:color="000000" w:sz="4" w:val="single"/>
              <w:left w:color="000000" w:sz="4" w:val="single"/>
              <w:bottom w:color="000000" w:sz="4" w:val="single"/>
              <w:right w:color="000000" w:sz="4" w:val="single"/>
            </w:tcBorders>
            <w:vAlign w:val="center"/>
          </w:tcPr>
          <w:p w14:paraId="D60C0000">
            <w:pPr>
              <w:ind/>
              <w:jc w:val="center"/>
              <w:rPr>
                <w:sz w:val="20"/>
              </w:rPr>
            </w:pPr>
            <w:r>
              <w:rPr>
                <w:sz w:val="20"/>
              </w:rPr>
              <w:t xml:space="preserve">Замена надземного участка теплосети Д57 длиной 60 м Замена подземного участка теплосети Д57 длиной 60 м </w:t>
            </w:r>
          </w:p>
        </w:tc>
      </w:tr>
      <w:tr>
        <w:trPr>
          <w:trHeight w:hRule="atLeast" w:val="203"/>
        </w:trPr>
        <w:tc>
          <w:tcPr>
            <w:tcW w:type="dxa" w:w="5153"/>
            <w:tcBorders>
              <w:top w:color="000000" w:sz="4" w:val="single"/>
              <w:left w:color="000000" w:sz="4" w:val="single"/>
              <w:bottom w:color="000000" w:sz="4" w:val="single"/>
              <w:right w:color="000000" w:sz="4" w:val="single"/>
            </w:tcBorders>
            <w:vAlign w:val="center"/>
          </w:tcPr>
          <w:p w14:paraId="D70C0000">
            <w:pPr>
              <w:ind/>
              <w:jc w:val="center"/>
              <w:rPr>
                <w:sz w:val="20"/>
              </w:rPr>
            </w:pPr>
            <w:r>
              <w:rPr>
                <w:sz w:val="20"/>
              </w:rPr>
              <w:t xml:space="preserve">с. Куйбышево, ул. Кузьменко, 3 а </w:t>
            </w:r>
          </w:p>
        </w:tc>
        <w:tc>
          <w:tcPr>
            <w:tcW w:type="dxa" w:w="1231"/>
            <w:tcBorders>
              <w:top w:color="000000" w:sz="4" w:val="single"/>
              <w:left w:color="000000" w:sz="4" w:val="single"/>
              <w:bottom w:color="000000" w:sz="4" w:val="single"/>
              <w:right w:color="000000" w:sz="4" w:val="single"/>
            </w:tcBorders>
            <w:vAlign w:val="center"/>
          </w:tcPr>
          <w:p w14:paraId="D80C0000">
            <w:pPr>
              <w:spacing w:after="0" w:line="20" w:lineRule="atLeast"/>
              <w:ind/>
              <w:jc w:val="center"/>
              <w:rPr>
                <w:sz w:val="20"/>
              </w:rPr>
            </w:pPr>
            <w:r>
              <w:rPr>
                <w:sz w:val="20"/>
              </w:rPr>
              <w:t>2030</w:t>
            </w:r>
          </w:p>
        </w:tc>
        <w:tc>
          <w:tcPr>
            <w:tcW w:type="dxa" w:w="3146"/>
            <w:tcBorders>
              <w:top w:color="000000" w:sz="4" w:val="single"/>
              <w:left w:color="000000" w:sz="4" w:val="single"/>
              <w:bottom w:color="000000" w:sz="4" w:val="single"/>
              <w:right w:color="000000" w:sz="4" w:val="single"/>
            </w:tcBorders>
            <w:vAlign w:val="center"/>
          </w:tcPr>
          <w:p w14:paraId="D90C0000">
            <w:pPr>
              <w:ind/>
              <w:jc w:val="center"/>
              <w:rPr>
                <w:sz w:val="20"/>
              </w:rPr>
            </w:pPr>
            <w:r>
              <w:rPr>
                <w:sz w:val="20"/>
              </w:rPr>
              <w:t>Замена подземного участка тепловой сети Дн 57 длиной 80 м в однотрубном исчислении</w:t>
            </w:r>
          </w:p>
        </w:tc>
      </w:tr>
      <w:tr>
        <w:trPr>
          <w:trHeight w:hRule="atLeast" w:val="2281"/>
        </w:trPr>
        <w:tc>
          <w:tcPr>
            <w:tcW w:type="dxa" w:w="5153"/>
            <w:tcBorders>
              <w:top w:color="000000" w:sz="4" w:val="single"/>
              <w:left w:color="000000" w:sz="4" w:val="single"/>
              <w:bottom w:color="000000" w:sz="4" w:val="single"/>
              <w:right w:color="000000" w:sz="4" w:val="single"/>
            </w:tcBorders>
            <w:vAlign w:val="center"/>
          </w:tcPr>
          <w:p w14:paraId="DA0C0000">
            <w:pPr>
              <w:ind/>
              <w:jc w:val="center"/>
              <w:rPr>
                <w:sz w:val="20"/>
              </w:rPr>
            </w:pPr>
            <w:r>
              <w:rPr>
                <w:sz w:val="20"/>
              </w:rPr>
              <w:t xml:space="preserve">Теплотрасса котельной 567 м с кадастровым № 61:19:0010160:217 по адресу: с. Куйбышево, Начало объекта – точка ввода в здание котельной по адресу: с. Куйбышево, ул. </w:t>
            </w:r>
            <w:r>
              <w:rPr>
                <w:sz w:val="20"/>
              </w:rPr>
              <w:t>Пролетарская, 7; конец объекта – точка перехода на подземную тепловую трассу, расположенная в 34 м. западнее здания по адресу: с. Куйбышево, ул. Пролетарская, 7; конец объекта – точка ввода в здание по адресу: с. Куйбышево, ул. Пролетарская, 7</w:t>
            </w:r>
          </w:p>
        </w:tc>
        <w:tc>
          <w:tcPr>
            <w:tcW w:type="dxa" w:w="1231"/>
            <w:tcBorders>
              <w:top w:color="000000" w:sz="4" w:val="single"/>
              <w:left w:color="000000" w:sz="4" w:val="single"/>
              <w:bottom w:color="000000" w:sz="4" w:val="single"/>
              <w:right w:color="000000" w:sz="4" w:val="single"/>
            </w:tcBorders>
            <w:vAlign w:val="center"/>
          </w:tcPr>
          <w:p w14:paraId="DB0C0000">
            <w:pPr>
              <w:spacing w:after="0" w:line="20" w:lineRule="atLeast"/>
              <w:ind/>
              <w:jc w:val="center"/>
              <w:rPr>
                <w:sz w:val="20"/>
              </w:rPr>
            </w:pPr>
            <w:r>
              <w:rPr>
                <w:sz w:val="20"/>
              </w:rPr>
              <w:t>2026</w:t>
            </w:r>
          </w:p>
        </w:tc>
        <w:tc>
          <w:tcPr>
            <w:tcW w:type="dxa" w:w="3146"/>
            <w:tcBorders>
              <w:top w:color="000000" w:sz="4" w:val="single"/>
              <w:left w:color="000000" w:sz="4" w:val="single"/>
              <w:bottom w:color="000000" w:sz="4" w:val="single"/>
              <w:right w:color="000000" w:sz="4" w:val="single"/>
            </w:tcBorders>
            <w:vAlign w:val="center"/>
          </w:tcPr>
          <w:p w14:paraId="DC0C0000">
            <w:pPr>
              <w:ind/>
              <w:jc w:val="center"/>
              <w:rPr>
                <w:sz w:val="20"/>
              </w:rPr>
            </w:pPr>
            <w:r>
              <w:rPr>
                <w:sz w:val="20"/>
              </w:rPr>
              <w:t>Перекла</w:t>
            </w:r>
            <w:r>
              <w:rPr>
                <w:sz w:val="20"/>
              </w:rPr>
              <w:t>дка надземного участка тепловой сети длиной 204 м в однотрубном исчислении с изменение условного диаметра Ду с 200 мм до 100 мм</w:t>
            </w:r>
          </w:p>
        </w:tc>
      </w:tr>
      <w:tr>
        <w:trPr>
          <w:trHeight w:hRule="atLeast" w:val="2609"/>
        </w:trPr>
        <w:tc>
          <w:tcPr>
            <w:tcW w:type="dxa" w:w="5153"/>
            <w:tcBorders>
              <w:top w:color="000000" w:sz="4" w:val="single"/>
              <w:left w:color="000000" w:sz="4" w:val="single"/>
              <w:bottom w:color="000000" w:sz="4" w:val="single"/>
              <w:right w:color="000000" w:sz="4" w:val="single"/>
            </w:tcBorders>
            <w:vAlign w:val="center"/>
          </w:tcPr>
          <w:p w14:paraId="DD0C0000">
            <w:pPr>
              <w:ind/>
              <w:jc w:val="center"/>
              <w:rPr>
                <w:sz w:val="20"/>
              </w:rPr>
            </w:pPr>
            <w:r>
              <w:rPr>
                <w:sz w:val="20"/>
              </w:rPr>
              <w:t xml:space="preserve">Теплотрасса котельной протяженностью 397 м с кадастровым номером 61:19:0010160:216 по адресу: с. Куйбышево, начало объекта – </w:t>
            </w:r>
            <w:r>
              <w:rPr>
                <w:sz w:val="20"/>
              </w:rPr>
              <w:t>точка врезки, расположенная в 48 м. северо-западнее здания котельной, расположенной по адресу: с. Куйбышево, ул. Пролетарская, 7; конец объекта – точка ввода в здание, расположенное по адресу: с. Куйбышево, ул. Пролетарская, 7а</w:t>
            </w:r>
          </w:p>
        </w:tc>
        <w:tc>
          <w:tcPr>
            <w:tcW w:type="dxa" w:w="1231"/>
            <w:tcBorders>
              <w:top w:color="000000" w:sz="4" w:val="single"/>
              <w:left w:color="000000" w:sz="4" w:val="single"/>
              <w:bottom w:color="000000" w:sz="4" w:val="single"/>
              <w:right w:color="000000" w:sz="4" w:val="single"/>
            </w:tcBorders>
            <w:vAlign w:val="center"/>
          </w:tcPr>
          <w:p w14:paraId="DE0C0000">
            <w:pPr>
              <w:spacing w:after="0" w:line="20" w:lineRule="atLeast"/>
              <w:ind/>
              <w:jc w:val="center"/>
              <w:rPr>
                <w:sz w:val="20"/>
              </w:rPr>
            </w:pPr>
            <w:r>
              <w:rPr>
                <w:sz w:val="20"/>
              </w:rPr>
              <w:t>2026</w:t>
            </w:r>
          </w:p>
        </w:tc>
        <w:tc>
          <w:tcPr>
            <w:tcW w:type="dxa" w:w="3146"/>
            <w:tcBorders>
              <w:top w:color="000000" w:sz="4" w:val="single"/>
              <w:left w:color="000000" w:sz="4" w:val="single"/>
              <w:bottom w:color="000000" w:sz="4" w:val="single"/>
              <w:right w:color="000000" w:sz="4" w:val="single"/>
            </w:tcBorders>
            <w:vAlign w:val="center"/>
          </w:tcPr>
          <w:p w14:paraId="DF0C0000">
            <w:pPr>
              <w:ind/>
              <w:jc w:val="center"/>
              <w:rPr>
                <w:sz w:val="20"/>
              </w:rPr>
            </w:pPr>
            <w:r>
              <w:rPr>
                <w:sz w:val="20"/>
              </w:rPr>
              <w:t>Перекладка надземного у</w:t>
            </w:r>
            <w:r>
              <w:rPr>
                <w:sz w:val="20"/>
              </w:rPr>
              <w:t>частка тепловой сети длиной 138 м в однотрубном исчислении с изменением условного диаметра с 200 мм до 80 мм.                              Перекладка надземного участка тепловой сети длиной 51 м в однотрубном исчислении с изменение условного диаметра с 150</w:t>
            </w:r>
            <w:r>
              <w:rPr>
                <w:sz w:val="20"/>
              </w:rPr>
              <w:t xml:space="preserve"> мм до 80 мм</w:t>
            </w:r>
          </w:p>
        </w:tc>
      </w:tr>
      <w:tr>
        <w:trPr>
          <w:trHeight w:hRule="atLeast" w:val="331"/>
        </w:trPr>
        <w:tc>
          <w:tcPr>
            <w:tcW w:type="dxa" w:w="5153"/>
            <w:tcBorders>
              <w:top w:color="000000" w:sz="4" w:val="single"/>
              <w:left w:color="000000" w:sz="4" w:val="single"/>
              <w:bottom w:color="000000" w:sz="4" w:val="single"/>
              <w:right w:color="000000" w:sz="4" w:val="single"/>
            </w:tcBorders>
            <w:vAlign w:val="center"/>
          </w:tcPr>
          <w:p w14:paraId="E00C0000">
            <w:pPr>
              <w:ind/>
              <w:jc w:val="center"/>
              <w:rPr>
                <w:sz w:val="20"/>
              </w:rPr>
            </w:pPr>
            <w:r>
              <w:rPr>
                <w:sz w:val="20"/>
              </w:rPr>
              <w:t xml:space="preserve">Теплотрасса котельной протяженностью 409 м с кадастровым номером 61:19:0000000:1381 по адресу: с. Куйбышево, начало объекта – точка перехода на подземную тепловую трассу, расположенная в 34 м, западнее здания по адресу: с. Куйбышево, ул. </w:t>
            </w:r>
            <w:r>
              <w:rPr>
                <w:sz w:val="20"/>
              </w:rPr>
              <w:t>Пролетарская, 7; конец объекта – точка ввода в здание по адресу: с. Куйбышево, пер. Овчаренко, 6</w:t>
            </w:r>
          </w:p>
        </w:tc>
        <w:tc>
          <w:tcPr>
            <w:tcW w:type="dxa" w:w="1231"/>
            <w:tcBorders>
              <w:top w:color="000000" w:sz="4" w:val="single"/>
              <w:left w:color="000000" w:sz="4" w:val="single"/>
              <w:bottom w:color="000000" w:sz="4" w:val="single"/>
              <w:right w:color="000000" w:sz="4" w:val="single"/>
            </w:tcBorders>
            <w:vAlign w:val="center"/>
          </w:tcPr>
          <w:p w14:paraId="E10C0000">
            <w:pPr>
              <w:spacing w:after="0" w:line="20" w:lineRule="atLeast"/>
              <w:ind/>
              <w:jc w:val="center"/>
              <w:rPr>
                <w:sz w:val="20"/>
              </w:rPr>
            </w:pPr>
            <w:r>
              <w:rPr>
                <w:sz w:val="20"/>
              </w:rPr>
              <w:t>2026</w:t>
            </w:r>
          </w:p>
        </w:tc>
        <w:tc>
          <w:tcPr>
            <w:tcW w:type="dxa" w:w="3146"/>
            <w:tcBorders>
              <w:top w:color="000000" w:sz="4" w:val="single"/>
              <w:left w:color="000000" w:sz="4" w:val="single"/>
              <w:bottom w:color="000000" w:sz="4" w:val="single"/>
              <w:right w:color="000000" w:sz="4" w:val="single"/>
            </w:tcBorders>
            <w:vAlign w:val="center"/>
          </w:tcPr>
          <w:p w14:paraId="E20C0000">
            <w:pPr>
              <w:ind/>
              <w:jc w:val="center"/>
              <w:rPr>
                <w:sz w:val="20"/>
              </w:rPr>
            </w:pPr>
            <w:r>
              <w:rPr>
                <w:sz w:val="20"/>
              </w:rPr>
              <w:t>Перекладка надземного участка тепловой сети длиной 120 м в однотрубном исчислении с изменение условного диаметра с 100 мм до 80 мм</w:t>
            </w:r>
          </w:p>
        </w:tc>
      </w:tr>
    </w:tbl>
    <w:p w14:paraId="E30C0000">
      <w:pPr>
        <w:spacing w:before="200" w:line="240" w:lineRule="auto"/>
        <w:ind w:firstLine="709" w:left="0"/>
        <w:jc w:val="both"/>
        <w:rPr>
          <w:sz w:val="28"/>
        </w:rPr>
      </w:pPr>
      <w:r>
        <w:rPr>
          <w:sz w:val="28"/>
        </w:rPr>
        <w:t xml:space="preserve">д) Предложения по </w:t>
      </w:r>
      <w:r>
        <w:rPr>
          <w:sz w:val="28"/>
        </w:rPr>
        <w:t>строительству тепловых сетей для обеспечения нормативной надежности теплоснабжения.</w:t>
      </w:r>
    </w:p>
    <w:p w14:paraId="E40C0000">
      <w:pPr>
        <w:spacing w:line="240" w:lineRule="auto"/>
        <w:ind w:firstLine="709" w:left="0"/>
        <w:jc w:val="both"/>
        <w:rPr>
          <w:sz w:val="28"/>
        </w:rPr>
      </w:pPr>
      <w:r>
        <w:rPr>
          <w:sz w:val="28"/>
        </w:rPr>
        <w:t xml:space="preserve">Предложения по строительству тепловых сетей для обеспечения нормативной надежности теплоснабжения отсутствуют. </w:t>
      </w:r>
    </w:p>
    <w:p w14:paraId="E50C0000">
      <w:pPr>
        <w:spacing w:line="240" w:lineRule="auto"/>
        <w:ind w:firstLine="709" w:left="0"/>
        <w:jc w:val="both"/>
        <w:rPr>
          <w:sz w:val="28"/>
        </w:rPr>
      </w:pPr>
      <w:r>
        <w:rPr>
          <w:sz w:val="28"/>
        </w:rPr>
        <w:t>е) Предложения по реконструкции и (или) модернизации тепловы</w:t>
      </w:r>
      <w:r>
        <w:rPr>
          <w:sz w:val="28"/>
        </w:rPr>
        <w:t>х сетей с увеличением диаметра трубопроводов для обеспечения перспективных приростов тепловой нагрузки.</w:t>
      </w:r>
    </w:p>
    <w:p w14:paraId="E60C0000">
      <w:pPr>
        <w:spacing w:line="240" w:lineRule="auto"/>
        <w:ind w:firstLine="709" w:left="0"/>
        <w:jc w:val="both"/>
        <w:rPr>
          <w:sz w:val="28"/>
        </w:rPr>
      </w:pPr>
      <w:r>
        <w:rPr>
          <w:sz w:val="28"/>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w:t>
      </w:r>
      <w:r>
        <w:rPr>
          <w:sz w:val="28"/>
        </w:rPr>
        <w:t xml:space="preserve">агрузки отсутствуют. </w:t>
      </w:r>
    </w:p>
    <w:p w14:paraId="E70C0000">
      <w:pPr>
        <w:spacing w:line="240" w:lineRule="auto"/>
        <w:ind w:firstLine="709" w:left="0"/>
        <w:jc w:val="both"/>
        <w:rPr>
          <w:sz w:val="28"/>
        </w:rPr>
      </w:pPr>
      <w:r>
        <w:rPr>
          <w:sz w:val="28"/>
        </w:rPr>
        <w:t>ж) Предложения по реконструкции и (или) модернизации тепловых сетей, подлежащих замене в связи с исчерпанием эксплуатационного ресурса.</w:t>
      </w:r>
    </w:p>
    <w:p w14:paraId="E80C0000">
      <w:pPr>
        <w:spacing w:line="240" w:lineRule="auto"/>
        <w:ind w:firstLine="709" w:left="0"/>
        <w:jc w:val="both"/>
        <w:rPr>
          <w:sz w:val="28"/>
        </w:rPr>
      </w:pPr>
      <w:r>
        <w:rPr>
          <w:sz w:val="28"/>
        </w:rPr>
        <w:t xml:space="preserve">Предложения отсутствуют. </w:t>
      </w:r>
    </w:p>
    <w:p w14:paraId="E90C0000">
      <w:pPr>
        <w:spacing w:line="240" w:lineRule="auto"/>
        <w:ind w:firstLine="709" w:left="0"/>
        <w:jc w:val="both"/>
        <w:rPr>
          <w:sz w:val="28"/>
        </w:rPr>
      </w:pPr>
      <w:r>
        <w:rPr>
          <w:sz w:val="28"/>
        </w:rPr>
        <w:t>з) Предложения по строительству, реконструкции и (или) модернизации насо</w:t>
      </w:r>
      <w:r>
        <w:rPr>
          <w:sz w:val="28"/>
        </w:rPr>
        <w:t>сных станций.</w:t>
      </w:r>
    </w:p>
    <w:p w14:paraId="EA0C0000">
      <w:pPr>
        <w:spacing w:line="240" w:lineRule="auto"/>
        <w:ind w:firstLine="709" w:left="0"/>
        <w:jc w:val="both"/>
        <w:rPr>
          <w:sz w:val="28"/>
        </w:rPr>
      </w:pPr>
      <w:r>
        <w:rPr>
          <w:sz w:val="28"/>
        </w:rPr>
        <w:t>Предложения по строительству, реконструкции и (или) модернизации насосных станций не предусмотрены.</w:t>
      </w:r>
    </w:p>
    <w:p w14:paraId="EB0C0000">
      <w:pPr>
        <w:spacing w:line="240" w:lineRule="auto"/>
        <w:ind w:firstLine="709" w:left="0"/>
        <w:jc w:val="center"/>
        <w:rPr>
          <w:b w:val="1"/>
          <w:sz w:val="28"/>
        </w:rPr>
      </w:pPr>
      <w:r>
        <w:rPr>
          <w:b w:val="1"/>
          <w:sz w:val="28"/>
        </w:rPr>
        <w:t>Глава 9 «</w:t>
      </w:r>
      <w:r>
        <w:rPr>
          <w:b w:val="1"/>
          <w:sz w:val="28"/>
          <w:highlight w:val="white"/>
        </w:rPr>
        <w:t xml:space="preserve">Предложения по переводу открытых систем теплоснабжения (горячего водоснабжения), отдельных участков таких систем на закрытые системы </w:t>
      </w:r>
      <w:r>
        <w:rPr>
          <w:b w:val="1"/>
          <w:sz w:val="28"/>
          <w:highlight w:val="white"/>
        </w:rPr>
        <w:t>горячего водоснабжения</w:t>
      </w:r>
      <w:r>
        <w:rPr>
          <w:b w:val="1"/>
          <w:sz w:val="28"/>
        </w:rPr>
        <w:t xml:space="preserve"> Куйбышевского сельского поселения Куйбышевского района»</w:t>
      </w:r>
    </w:p>
    <w:p w14:paraId="EC0C0000">
      <w:pPr>
        <w:spacing w:line="240" w:lineRule="auto"/>
        <w:ind w:firstLine="709" w:left="0"/>
        <w:jc w:val="both"/>
        <w:rPr>
          <w:sz w:val="28"/>
        </w:rPr>
      </w:pPr>
      <w:r>
        <w:rPr>
          <w:sz w:val="28"/>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w:t>
      </w:r>
      <w:r>
        <w:rPr>
          <w:sz w:val="28"/>
        </w:rPr>
        <w:t>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ED0C0000">
      <w:pPr>
        <w:spacing w:line="240" w:lineRule="auto"/>
        <w:ind w:firstLine="709" w:left="0"/>
        <w:jc w:val="both"/>
        <w:rPr>
          <w:sz w:val="28"/>
        </w:rPr>
      </w:pPr>
      <w:r>
        <w:rPr>
          <w:sz w:val="28"/>
        </w:rPr>
        <w:t xml:space="preserve">Централизованное ГВС на территории Куйбышевского сельского поселения отсутствует. </w:t>
      </w:r>
    </w:p>
    <w:p w14:paraId="EE0C0000">
      <w:pPr>
        <w:spacing w:line="240" w:lineRule="auto"/>
        <w:ind w:firstLine="709" w:left="0"/>
        <w:jc w:val="both"/>
        <w:rPr>
          <w:sz w:val="28"/>
        </w:rPr>
      </w:pPr>
      <w:r>
        <w:rPr>
          <w:sz w:val="28"/>
        </w:rPr>
        <w:t>б) Выбор и обоснование мет</w:t>
      </w:r>
      <w:r>
        <w:rPr>
          <w:sz w:val="28"/>
        </w:rPr>
        <w:t>ода регулирования отпуска тепловой энергии от источников тепловой энергии.</w:t>
      </w:r>
    </w:p>
    <w:p w14:paraId="EF0C0000">
      <w:pPr>
        <w:spacing w:line="240" w:lineRule="auto"/>
        <w:ind w:firstLine="709" w:left="0"/>
        <w:jc w:val="both"/>
        <w:rPr>
          <w:sz w:val="28"/>
        </w:rPr>
      </w:pPr>
      <w:r>
        <w:rPr>
          <w:sz w:val="28"/>
        </w:rPr>
        <w:t>Централизованное ГВС на территории Куйбышевского сельского поселения отсутствует.</w:t>
      </w:r>
    </w:p>
    <w:p w14:paraId="F00C0000">
      <w:pPr>
        <w:spacing w:line="240" w:lineRule="auto"/>
        <w:ind w:firstLine="709" w:left="0"/>
        <w:jc w:val="both"/>
        <w:rPr>
          <w:sz w:val="28"/>
        </w:rPr>
      </w:pPr>
      <w:r>
        <w:rPr>
          <w:sz w:val="28"/>
        </w:rPr>
        <w:t xml:space="preserve">в) Предложения по реконструкции тепловых сетей для обеспечения передачи тепловой энергии при </w:t>
      </w:r>
      <w:r>
        <w:rPr>
          <w:sz w:val="28"/>
        </w:rPr>
        <w:t>переходе от открытой системы теплоснабжения (горячего водоснабжения) к закрытой системе горячего водоснабжения.</w:t>
      </w:r>
    </w:p>
    <w:p w14:paraId="F10C0000">
      <w:pPr>
        <w:spacing w:line="240" w:lineRule="auto"/>
        <w:ind w:firstLine="709" w:left="0"/>
        <w:jc w:val="both"/>
        <w:rPr>
          <w:sz w:val="28"/>
        </w:rPr>
      </w:pPr>
      <w:r>
        <w:rPr>
          <w:sz w:val="28"/>
        </w:rPr>
        <w:t>Централизованное ГВС на территории Куйбышевского сельского поселения отсутствует.</w:t>
      </w:r>
    </w:p>
    <w:p w14:paraId="F20C0000">
      <w:pPr>
        <w:spacing w:line="240" w:lineRule="auto"/>
        <w:ind w:firstLine="709" w:left="0"/>
        <w:jc w:val="both"/>
        <w:rPr>
          <w:sz w:val="28"/>
        </w:rPr>
      </w:pPr>
      <w:r>
        <w:rPr>
          <w:sz w:val="28"/>
        </w:rPr>
        <w:t>г) Расчет потребности инвестиций для перевода открытой системы</w:t>
      </w:r>
      <w:r>
        <w:rPr>
          <w:sz w:val="28"/>
        </w:rPr>
        <w:t xml:space="preserve"> теплоснабжения (горячего водоснабжения) в закрытую систему горячего водоснабжения.</w:t>
      </w:r>
    </w:p>
    <w:p w14:paraId="F30C0000">
      <w:pPr>
        <w:spacing w:line="240" w:lineRule="auto"/>
        <w:ind w:firstLine="709" w:left="0"/>
        <w:jc w:val="both"/>
        <w:rPr>
          <w:sz w:val="28"/>
        </w:rPr>
      </w:pPr>
      <w:r>
        <w:rPr>
          <w:sz w:val="28"/>
        </w:rPr>
        <w:t>Централизованное ГВС на территории Куйбышевского сельского поселения отсутствует.</w:t>
      </w:r>
    </w:p>
    <w:p w14:paraId="F40C0000">
      <w:pPr>
        <w:spacing w:line="240" w:lineRule="auto"/>
        <w:ind w:firstLine="709" w:left="0"/>
        <w:jc w:val="both"/>
        <w:rPr>
          <w:sz w:val="28"/>
        </w:rPr>
      </w:pPr>
      <w:r>
        <w:rPr>
          <w:sz w:val="28"/>
        </w:rPr>
        <w:t>д) Оценка целевых показателей эффективности и качества теплоснабжения в открытой системе т</w:t>
      </w:r>
      <w:r>
        <w:rPr>
          <w:sz w:val="28"/>
        </w:rPr>
        <w:t>еплоснабжения (горячего водоснабжения) и закрытой системе горячего водоснабжения.</w:t>
      </w:r>
    </w:p>
    <w:p w14:paraId="F50C0000">
      <w:pPr>
        <w:spacing w:line="240" w:lineRule="auto"/>
        <w:ind w:firstLine="709" w:left="0"/>
        <w:jc w:val="both"/>
        <w:rPr>
          <w:sz w:val="28"/>
        </w:rPr>
      </w:pPr>
      <w:r>
        <w:rPr>
          <w:sz w:val="28"/>
        </w:rPr>
        <w:t>Централизованное ГВС на территории Куйбышевского сельского поселения отсутствует.</w:t>
      </w:r>
    </w:p>
    <w:p w14:paraId="F60C0000">
      <w:pPr>
        <w:spacing w:line="240" w:lineRule="auto"/>
        <w:ind w:firstLine="709" w:left="0"/>
        <w:jc w:val="both"/>
        <w:rPr>
          <w:sz w:val="28"/>
        </w:rPr>
      </w:pPr>
      <w:r>
        <w:rPr>
          <w:sz w:val="28"/>
        </w:rPr>
        <w:t>е) Предложения по источникам инвестиций.</w:t>
      </w:r>
    </w:p>
    <w:p w14:paraId="F70C0000">
      <w:pPr>
        <w:spacing w:line="240" w:lineRule="auto"/>
        <w:ind w:firstLine="709" w:left="0"/>
        <w:jc w:val="both"/>
        <w:rPr>
          <w:sz w:val="28"/>
        </w:rPr>
      </w:pPr>
      <w:r>
        <w:rPr>
          <w:sz w:val="28"/>
        </w:rPr>
        <w:t>Предложения по источникам инвестиций не предусмотре</w:t>
      </w:r>
      <w:r>
        <w:rPr>
          <w:sz w:val="28"/>
        </w:rPr>
        <w:t>ны.</w:t>
      </w:r>
    </w:p>
    <w:p w14:paraId="F80C0000">
      <w:pPr>
        <w:spacing w:line="240" w:lineRule="auto"/>
        <w:ind w:firstLine="709" w:left="0"/>
        <w:jc w:val="center"/>
        <w:rPr>
          <w:sz w:val="28"/>
        </w:rPr>
      </w:pPr>
      <w:r>
        <w:rPr>
          <w:b w:val="1"/>
          <w:sz w:val="28"/>
        </w:rPr>
        <w:t>Глава 10 «Перспективные топливные балансы Куйбышевского сельского поселения Куйбышевского района»</w:t>
      </w:r>
    </w:p>
    <w:p w14:paraId="F90C0000">
      <w:pPr>
        <w:spacing w:line="240" w:lineRule="auto"/>
        <w:ind w:firstLine="709" w:left="0"/>
        <w:jc w:val="both"/>
        <w:rPr>
          <w:sz w:val="28"/>
        </w:rPr>
      </w:pPr>
      <w:r>
        <w:rPr>
          <w:sz w:val="28"/>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w:t>
      </w:r>
      <w:r>
        <w:rPr>
          <w:sz w:val="28"/>
        </w:rPr>
        <w:t xml:space="preserve">ов, необходимого для обеспечения нормативного функционирования источников тепловой энергии на территории сельского поселения. </w:t>
      </w:r>
    </w:p>
    <w:p w14:paraId="FA0C0000">
      <w:pPr>
        <w:spacing w:line="240" w:lineRule="auto"/>
        <w:ind/>
        <w:jc w:val="both"/>
        <w:rPr>
          <w:sz w:val="28"/>
        </w:rPr>
      </w:pPr>
      <w:r>
        <w:rPr>
          <w:sz w:val="28"/>
        </w:rPr>
        <w:t>Таблица 37 Расчеты по котельным максимальных часовых и годовых расходов топлива на 2033 год</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711"/>
        <w:gridCol w:w="2368"/>
        <w:gridCol w:w="1451"/>
      </w:tblGrid>
      <w:tr>
        <w:trPr>
          <w:trHeight w:hRule="atLeast" w:val="587"/>
        </w:trPr>
        <w:tc>
          <w:tcPr>
            <w:tcW w:type="dxa" w:w="5711"/>
            <w:tcBorders>
              <w:top w:color="000000" w:sz="4" w:val="single"/>
              <w:left w:color="000000" w:sz="4" w:val="single"/>
              <w:bottom w:color="000000" w:sz="4" w:val="single"/>
              <w:right w:color="000000" w:sz="4" w:val="single"/>
            </w:tcBorders>
            <w:vAlign w:val="center"/>
          </w:tcPr>
          <w:p w14:paraId="FB0C0000">
            <w:pPr>
              <w:spacing w:line="240" w:lineRule="auto"/>
              <w:ind/>
              <w:jc w:val="center"/>
              <w:rPr>
                <w:sz w:val="20"/>
              </w:rPr>
            </w:pPr>
            <w:r>
              <w:rPr>
                <w:sz w:val="20"/>
              </w:rPr>
              <w:t>Котельная</w:t>
            </w:r>
          </w:p>
        </w:tc>
        <w:tc>
          <w:tcPr>
            <w:tcW w:type="dxa" w:w="2368"/>
            <w:tcBorders>
              <w:top w:color="000000" w:sz="4" w:val="single"/>
              <w:left w:color="000000" w:sz="4" w:val="single"/>
              <w:bottom w:color="000000" w:sz="4" w:val="single"/>
              <w:right w:color="000000" w:sz="4" w:val="single"/>
            </w:tcBorders>
            <w:vAlign w:val="center"/>
          </w:tcPr>
          <w:p w14:paraId="FC0C0000">
            <w:pPr>
              <w:spacing w:line="240" w:lineRule="auto"/>
              <w:ind/>
              <w:jc w:val="center"/>
              <w:rPr>
                <w:sz w:val="20"/>
              </w:rPr>
            </w:pPr>
            <w:r>
              <w:rPr>
                <w:sz w:val="20"/>
              </w:rPr>
              <w:t>Максимальный часовой расход</w:t>
            </w:r>
            <w:r>
              <w:rPr>
                <w:sz w:val="20"/>
              </w:rPr>
              <w:t xml:space="preserve"> газа, м</w:t>
            </w:r>
            <w:r>
              <w:rPr>
                <w:sz w:val="20"/>
                <w:vertAlign w:val="superscript"/>
              </w:rPr>
              <w:t>3</w:t>
            </w:r>
            <w:r>
              <w:rPr>
                <w:sz w:val="20"/>
              </w:rPr>
              <w:t>/час</w:t>
            </w:r>
          </w:p>
        </w:tc>
        <w:tc>
          <w:tcPr>
            <w:tcW w:type="dxa" w:w="1451"/>
            <w:tcBorders>
              <w:top w:color="000000" w:sz="4" w:val="single"/>
              <w:left w:color="000000" w:sz="4" w:val="single"/>
              <w:bottom w:color="000000" w:sz="4" w:val="single"/>
              <w:right w:color="000000" w:sz="4" w:val="single"/>
            </w:tcBorders>
            <w:vAlign w:val="center"/>
          </w:tcPr>
          <w:p w14:paraId="FD0C0000">
            <w:pPr>
              <w:spacing w:line="240" w:lineRule="auto"/>
              <w:ind/>
              <w:jc w:val="center"/>
              <w:rPr>
                <w:sz w:val="20"/>
              </w:rPr>
            </w:pPr>
            <w:r>
              <w:rPr>
                <w:sz w:val="20"/>
              </w:rPr>
              <w:t>Годовой расход газа, тыс. м</w:t>
            </w:r>
            <w:r>
              <w:rPr>
                <w:sz w:val="20"/>
                <w:vertAlign w:val="superscript"/>
              </w:rPr>
              <w:t>3</w:t>
            </w:r>
            <w:r>
              <w:rPr>
                <w:sz w:val="20"/>
              </w:rPr>
              <w:t>/год</w:t>
            </w:r>
          </w:p>
        </w:tc>
      </w:tr>
      <w:tr>
        <w:tc>
          <w:tcPr>
            <w:tcW w:type="dxa" w:w="5711"/>
            <w:tcBorders>
              <w:top w:sz="4" w:val="nil"/>
              <w:left w:color="000000" w:sz="4" w:val="single"/>
              <w:bottom w:color="000000" w:sz="4" w:val="single"/>
              <w:right w:color="000000" w:sz="4" w:val="single"/>
            </w:tcBorders>
            <w:vAlign w:val="center"/>
          </w:tcPr>
          <w:p w14:paraId="FE0C0000">
            <w:pPr>
              <w:ind/>
              <w:jc w:val="center"/>
              <w:rPr>
                <w:sz w:val="20"/>
              </w:rPr>
            </w:pPr>
            <w:r>
              <w:rPr>
                <w:sz w:val="20"/>
              </w:rPr>
              <w:t>с. Куйбышево, ул. Пролетарская, 7</w:t>
            </w:r>
          </w:p>
        </w:tc>
        <w:tc>
          <w:tcPr>
            <w:tcW w:type="dxa" w:w="2368"/>
            <w:tcBorders>
              <w:top w:color="000000" w:sz="4" w:val="single"/>
              <w:left w:color="000000" w:sz="4" w:val="single"/>
              <w:bottom w:color="000000" w:sz="4" w:val="single"/>
              <w:right w:color="000000" w:sz="4" w:val="single"/>
            </w:tcBorders>
            <w:vAlign w:val="center"/>
          </w:tcPr>
          <w:p w14:paraId="FF0C0000">
            <w:pPr>
              <w:spacing w:line="240" w:lineRule="auto"/>
              <w:ind/>
              <w:jc w:val="center"/>
              <w:rPr>
                <w:sz w:val="20"/>
              </w:rPr>
            </w:pPr>
            <w:r>
              <w:rPr>
                <w:sz w:val="20"/>
              </w:rPr>
              <w:t>62,697</w:t>
            </w:r>
          </w:p>
        </w:tc>
        <w:tc>
          <w:tcPr>
            <w:tcW w:type="dxa" w:w="1451"/>
            <w:tcBorders>
              <w:top w:color="000000" w:sz="4" w:val="single"/>
              <w:left w:color="000000" w:sz="4" w:val="single"/>
              <w:bottom w:color="000000" w:sz="4" w:val="single"/>
              <w:right w:color="000000" w:sz="4" w:val="single"/>
            </w:tcBorders>
            <w:vAlign w:val="center"/>
          </w:tcPr>
          <w:p w14:paraId="000D0000">
            <w:pPr>
              <w:spacing w:line="240" w:lineRule="auto"/>
              <w:ind/>
              <w:jc w:val="center"/>
              <w:rPr>
                <w:sz w:val="20"/>
              </w:rPr>
            </w:pPr>
            <w:r>
              <w:rPr>
                <w:sz w:val="20"/>
              </w:rPr>
              <w:t>319,0</w:t>
            </w:r>
          </w:p>
        </w:tc>
      </w:tr>
      <w:tr>
        <w:tc>
          <w:tcPr>
            <w:tcW w:type="dxa" w:w="5711"/>
            <w:tcBorders>
              <w:top w:sz="4" w:val="nil"/>
              <w:left w:color="000000" w:sz="4" w:val="single"/>
              <w:bottom w:color="000000" w:sz="4" w:val="single"/>
              <w:right w:color="000000" w:sz="4" w:val="single"/>
            </w:tcBorders>
            <w:vAlign w:val="center"/>
          </w:tcPr>
          <w:p w14:paraId="010D0000">
            <w:pPr>
              <w:ind/>
              <w:jc w:val="center"/>
              <w:rPr>
                <w:sz w:val="20"/>
              </w:rPr>
            </w:pPr>
            <w:r>
              <w:rPr>
                <w:sz w:val="20"/>
              </w:rPr>
              <w:t>с. Русское, ул. Красноармейская, 8-а</w:t>
            </w:r>
          </w:p>
        </w:tc>
        <w:tc>
          <w:tcPr>
            <w:tcW w:type="dxa" w:w="2368"/>
            <w:tcBorders>
              <w:top w:color="000000" w:sz="4" w:val="single"/>
              <w:left w:color="000000" w:sz="4" w:val="single"/>
              <w:bottom w:color="000000" w:sz="4" w:val="single"/>
              <w:right w:color="000000" w:sz="4" w:val="single"/>
            </w:tcBorders>
            <w:vAlign w:val="center"/>
          </w:tcPr>
          <w:p w14:paraId="020D0000">
            <w:pPr>
              <w:spacing w:line="240" w:lineRule="auto"/>
              <w:ind/>
              <w:jc w:val="center"/>
              <w:rPr>
                <w:sz w:val="20"/>
              </w:rPr>
            </w:pPr>
            <w:r>
              <w:rPr>
                <w:sz w:val="20"/>
              </w:rPr>
              <w:t>9,434</w:t>
            </w:r>
          </w:p>
        </w:tc>
        <w:tc>
          <w:tcPr>
            <w:tcW w:type="dxa" w:w="1451"/>
            <w:tcBorders>
              <w:top w:color="000000" w:sz="4" w:val="single"/>
              <w:left w:color="000000" w:sz="4" w:val="single"/>
              <w:bottom w:color="000000" w:sz="4" w:val="single"/>
              <w:right w:color="000000" w:sz="4" w:val="single"/>
            </w:tcBorders>
            <w:vAlign w:val="center"/>
          </w:tcPr>
          <w:p w14:paraId="030D0000">
            <w:pPr>
              <w:spacing w:line="240" w:lineRule="auto"/>
              <w:ind/>
              <w:jc w:val="center"/>
              <w:rPr>
                <w:sz w:val="20"/>
              </w:rPr>
            </w:pPr>
            <w:r>
              <w:rPr>
                <w:sz w:val="20"/>
              </w:rPr>
              <w:t>48,000</w:t>
            </w:r>
          </w:p>
        </w:tc>
      </w:tr>
      <w:tr>
        <w:tc>
          <w:tcPr>
            <w:tcW w:type="dxa" w:w="5711"/>
            <w:tcBorders>
              <w:top w:sz="4" w:val="nil"/>
              <w:left w:color="000000" w:sz="4" w:val="single"/>
              <w:bottom w:color="000000" w:sz="4" w:val="single"/>
              <w:right w:color="000000" w:sz="4" w:val="single"/>
            </w:tcBorders>
            <w:vAlign w:val="center"/>
          </w:tcPr>
          <w:p w14:paraId="040D0000">
            <w:pPr>
              <w:spacing w:after="0" w:line="240" w:lineRule="auto"/>
              <w:ind/>
              <w:jc w:val="center"/>
              <w:rPr>
                <w:sz w:val="20"/>
              </w:rPr>
            </w:pPr>
            <w:r>
              <w:rPr>
                <w:sz w:val="20"/>
              </w:rPr>
              <w:t>с. Русское, ул. Героя Советского Союза М.П. Алексеева, 8</w:t>
            </w:r>
          </w:p>
        </w:tc>
        <w:tc>
          <w:tcPr>
            <w:tcW w:type="dxa" w:w="2368"/>
            <w:tcBorders>
              <w:top w:sz="4" w:val="nil"/>
              <w:left w:color="000000" w:sz="4" w:val="single"/>
              <w:bottom w:color="000000" w:sz="4" w:val="single"/>
              <w:right w:color="000000" w:sz="4" w:val="single"/>
            </w:tcBorders>
            <w:vAlign w:val="center"/>
          </w:tcPr>
          <w:p w14:paraId="050D0000">
            <w:pPr>
              <w:spacing w:line="240" w:lineRule="auto"/>
              <w:ind/>
              <w:jc w:val="center"/>
              <w:rPr>
                <w:sz w:val="20"/>
              </w:rPr>
            </w:pPr>
            <w:r>
              <w:rPr>
                <w:sz w:val="20"/>
              </w:rPr>
              <w:t>2,496</w:t>
            </w:r>
          </w:p>
        </w:tc>
        <w:tc>
          <w:tcPr>
            <w:tcW w:type="dxa" w:w="1451"/>
            <w:tcBorders>
              <w:top w:sz="4" w:val="nil"/>
              <w:left w:color="000000" w:sz="4" w:val="single"/>
              <w:bottom w:color="000000" w:sz="4" w:val="single"/>
              <w:right w:color="000000" w:sz="4" w:val="single"/>
            </w:tcBorders>
            <w:vAlign w:val="center"/>
          </w:tcPr>
          <w:p w14:paraId="060D0000">
            <w:pPr>
              <w:spacing w:line="240" w:lineRule="auto"/>
              <w:ind/>
              <w:jc w:val="center"/>
              <w:rPr>
                <w:sz w:val="20"/>
              </w:rPr>
            </w:pPr>
            <w:r>
              <w:rPr>
                <w:sz w:val="20"/>
              </w:rPr>
              <w:t>12,700</w:t>
            </w:r>
          </w:p>
        </w:tc>
      </w:tr>
      <w:tr>
        <w:tc>
          <w:tcPr>
            <w:tcW w:type="dxa" w:w="5711"/>
            <w:tcBorders>
              <w:top w:sz="4" w:val="nil"/>
              <w:left w:color="000000" w:sz="4" w:val="single"/>
              <w:bottom w:color="000000" w:sz="4" w:val="single"/>
              <w:right w:color="000000" w:sz="4" w:val="single"/>
            </w:tcBorders>
            <w:vAlign w:val="center"/>
          </w:tcPr>
          <w:p w14:paraId="070D0000">
            <w:pPr>
              <w:ind/>
              <w:jc w:val="center"/>
              <w:rPr>
                <w:sz w:val="20"/>
              </w:rPr>
            </w:pPr>
            <w:r>
              <w:rPr>
                <w:sz w:val="20"/>
              </w:rPr>
              <w:t>с. Куйбышево, ул. Театральная, 72</w:t>
            </w:r>
          </w:p>
        </w:tc>
        <w:tc>
          <w:tcPr>
            <w:tcW w:type="dxa" w:w="2368"/>
            <w:tcBorders>
              <w:top w:sz="4" w:val="nil"/>
              <w:left w:color="000000" w:sz="4" w:val="single"/>
              <w:bottom w:color="000000" w:sz="4" w:val="single"/>
              <w:right w:color="000000" w:sz="4" w:val="single"/>
            </w:tcBorders>
            <w:vAlign w:val="center"/>
          </w:tcPr>
          <w:p w14:paraId="080D0000">
            <w:pPr>
              <w:spacing w:line="240" w:lineRule="auto"/>
              <w:ind/>
              <w:jc w:val="center"/>
              <w:rPr>
                <w:sz w:val="20"/>
              </w:rPr>
            </w:pPr>
            <w:r>
              <w:rPr>
                <w:sz w:val="20"/>
              </w:rPr>
              <w:t>5,601</w:t>
            </w:r>
          </w:p>
        </w:tc>
        <w:tc>
          <w:tcPr>
            <w:tcW w:type="dxa" w:w="1451"/>
            <w:tcBorders>
              <w:top w:sz="4" w:val="nil"/>
              <w:left w:color="000000" w:sz="4" w:val="single"/>
              <w:bottom w:color="000000" w:sz="4" w:val="single"/>
              <w:right w:color="000000" w:sz="4" w:val="single"/>
            </w:tcBorders>
            <w:vAlign w:val="center"/>
          </w:tcPr>
          <w:p w14:paraId="090D0000">
            <w:pPr>
              <w:spacing w:line="240" w:lineRule="auto"/>
              <w:ind/>
              <w:jc w:val="center"/>
              <w:rPr>
                <w:sz w:val="20"/>
              </w:rPr>
            </w:pPr>
            <w:r>
              <w:rPr>
                <w:sz w:val="20"/>
              </w:rPr>
              <w:t>28,500</w:t>
            </w:r>
          </w:p>
        </w:tc>
      </w:tr>
      <w:tr>
        <w:tc>
          <w:tcPr>
            <w:tcW w:type="dxa" w:w="5711"/>
            <w:tcBorders>
              <w:top w:sz="4" w:val="nil"/>
              <w:left w:color="000000" w:sz="4" w:val="single"/>
              <w:bottom w:color="000000" w:sz="4" w:val="single"/>
              <w:right w:color="000000" w:sz="4" w:val="single"/>
            </w:tcBorders>
            <w:vAlign w:val="center"/>
          </w:tcPr>
          <w:p w14:paraId="0A0D0000">
            <w:pPr>
              <w:ind/>
              <w:jc w:val="center"/>
              <w:rPr>
                <w:sz w:val="20"/>
              </w:rPr>
            </w:pPr>
            <w:r>
              <w:rPr>
                <w:sz w:val="20"/>
              </w:rPr>
              <w:t>с. Куйбышево, ул. Пролетарская, 2 а</w:t>
            </w:r>
          </w:p>
        </w:tc>
        <w:tc>
          <w:tcPr>
            <w:tcW w:type="dxa" w:w="2368"/>
            <w:tcBorders>
              <w:top w:sz="4" w:val="nil"/>
              <w:left w:color="000000" w:sz="4" w:val="single"/>
              <w:bottom w:color="000000" w:sz="4" w:val="single"/>
              <w:right w:color="000000" w:sz="4" w:val="single"/>
            </w:tcBorders>
            <w:vAlign w:val="center"/>
          </w:tcPr>
          <w:p w14:paraId="0B0D0000">
            <w:pPr>
              <w:spacing w:line="240" w:lineRule="auto"/>
              <w:ind/>
              <w:jc w:val="center"/>
              <w:rPr>
                <w:sz w:val="20"/>
              </w:rPr>
            </w:pPr>
            <w:r>
              <w:rPr>
                <w:sz w:val="20"/>
              </w:rPr>
              <w:t>6,682</w:t>
            </w:r>
          </w:p>
        </w:tc>
        <w:tc>
          <w:tcPr>
            <w:tcW w:type="dxa" w:w="1451"/>
            <w:tcBorders>
              <w:top w:sz="4" w:val="nil"/>
              <w:left w:color="000000" w:sz="4" w:val="single"/>
              <w:bottom w:color="000000" w:sz="4" w:val="single"/>
              <w:right w:color="000000" w:sz="4" w:val="single"/>
            </w:tcBorders>
            <w:vAlign w:val="center"/>
          </w:tcPr>
          <w:p w14:paraId="0C0D0000">
            <w:pPr>
              <w:spacing w:line="240" w:lineRule="auto"/>
              <w:ind/>
              <w:jc w:val="center"/>
              <w:rPr>
                <w:sz w:val="20"/>
              </w:rPr>
            </w:pPr>
            <w:r>
              <w:rPr>
                <w:sz w:val="20"/>
              </w:rPr>
              <w:t>34,000</w:t>
            </w:r>
          </w:p>
        </w:tc>
      </w:tr>
      <w:tr>
        <w:tc>
          <w:tcPr>
            <w:tcW w:type="dxa" w:w="5711"/>
            <w:tcBorders>
              <w:top w:sz="4" w:val="nil"/>
              <w:left w:color="000000" w:sz="4" w:val="single"/>
              <w:bottom w:color="000000" w:sz="4" w:val="single"/>
              <w:right w:color="000000" w:sz="4" w:val="single"/>
            </w:tcBorders>
            <w:vAlign w:val="center"/>
          </w:tcPr>
          <w:p w14:paraId="0D0D0000">
            <w:pPr>
              <w:ind/>
              <w:jc w:val="center"/>
              <w:rPr>
                <w:sz w:val="20"/>
              </w:rPr>
            </w:pPr>
            <w:r>
              <w:rPr>
                <w:sz w:val="20"/>
              </w:rPr>
              <w:t>с. Куйбышево, ул. Кузьменко, 3 а</w:t>
            </w:r>
          </w:p>
        </w:tc>
        <w:tc>
          <w:tcPr>
            <w:tcW w:type="dxa" w:w="2368"/>
            <w:tcBorders>
              <w:top w:sz="4" w:val="nil"/>
              <w:left w:color="000000" w:sz="4" w:val="single"/>
              <w:bottom w:color="000000" w:sz="4" w:val="single"/>
              <w:right w:color="000000" w:sz="4" w:val="single"/>
            </w:tcBorders>
            <w:vAlign w:val="center"/>
          </w:tcPr>
          <w:p w14:paraId="0E0D0000">
            <w:pPr>
              <w:spacing w:line="240" w:lineRule="auto"/>
              <w:ind/>
              <w:jc w:val="center"/>
              <w:rPr>
                <w:sz w:val="20"/>
              </w:rPr>
            </w:pPr>
            <w:r>
              <w:rPr>
                <w:sz w:val="20"/>
              </w:rPr>
              <w:t>10,417</w:t>
            </w:r>
          </w:p>
        </w:tc>
        <w:tc>
          <w:tcPr>
            <w:tcW w:type="dxa" w:w="1451"/>
            <w:tcBorders>
              <w:top w:sz="4" w:val="nil"/>
              <w:left w:color="000000" w:sz="4" w:val="single"/>
              <w:bottom w:color="000000" w:sz="4" w:val="single"/>
              <w:right w:color="000000" w:sz="4" w:val="single"/>
            </w:tcBorders>
            <w:vAlign w:val="center"/>
          </w:tcPr>
          <w:p w14:paraId="0F0D0000">
            <w:pPr>
              <w:spacing w:line="240" w:lineRule="auto"/>
              <w:ind/>
              <w:jc w:val="center"/>
              <w:rPr>
                <w:sz w:val="20"/>
              </w:rPr>
            </w:pPr>
            <w:r>
              <w:rPr>
                <w:sz w:val="20"/>
              </w:rPr>
              <w:t>53,000</w:t>
            </w:r>
          </w:p>
        </w:tc>
      </w:tr>
      <w:tr>
        <w:tc>
          <w:tcPr>
            <w:tcW w:type="dxa" w:w="5711"/>
            <w:tcBorders>
              <w:top w:sz="4" w:val="nil"/>
              <w:left w:color="000000" w:sz="4" w:val="single"/>
              <w:bottom w:color="000000" w:sz="4" w:val="single"/>
              <w:right w:color="000000" w:sz="4" w:val="single"/>
            </w:tcBorders>
            <w:vAlign w:val="center"/>
          </w:tcPr>
          <w:p w14:paraId="100D0000">
            <w:pPr>
              <w:ind/>
              <w:jc w:val="center"/>
              <w:rPr>
                <w:sz w:val="20"/>
              </w:rPr>
            </w:pPr>
            <w:r>
              <w:rPr>
                <w:sz w:val="20"/>
              </w:rPr>
              <w:t>х. Свободный, ул. Молодёжная, 8</w:t>
            </w:r>
          </w:p>
        </w:tc>
        <w:tc>
          <w:tcPr>
            <w:tcW w:type="dxa" w:w="2368"/>
            <w:tcBorders>
              <w:top w:sz="4" w:val="nil"/>
              <w:left w:color="000000" w:sz="4" w:val="single"/>
              <w:bottom w:color="000000" w:sz="4" w:val="single"/>
              <w:right w:color="000000" w:sz="4" w:val="single"/>
            </w:tcBorders>
            <w:vAlign w:val="center"/>
          </w:tcPr>
          <w:p w14:paraId="110D0000">
            <w:pPr>
              <w:spacing w:line="240" w:lineRule="auto"/>
              <w:ind/>
              <w:jc w:val="center"/>
              <w:rPr>
                <w:sz w:val="20"/>
              </w:rPr>
            </w:pPr>
            <w:r>
              <w:rPr>
                <w:sz w:val="20"/>
              </w:rPr>
              <w:t>4,501</w:t>
            </w:r>
          </w:p>
        </w:tc>
        <w:tc>
          <w:tcPr>
            <w:tcW w:type="dxa" w:w="1451"/>
            <w:tcBorders>
              <w:top w:sz="4" w:val="nil"/>
              <w:left w:color="000000" w:sz="4" w:val="single"/>
              <w:bottom w:color="000000" w:sz="4" w:val="single"/>
              <w:right w:color="000000" w:sz="4" w:val="single"/>
            </w:tcBorders>
            <w:vAlign w:val="center"/>
          </w:tcPr>
          <w:p w14:paraId="120D0000">
            <w:pPr>
              <w:spacing w:line="240" w:lineRule="auto"/>
              <w:ind/>
              <w:jc w:val="center"/>
              <w:rPr>
                <w:sz w:val="20"/>
              </w:rPr>
            </w:pPr>
            <w:r>
              <w:rPr>
                <w:sz w:val="20"/>
              </w:rPr>
              <w:t>22,900</w:t>
            </w:r>
          </w:p>
        </w:tc>
      </w:tr>
      <w:tr>
        <w:tc>
          <w:tcPr>
            <w:tcW w:type="dxa" w:w="5711"/>
            <w:tcBorders>
              <w:top w:sz="4" w:val="nil"/>
              <w:left w:color="000000" w:sz="4" w:val="single"/>
              <w:bottom w:color="000000" w:sz="4" w:val="single"/>
              <w:right w:color="000000" w:sz="4" w:val="single"/>
            </w:tcBorders>
            <w:vAlign w:val="center"/>
          </w:tcPr>
          <w:p w14:paraId="130D0000">
            <w:pPr>
              <w:ind/>
              <w:jc w:val="center"/>
              <w:rPr>
                <w:sz w:val="20"/>
              </w:rPr>
            </w:pPr>
            <w:r>
              <w:rPr>
                <w:sz w:val="20"/>
              </w:rPr>
              <w:t>х. Ольховский, ул. Центральная, 3 а</w:t>
            </w:r>
          </w:p>
        </w:tc>
        <w:tc>
          <w:tcPr>
            <w:tcW w:type="dxa" w:w="2368"/>
            <w:tcBorders>
              <w:top w:sz="4" w:val="nil"/>
              <w:left w:color="000000" w:sz="4" w:val="single"/>
              <w:bottom w:color="000000" w:sz="4" w:val="single"/>
              <w:right w:color="000000" w:sz="4" w:val="single"/>
            </w:tcBorders>
            <w:vAlign w:val="center"/>
          </w:tcPr>
          <w:p w14:paraId="140D0000">
            <w:pPr>
              <w:spacing w:line="240" w:lineRule="auto"/>
              <w:ind/>
              <w:jc w:val="center"/>
              <w:rPr>
                <w:sz w:val="20"/>
              </w:rPr>
            </w:pPr>
            <w:r>
              <w:rPr>
                <w:sz w:val="20"/>
              </w:rPr>
              <w:t>2,496</w:t>
            </w:r>
          </w:p>
        </w:tc>
        <w:tc>
          <w:tcPr>
            <w:tcW w:type="dxa" w:w="1451"/>
            <w:tcBorders>
              <w:top w:sz="4" w:val="nil"/>
              <w:left w:color="000000" w:sz="4" w:val="single"/>
              <w:bottom w:color="000000" w:sz="4" w:val="single"/>
              <w:right w:color="000000" w:sz="4" w:val="single"/>
            </w:tcBorders>
            <w:vAlign w:val="center"/>
          </w:tcPr>
          <w:p w14:paraId="150D0000">
            <w:pPr>
              <w:spacing w:line="240" w:lineRule="auto"/>
              <w:ind/>
              <w:jc w:val="center"/>
              <w:rPr>
                <w:sz w:val="20"/>
              </w:rPr>
            </w:pPr>
            <w:r>
              <w:rPr>
                <w:sz w:val="20"/>
              </w:rPr>
              <w:t>12,700</w:t>
            </w:r>
          </w:p>
        </w:tc>
      </w:tr>
      <w:tr>
        <w:tc>
          <w:tcPr>
            <w:tcW w:type="dxa" w:w="5711"/>
            <w:tcBorders>
              <w:top w:sz="4" w:val="nil"/>
              <w:left w:color="000000" w:sz="4" w:val="single"/>
              <w:bottom w:color="000000" w:sz="4" w:val="single"/>
              <w:right w:color="000000" w:sz="4" w:val="single"/>
            </w:tcBorders>
            <w:vAlign w:val="center"/>
          </w:tcPr>
          <w:p w14:paraId="160D0000">
            <w:pPr>
              <w:ind/>
              <w:jc w:val="center"/>
              <w:rPr>
                <w:sz w:val="20"/>
              </w:rPr>
            </w:pPr>
            <w:r>
              <w:rPr>
                <w:sz w:val="20"/>
              </w:rPr>
              <w:t>с. Куйбышево, ул. Пролетарская, 5</w:t>
            </w:r>
          </w:p>
        </w:tc>
        <w:tc>
          <w:tcPr>
            <w:tcW w:type="dxa" w:w="2368"/>
            <w:tcBorders>
              <w:top w:sz="4" w:val="nil"/>
              <w:left w:color="000000" w:sz="4" w:val="single"/>
              <w:bottom w:color="000000" w:sz="4" w:val="single"/>
              <w:right w:color="000000" w:sz="4" w:val="single"/>
            </w:tcBorders>
            <w:vAlign w:val="center"/>
          </w:tcPr>
          <w:p w14:paraId="170D0000">
            <w:pPr>
              <w:spacing w:line="240" w:lineRule="auto"/>
              <w:ind/>
              <w:jc w:val="center"/>
              <w:rPr>
                <w:sz w:val="20"/>
              </w:rPr>
            </w:pPr>
            <w:r>
              <w:rPr>
                <w:sz w:val="20"/>
              </w:rPr>
              <w:t>3,204</w:t>
            </w:r>
          </w:p>
        </w:tc>
        <w:tc>
          <w:tcPr>
            <w:tcW w:type="dxa" w:w="1451"/>
            <w:tcBorders>
              <w:top w:sz="4" w:val="nil"/>
              <w:left w:color="000000" w:sz="4" w:val="single"/>
              <w:bottom w:color="000000" w:sz="4" w:val="single"/>
              <w:right w:color="000000" w:sz="4" w:val="single"/>
            </w:tcBorders>
            <w:vAlign w:val="center"/>
          </w:tcPr>
          <w:p w14:paraId="180D0000">
            <w:pPr>
              <w:spacing w:line="240" w:lineRule="auto"/>
              <w:ind/>
              <w:jc w:val="center"/>
              <w:rPr>
                <w:sz w:val="20"/>
              </w:rPr>
            </w:pPr>
            <w:r>
              <w:rPr>
                <w:sz w:val="20"/>
              </w:rPr>
              <w:t>16,300</w:t>
            </w:r>
          </w:p>
        </w:tc>
      </w:tr>
      <w:tr>
        <w:tc>
          <w:tcPr>
            <w:tcW w:type="dxa" w:w="5711"/>
            <w:tcBorders>
              <w:top w:sz="4" w:val="nil"/>
              <w:left w:color="000000" w:sz="4" w:val="single"/>
              <w:bottom w:color="000000" w:sz="4" w:val="single"/>
              <w:right w:color="000000" w:sz="4" w:val="single"/>
            </w:tcBorders>
            <w:vAlign w:val="center"/>
          </w:tcPr>
          <w:p w14:paraId="190D0000">
            <w:pPr>
              <w:ind/>
              <w:jc w:val="center"/>
              <w:rPr>
                <w:sz w:val="20"/>
              </w:rPr>
            </w:pPr>
            <w:r>
              <w:rPr>
                <w:sz w:val="20"/>
              </w:rPr>
              <w:t>с. Куйбышево, ул. Театральная, 22</w:t>
            </w:r>
          </w:p>
        </w:tc>
        <w:tc>
          <w:tcPr>
            <w:tcW w:type="dxa" w:w="2368"/>
            <w:tcBorders>
              <w:top w:sz="4" w:val="nil"/>
              <w:left w:color="000000" w:sz="4" w:val="single"/>
              <w:bottom w:color="000000" w:sz="4" w:val="single"/>
              <w:right w:color="000000" w:sz="4" w:val="single"/>
            </w:tcBorders>
            <w:vAlign w:val="center"/>
          </w:tcPr>
          <w:p w14:paraId="1A0D0000">
            <w:pPr>
              <w:spacing w:line="240" w:lineRule="auto"/>
              <w:ind/>
              <w:jc w:val="center"/>
              <w:rPr>
                <w:sz w:val="20"/>
              </w:rPr>
            </w:pPr>
            <w:r>
              <w:rPr>
                <w:sz w:val="20"/>
              </w:rPr>
              <w:t>5,896</w:t>
            </w:r>
          </w:p>
        </w:tc>
        <w:tc>
          <w:tcPr>
            <w:tcW w:type="dxa" w:w="1451"/>
            <w:tcBorders>
              <w:top w:sz="4" w:val="nil"/>
              <w:left w:color="000000" w:sz="4" w:val="single"/>
              <w:bottom w:color="000000" w:sz="4" w:val="single"/>
              <w:right w:color="000000" w:sz="4" w:val="single"/>
            </w:tcBorders>
            <w:vAlign w:val="center"/>
          </w:tcPr>
          <w:p w14:paraId="1B0D0000">
            <w:pPr>
              <w:spacing w:line="240" w:lineRule="auto"/>
              <w:ind/>
              <w:jc w:val="center"/>
              <w:rPr>
                <w:sz w:val="20"/>
              </w:rPr>
            </w:pPr>
            <w:r>
              <w:rPr>
                <w:sz w:val="20"/>
              </w:rPr>
              <w:t>30,000</w:t>
            </w:r>
          </w:p>
        </w:tc>
      </w:tr>
      <w:tr>
        <w:tc>
          <w:tcPr>
            <w:tcW w:type="dxa" w:w="5711"/>
            <w:tcBorders>
              <w:top w:sz="4" w:val="nil"/>
              <w:left w:color="000000" w:sz="4" w:val="single"/>
              <w:bottom w:color="000000" w:sz="4" w:val="single"/>
              <w:right w:color="000000" w:sz="4" w:val="single"/>
            </w:tcBorders>
            <w:vAlign w:val="center"/>
          </w:tcPr>
          <w:p w14:paraId="1C0D0000">
            <w:pPr>
              <w:ind/>
              <w:jc w:val="center"/>
              <w:rPr>
                <w:sz w:val="20"/>
              </w:rPr>
            </w:pPr>
            <w:r>
              <w:rPr>
                <w:sz w:val="20"/>
              </w:rPr>
              <w:t>х. Свободный, ул. Победы, 29</w:t>
            </w:r>
          </w:p>
        </w:tc>
        <w:tc>
          <w:tcPr>
            <w:tcW w:type="dxa" w:w="2368"/>
            <w:tcBorders>
              <w:top w:sz="4" w:val="nil"/>
              <w:left w:color="000000" w:sz="4" w:val="single"/>
              <w:bottom w:color="000000" w:sz="4" w:val="single"/>
              <w:right w:color="000000" w:sz="4" w:val="single"/>
            </w:tcBorders>
            <w:vAlign w:val="center"/>
          </w:tcPr>
          <w:p w14:paraId="1D0D0000">
            <w:pPr>
              <w:spacing w:line="240" w:lineRule="auto"/>
              <w:ind/>
              <w:jc w:val="center"/>
              <w:rPr>
                <w:sz w:val="20"/>
              </w:rPr>
            </w:pPr>
            <w:r>
              <w:rPr>
                <w:sz w:val="20"/>
              </w:rPr>
              <w:t>1,101</w:t>
            </w:r>
          </w:p>
        </w:tc>
        <w:tc>
          <w:tcPr>
            <w:tcW w:type="dxa" w:w="1451"/>
            <w:tcBorders>
              <w:top w:sz="4" w:val="nil"/>
              <w:left w:color="000000" w:sz="4" w:val="single"/>
              <w:bottom w:color="000000" w:sz="4" w:val="single"/>
              <w:right w:color="000000" w:sz="4" w:val="single"/>
            </w:tcBorders>
            <w:vAlign w:val="center"/>
          </w:tcPr>
          <w:p w14:paraId="1E0D0000">
            <w:pPr>
              <w:spacing w:line="240" w:lineRule="auto"/>
              <w:ind/>
              <w:jc w:val="center"/>
              <w:rPr>
                <w:sz w:val="20"/>
              </w:rPr>
            </w:pPr>
            <w:r>
              <w:rPr>
                <w:sz w:val="20"/>
              </w:rPr>
              <w:t>5,600</w:t>
            </w:r>
          </w:p>
        </w:tc>
      </w:tr>
      <w:tr>
        <w:tc>
          <w:tcPr>
            <w:tcW w:type="dxa" w:w="5711"/>
            <w:tcBorders>
              <w:top w:sz="4" w:val="nil"/>
              <w:left w:color="000000" w:sz="4" w:val="single"/>
              <w:bottom w:color="000000" w:sz="4" w:val="single"/>
              <w:right w:color="000000" w:sz="4" w:val="single"/>
            </w:tcBorders>
            <w:vAlign w:val="center"/>
          </w:tcPr>
          <w:p w14:paraId="1F0D0000">
            <w:pPr>
              <w:ind/>
              <w:jc w:val="center"/>
              <w:rPr>
                <w:sz w:val="20"/>
              </w:rPr>
            </w:pPr>
            <w:r>
              <w:rPr>
                <w:sz w:val="20"/>
              </w:rPr>
              <w:t>х. Новобахмутский, ул. Широкая, 89 а</w:t>
            </w:r>
          </w:p>
        </w:tc>
        <w:tc>
          <w:tcPr>
            <w:tcW w:type="dxa" w:w="2368"/>
            <w:tcBorders>
              <w:top w:sz="4" w:val="nil"/>
              <w:left w:color="000000" w:sz="4" w:val="single"/>
              <w:bottom w:color="000000" w:sz="4" w:val="single"/>
              <w:right w:color="000000" w:sz="4" w:val="single"/>
            </w:tcBorders>
            <w:vAlign w:val="center"/>
          </w:tcPr>
          <w:p w14:paraId="200D0000">
            <w:pPr>
              <w:spacing w:line="240" w:lineRule="auto"/>
              <w:ind/>
              <w:jc w:val="center"/>
              <w:rPr>
                <w:sz w:val="20"/>
              </w:rPr>
            </w:pPr>
            <w:r>
              <w:rPr>
                <w:sz w:val="20"/>
              </w:rPr>
              <w:t>0,983</w:t>
            </w:r>
          </w:p>
        </w:tc>
        <w:tc>
          <w:tcPr>
            <w:tcW w:type="dxa" w:w="1451"/>
            <w:tcBorders>
              <w:top w:sz="4" w:val="nil"/>
              <w:left w:color="000000" w:sz="4" w:val="single"/>
              <w:bottom w:color="000000" w:sz="4" w:val="single"/>
              <w:right w:color="000000" w:sz="4" w:val="single"/>
            </w:tcBorders>
            <w:vAlign w:val="center"/>
          </w:tcPr>
          <w:p w14:paraId="210D0000">
            <w:pPr>
              <w:spacing w:line="240" w:lineRule="auto"/>
              <w:ind/>
              <w:jc w:val="center"/>
              <w:rPr>
                <w:sz w:val="20"/>
              </w:rPr>
            </w:pPr>
            <w:r>
              <w:rPr>
                <w:sz w:val="20"/>
              </w:rPr>
              <w:t>5,000</w:t>
            </w:r>
          </w:p>
        </w:tc>
      </w:tr>
      <w:tr>
        <w:tc>
          <w:tcPr>
            <w:tcW w:type="dxa" w:w="5711"/>
            <w:tcBorders>
              <w:top w:sz="4" w:val="nil"/>
              <w:left w:color="000000" w:sz="4" w:val="single"/>
              <w:bottom w:color="000000" w:sz="4" w:val="single"/>
              <w:right w:color="000000" w:sz="4" w:val="single"/>
            </w:tcBorders>
            <w:vAlign w:val="center"/>
          </w:tcPr>
          <w:p w14:paraId="220D0000">
            <w:pPr>
              <w:ind/>
              <w:jc w:val="center"/>
              <w:rPr>
                <w:sz w:val="20"/>
              </w:rPr>
            </w:pPr>
            <w:r>
              <w:rPr>
                <w:sz w:val="20"/>
              </w:rPr>
              <w:t>с. Русское, ул. Красноармейская, 1</w:t>
            </w:r>
          </w:p>
        </w:tc>
        <w:tc>
          <w:tcPr>
            <w:tcW w:type="dxa" w:w="2368"/>
            <w:tcBorders>
              <w:top w:sz="4" w:val="nil"/>
              <w:left w:color="000000" w:sz="4" w:val="single"/>
              <w:bottom w:color="000000" w:sz="4" w:val="single"/>
              <w:right w:color="000000" w:sz="4" w:val="single"/>
            </w:tcBorders>
            <w:vAlign w:val="center"/>
          </w:tcPr>
          <w:p w14:paraId="230D0000">
            <w:pPr>
              <w:spacing w:line="240" w:lineRule="auto"/>
              <w:ind/>
              <w:jc w:val="center"/>
              <w:rPr>
                <w:sz w:val="20"/>
              </w:rPr>
            </w:pPr>
            <w:r>
              <w:rPr>
                <w:sz w:val="20"/>
              </w:rPr>
              <w:t>3,439</w:t>
            </w:r>
          </w:p>
        </w:tc>
        <w:tc>
          <w:tcPr>
            <w:tcW w:type="dxa" w:w="1451"/>
            <w:tcBorders>
              <w:top w:sz="4" w:val="nil"/>
              <w:left w:color="000000" w:sz="4" w:val="single"/>
              <w:bottom w:color="000000" w:sz="4" w:val="single"/>
              <w:right w:color="000000" w:sz="4" w:val="single"/>
            </w:tcBorders>
            <w:vAlign w:val="center"/>
          </w:tcPr>
          <w:p w14:paraId="240D0000">
            <w:pPr>
              <w:spacing w:line="240" w:lineRule="auto"/>
              <w:ind/>
              <w:jc w:val="center"/>
              <w:rPr>
                <w:sz w:val="20"/>
              </w:rPr>
            </w:pPr>
            <w:r>
              <w:rPr>
                <w:sz w:val="20"/>
              </w:rPr>
              <w:t>17,500</w:t>
            </w:r>
          </w:p>
        </w:tc>
      </w:tr>
      <w:tr>
        <w:tc>
          <w:tcPr>
            <w:tcW w:type="dxa" w:w="5711"/>
            <w:tcBorders>
              <w:top w:sz="4" w:val="nil"/>
              <w:left w:color="000000" w:sz="4" w:val="single"/>
              <w:bottom w:color="000000" w:sz="4" w:val="single"/>
              <w:right w:color="000000" w:sz="4" w:val="single"/>
            </w:tcBorders>
            <w:vAlign w:val="center"/>
          </w:tcPr>
          <w:p w14:paraId="250D0000">
            <w:pPr>
              <w:ind/>
              <w:jc w:val="center"/>
              <w:rPr>
                <w:sz w:val="20"/>
              </w:rPr>
            </w:pPr>
            <w:r>
              <w:rPr>
                <w:sz w:val="20"/>
              </w:rPr>
              <w:t>с. Куйбышево, ул. Цветаева, 31</w:t>
            </w:r>
          </w:p>
        </w:tc>
        <w:tc>
          <w:tcPr>
            <w:tcW w:type="dxa" w:w="2368"/>
            <w:tcBorders>
              <w:top w:sz="4" w:val="nil"/>
              <w:left w:color="000000" w:sz="4" w:val="single"/>
              <w:bottom w:color="000000" w:sz="4" w:val="single"/>
              <w:right w:color="000000" w:sz="4" w:val="single"/>
            </w:tcBorders>
            <w:vAlign w:val="center"/>
          </w:tcPr>
          <w:p w14:paraId="260D0000">
            <w:pPr>
              <w:spacing w:line="240" w:lineRule="auto"/>
              <w:ind/>
              <w:jc w:val="center"/>
              <w:rPr>
                <w:sz w:val="20"/>
              </w:rPr>
            </w:pPr>
            <w:r>
              <w:rPr>
                <w:sz w:val="20"/>
              </w:rPr>
              <w:t>1,690</w:t>
            </w:r>
          </w:p>
        </w:tc>
        <w:tc>
          <w:tcPr>
            <w:tcW w:type="dxa" w:w="1451"/>
            <w:tcBorders>
              <w:top w:sz="4" w:val="nil"/>
              <w:left w:color="000000" w:sz="4" w:val="single"/>
              <w:bottom w:color="000000" w:sz="4" w:val="single"/>
              <w:right w:color="000000" w:sz="4" w:val="single"/>
            </w:tcBorders>
            <w:vAlign w:val="center"/>
          </w:tcPr>
          <w:p w14:paraId="270D0000">
            <w:pPr>
              <w:spacing w:line="240" w:lineRule="auto"/>
              <w:ind/>
              <w:jc w:val="center"/>
              <w:rPr>
                <w:sz w:val="20"/>
              </w:rPr>
            </w:pPr>
            <w:r>
              <w:rPr>
                <w:sz w:val="20"/>
              </w:rPr>
              <w:t>8,600</w:t>
            </w:r>
          </w:p>
        </w:tc>
      </w:tr>
      <w:tr>
        <w:tc>
          <w:tcPr>
            <w:tcW w:type="dxa" w:w="5711"/>
            <w:tcBorders>
              <w:top w:sz="4" w:val="nil"/>
              <w:left w:color="000000" w:sz="4" w:val="single"/>
              <w:bottom w:color="000000" w:sz="4" w:val="single"/>
              <w:right w:color="000000" w:sz="4" w:val="single"/>
            </w:tcBorders>
            <w:vAlign w:val="center"/>
          </w:tcPr>
          <w:p w14:paraId="280D0000">
            <w:pPr>
              <w:ind/>
              <w:jc w:val="center"/>
              <w:rPr>
                <w:sz w:val="20"/>
              </w:rPr>
            </w:pPr>
            <w:r>
              <w:rPr>
                <w:sz w:val="20"/>
              </w:rPr>
              <w:t xml:space="preserve">с. Куйбышево, ул. </w:t>
            </w:r>
            <w:r>
              <w:rPr>
                <w:sz w:val="20"/>
              </w:rPr>
              <w:t>Куйбышевская, 24</w:t>
            </w:r>
          </w:p>
        </w:tc>
        <w:tc>
          <w:tcPr>
            <w:tcW w:type="dxa" w:w="2368"/>
            <w:tcBorders>
              <w:top w:sz="4" w:val="nil"/>
              <w:left w:color="000000" w:sz="4" w:val="single"/>
              <w:bottom w:color="000000" w:sz="4" w:val="single"/>
              <w:right w:color="000000" w:sz="4" w:val="single"/>
            </w:tcBorders>
            <w:vAlign w:val="center"/>
          </w:tcPr>
          <w:p w14:paraId="290D0000">
            <w:pPr>
              <w:spacing w:line="240" w:lineRule="auto"/>
              <w:ind/>
              <w:jc w:val="center"/>
              <w:rPr>
                <w:sz w:val="20"/>
              </w:rPr>
            </w:pPr>
            <w:r>
              <w:rPr>
                <w:sz w:val="20"/>
              </w:rPr>
              <w:t>7,174</w:t>
            </w:r>
          </w:p>
        </w:tc>
        <w:tc>
          <w:tcPr>
            <w:tcW w:type="dxa" w:w="1451"/>
            <w:tcBorders>
              <w:top w:sz="4" w:val="nil"/>
              <w:left w:color="000000" w:sz="4" w:val="single"/>
              <w:bottom w:color="000000" w:sz="4" w:val="single"/>
              <w:right w:color="000000" w:sz="4" w:val="single"/>
            </w:tcBorders>
            <w:vAlign w:val="center"/>
          </w:tcPr>
          <w:p w14:paraId="2A0D0000">
            <w:pPr>
              <w:spacing w:line="240" w:lineRule="auto"/>
              <w:ind/>
              <w:jc w:val="center"/>
              <w:rPr>
                <w:sz w:val="20"/>
              </w:rPr>
            </w:pPr>
            <w:r>
              <w:rPr>
                <w:sz w:val="20"/>
              </w:rPr>
              <w:t>36,500</w:t>
            </w:r>
          </w:p>
        </w:tc>
      </w:tr>
      <w:tr>
        <w:tc>
          <w:tcPr>
            <w:tcW w:type="dxa" w:w="5711"/>
            <w:tcBorders>
              <w:top w:sz="4" w:val="nil"/>
              <w:left w:color="000000" w:sz="4" w:val="single"/>
              <w:bottom w:color="000000" w:sz="4" w:val="single"/>
              <w:right w:color="000000" w:sz="4" w:val="single"/>
            </w:tcBorders>
            <w:vAlign w:val="center"/>
          </w:tcPr>
          <w:p w14:paraId="2B0D0000">
            <w:pPr>
              <w:ind/>
              <w:jc w:val="center"/>
              <w:rPr>
                <w:sz w:val="20"/>
              </w:rPr>
            </w:pPr>
            <w:r>
              <w:rPr>
                <w:sz w:val="20"/>
              </w:rPr>
              <w:t>с. Куйбышево, ул. Куйбышевская, 20</w:t>
            </w:r>
          </w:p>
        </w:tc>
        <w:tc>
          <w:tcPr>
            <w:tcW w:type="dxa" w:w="2368"/>
            <w:tcBorders>
              <w:top w:sz="4" w:val="nil"/>
              <w:left w:color="000000" w:sz="4" w:val="single"/>
              <w:bottom w:color="000000" w:sz="4" w:val="single"/>
              <w:right w:color="000000" w:sz="4" w:val="single"/>
            </w:tcBorders>
            <w:vAlign w:val="center"/>
          </w:tcPr>
          <w:p w14:paraId="2C0D0000">
            <w:pPr>
              <w:spacing w:line="240" w:lineRule="auto"/>
              <w:ind/>
              <w:jc w:val="center"/>
              <w:rPr>
                <w:sz w:val="20"/>
              </w:rPr>
            </w:pPr>
            <w:r>
              <w:rPr>
                <w:sz w:val="20"/>
              </w:rPr>
              <w:t>2,064</w:t>
            </w:r>
          </w:p>
        </w:tc>
        <w:tc>
          <w:tcPr>
            <w:tcW w:type="dxa" w:w="1451"/>
            <w:tcBorders>
              <w:top w:sz="4" w:val="nil"/>
              <w:left w:color="000000" w:sz="4" w:val="single"/>
              <w:bottom w:color="000000" w:sz="4" w:val="single"/>
              <w:right w:color="000000" w:sz="4" w:val="single"/>
            </w:tcBorders>
            <w:vAlign w:val="center"/>
          </w:tcPr>
          <w:p w14:paraId="2D0D0000">
            <w:pPr>
              <w:spacing w:line="240" w:lineRule="auto"/>
              <w:ind/>
              <w:jc w:val="center"/>
              <w:rPr>
                <w:sz w:val="20"/>
              </w:rPr>
            </w:pPr>
            <w:r>
              <w:rPr>
                <w:sz w:val="20"/>
              </w:rPr>
              <w:t>10,500</w:t>
            </w:r>
          </w:p>
        </w:tc>
      </w:tr>
      <w:tr>
        <w:tc>
          <w:tcPr>
            <w:tcW w:type="dxa" w:w="5711"/>
            <w:tcBorders>
              <w:top w:sz="4" w:val="nil"/>
              <w:left w:color="000000" w:sz="4" w:val="single"/>
              <w:bottom w:color="000000" w:sz="4" w:val="single"/>
              <w:right w:color="000000" w:sz="4" w:val="single"/>
            </w:tcBorders>
            <w:vAlign w:val="center"/>
          </w:tcPr>
          <w:p w14:paraId="2E0D0000">
            <w:pPr>
              <w:ind/>
              <w:jc w:val="center"/>
              <w:rPr>
                <w:sz w:val="20"/>
              </w:rPr>
            </w:pPr>
            <w:r>
              <w:rPr>
                <w:sz w:val="20"/>
              </w:rPr>
              <w:t>с. Куйбышево, ул. Миусская, 3 * 10 объектов</w:t>
            </w:r>
          </w:p>
        </w:tc>
        <w:tc>
          <w:tcPr>
            <w:tcW w:type="dxa" w:w="2368"/>
            <w:tcBorders>
              <w:top w:color="000000" w:sz="4" w:val="single"/>
              <w:left w:color="000000" w:sz="4" w:val="single"/>
              <w:bottom w:color="000000" w:sz="4" w:val="single"/>
              <w:right w:color="000000" w:sz="4" w:val="single"/>
            </w:tcBorders>
            <w:vAlign w:val="center"/>
          </w:tcPr>
          <w:p w14:paraId="2F0D0000">
            <w:pPr>
              <w:spacing w:line="240" w:lineRule="auto"/>
              <w:ind/>
              <w:jc w:val="center"/>
              <w:rPr>
                <w:sz w:val="20"/>
              </w:rPr>
            </w:pPr>
            <w:r>
              <w:rPr>
                <w:sz w:val="20"/>
              </w:rPr>
              <w:t>26,946</w:t>
            </w:r>
          </w:p>
        </w:tc>
        <w:tc>
          <w:tcPr>
            <w:tcW w:type="dxa" w:w="1451"/>
            <w:tcBorders>
              <w:top w:color="000000" w:sz="4" w:val="single"/>
              <w:left w:color="000000" w:sz="4" w:val="single"/>
              <w:bottom w:color="000000" w:sz="4" w:val="single"/>
              <w:right w:color="000000" w:sz="4" w:val="single"/>
            </w:tcBorders>
            <w:vAlign w:val="center"/>
          </w:tcPr>
          <w:p w14:paraId="300D0000">
            <w:pPr>
              <w:spacing w:line="240" w:lineRule="auto"/>
              <w:ind/>
              <w:jc w:val="center"/>
              <w:rPr>
                <w:sz w:val="20"/>
              </w:rPr>
            </w:pPr>
            <w:r>
              <w:rPr>
                <w:sz w:val="20"/>
              </w:rPr>
              <w:t>137,1</w:t>
            </w:r>
          </w:p>
        </w:tc>
      </w:tr>
    </w:tbl>
    <w:p w14:paraId="310D0000">
      <w:pPr>
        <w:spacing w:before="200" w:line="240" w:lineRule="auto"/>
        <w:ind w:firstLine="709" w:left="0"/>
        <w:jc w:val="both"/>
        <w:rPr>
          <w:sz w:val="28"/>
        </w:rPr>
      </w:pPr>
      <w:r>
        <w:rPr>
          <w:sz w:val="28"/>
        </w:rPr>
        <w:t xml:space="preserve">После разработки и утверждения программы газификации и схем газоснабжения Куйбышевского сельского поселения, перспективные </w:t>
      </w:r>
      <w:r>
        <w:rPr>
          <w:sz w:val="28"/>
        </w:rPr>
        <w:t>топливные балансы до 2033 года использования природного газа в качестве основного вида топлива, потребляемого источниками тепловой эн</w:t>
      </w:r>
      <w:r>
        <w:rPr>
          <w:sz w:val="28"/>
        </w:rPr>
        <w:t>ергии, должны быть согласованы с вышеуказанными документами.</w:t>
      </w:r>
    </w:p>
    <w:p w14:paraId="320D0000">
      <w:pPr>
        <w:spacing w:line="240" w:lineRule="auto"/>
        <w:ind w:firstLine="709" w:left="0"/>
        <w:jc w:val="both"/>
        <w:rPr>
          <w:sz w:val="28"/>
        </w:rPr>
      </w:pPr>
      <w:r>
        <w:rPr>
          <w:sz w:val="28"/>
        </w:rPr>
        <w:t>б) Результаты расчетов по каждому источнику тепловой энергии нормативных запасов топлива.</w:t>
      </w:r>
    </w:p>
    <w:p w14:paraId="330D0000">
      <w:pPr>
        <w:spacing w:line="240" w:lineRule="auto"/>
        <w:ind w:firstLine="709" w:left="0"/>
        <w:jc w:val="both"/>
        <w:rPr>
          <w:sz w:val="28"/>
        </w:rPr>
      </w:pPr>
      <w:r>
        <w:rPr>
          <w:sz w:val="28"/>
        </w:rPr>
        <w:t>Таблица 38 Результаты расчетов по каждому источнику тепловой энергии нормативных запасов топлива</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26"/>
        <w:gridCol w:w="1541"/>
        <w:gridCol w:w="1234"/>
        <w:gridCol w:w="1429"/>
      </w:tblGrid>
      <w:tr>
        <w:trPr>
          <w:trHeight w:hRule="atLeast" w:val="587"/>
        </w:trPr>
        <w:tc>
          <w:tcPr>
            <w:tcW w:type="dxa" w:w="5326"/>
            <w:tcBorders>
              <w:top w:color="000000" w:sz="4" w:val="single"/>
              <w:left w:color="000000" w:sz="4" w:val="single"/>
              <w:bottom w:color="000000" w:sz="4" w:val="single"/>
              <w:right w:color="000000" w:sz="4" w:val="single"/>
            </w:tcBorders>
            <w:vAlign w:val="center"/>
          </w:tcPr>
          <w:p w14:paraId="340D0000">
            <w:pPr>
              <w:spacing w:line="240" w:lineRule="auto"/>
              <w:ind/>
              <w:jc w:val="center"/>
              <w:rPr>
                <w:sz w:val="20"/>
              </w:rPr>
            </w:pPr>
            <w:r>
              <w:rPr>
                <w:sz w:val="20"/>
              </w:rPr>
              <w:t>Котельна</w:t>
            </w:r>
            <w:r>
              <w:rPr>
                <w:sz w:val="20"/>
              </w:rPr>
              <w:t>я</w:t>
            </w:r>
          </w:p>
        </w:tc>
        <w:tc>
          <w:tcPr>
            <w:tcW w:type="dxa" w:w="1541"/>
            <w:tcBorders>
              <w:top w:color="000000" w:sz="4" w:val="single"/>
              <w:left w:color="000000" w:sz="4" w:val="single"/>
              <w:bottom w:color="000000" w:sz="4" w:val="single"/>
              <w:right w:color="000000" w:sz="4" w:val="single"/>
            </w:tcBorders>
            <w:vAlign w:val="center"/>
          </w:tcPr>
          <w:p w14:paraId="350D0000">
            <w:pPr>
              <w:spacing w:line="240" w:lineRule="auto"/>
              <w:ind/>
              <w:jc w:val="center"/>
              <w:rPr>
                <w:sz w:val="20"/>
              </w:rPr>
            </w:pPr>
            <w:r>
              <w:rPr>
                <w:sz w:val="20"/>
              </w:rPr>
              <w:t>Годовая выработка тепловой энергии, Гкал</w:t>
            </w:r>
          </w:p>
        </w:tc>
        <w:tc>
          <w:tcPr>
            <w:tcW w:type="dxa" w:w="1234"/>
            <w:tcBorders>
              <w:top w:color="000000" w:sz="4" w:val="single"/>
              <w:left w:color="000000" w:sz="4" w:val="single"/>
              <w:bottom w:color="000000" w:sz="4" w:val="single"/>
              <w:right w:color="000000" w:sz="4" w:val="single"/>
            </w:tcBorders>
            <w:vAlign w:val="center"/>
          </w:tcPr>
          <w:p w14:paraId="360D0000">
            <w:pPr>
              <w:spacing w:line="240" w:lineRule="auto"/>
              <w:ind/>
              <w:jc w:val="center"/>
              <w:rPr>
                <w:sz w:val="20"/>
              </w:rPr>
            </w:pPr>
            <w:r>
              <w:rPr>
                <w:sz w:val="20"/>
              </w:rPr>
              <w:t>Максимальный часовой расход газа, м</w:t>
            </w:r>
            <w:r>
              <w:rPr>
                <w:sz w:val="20"/>
                <w:vertAlign w:val="superscript"/>
              </w:rPr>
              <w:t>3</w:t>
            </w:r>
            <w:r>
              <w:rPr>
                <w:sz w:val="20"/>
              </w:rPr>
              <w:t>/час</w:t>
            </w:r>
          </w:p>
        </w:tc>
        <w:tc>
          <w:tcPr>
            <w:tcW w:type="dxa" w:w="1429"/>
            <w:tcBorders>
              <w:top w:color="000000" w:sz="4" w:val="single"/>
              <w:left w:color="000000" w:sz="4" w:val="single"/>
              <w:bottom w:color="000000" w:sz="4" w:val="single"/>
              <w:right w:color="000000" w:sz="4" w:val="single"/>
            </w:tcBorders>
            <w:vAlign w:val="center"/>
          </w:tcPr>
          <w:p w14:paraId="370D0000">
            <w:pPr>
              <w:spacing w:line="240" w:lineRule="auto"/>
              <w:ind/>
              <w:jc w:val="center"/>
              <w:rPr>
                <w:sz w:val="20"/>
              </w:rPr>
            </w:pPr>
            <w:r>
              <w:rPr>
                <w:sz w:val="20"/>
              </w:rPr>
              <w:t>Годовая потребность в топливе,              т. у. т</w:t>
            </w:r>
          </w:p>
        </w:tc>
      </w:tr>
      <w:tr>
        <w:tc>
          <w:tcPr>
            <w:tcW w:type="dxa" w:w="5326"/>
            <w:tcBorders>
              <w:top w:sz="4" w:val="nil"/>
              <w:left w:color="000000" w:sz="4" w:val="single"/>
              <w:bottom w:color="000000" w:sz="4" w:val="single"/>
              <w:right w:color="000000" w:sz="4" w:val="single"/>
            </w:tcBorders>
            <w:vAlign w:val="center"/>
          </w:tcPr>
          <w:p w14:paraId="380D0000">
            <w:pPr>
              <w:ind/>
              <w:jc w:val="center"/>
              <w:rPr>
                <w:sz w:val="20"/>
              </w:rPr>
            </w:pPr>
            <w:r>
              <w:rPr>
                <w:sz w:val="20"/>
              </w:rPr>
              <w:t>с. Куйбышево, ул. Пролетарская, 7</w:t>
            </w:r>
          </w:p>
        </w:tc>
        <w:tc>
          <w:tcPr>
            <w:tcW w:type="dxa" w:w="1541"/>
            <w:tcBorders>
              <w:top w:color="000000" w:sz="4" w:val="single"/>
              <w:left w:color="000000" w:sz="4" w:val="single"/>
              <w:bottom w:color="000000" w:sz="4" w:val="single"/>
              <w:right w:color="000000" w:sz="4" w:val="single"/>
            </w:tcBorders>
            <w:vAlign w:val="center"/>
          </w:tcPr>
          <w:p w14:paraId="390D0000">
            <w:pPr>
              <w:spacing w:line="240" w:lineRule="auto"/>
              <w:ind/>
              <w:jc w:val="center"/>
              <w:rPr>
                <w:sz w:val="20"/>
              </w:rPr>
            </w:pPr>
            <w:r>
              <w:rPr>
                <w:sz w:val="20"/>
              </w:rPr>
              <w:t>1086,722</w:t>
            </w:r>
          </w:p>
        </w:tc>
        <w:tc>
          <w:tcPr>
            <w:tcW w:type="dxa" w:w="1234"/>
            <w:tcBorders>
              <w:top w:color="000000" w:sz="4" w:val="single"/>
              <w:left w:color="000000" w:sz="4" w:val="single"/>
              <w:bottom w:color="000000" w:sz="4" w:val="single"/>
              <w:right w:color="000000" w:sz="4" w:val="single"/>
            </w:tcBorders>
            <w:vAlign w:val="center"/>
          </w:tcPr>
          <w:p w14:paraId="3A0D0000">
            <w:pPr>
              <w:spacing w:line="240" w:lineRule="auto"/>
              <w:ind/>
              <w:jc w:val="center"/>
              <w:rPr>
                <w:sz w:val="20"/>
              </w:rPr>
            </w:pPr>
            <w:r>
              <w:rPr>
                <w:sz w:val="20"/>
              </w:rPr>
              <w:t>62,697</w:t>
            </w:r>
          </w:p>
        </w:tc>
        <w:tc>
          <w:tcPr>
            <w:tcW w:type="dxa" w:w="1429"/>
            <w:tcBorders>
              <w:top w:color="000000" w:sz="4" w:val="single"/>
              <w:left w:color="000000" w:sz="4" w:val="single"/>
              <w:bottom w:color="000000" w:sz="4" w:val="single"/>
              <w:right w:color="000000" w:sz="4" w:val="single"/>
            </w:tcBorders>
            <w:vAlign w:val="center"/>
          </w:tcPr>
          <w:p w14:paraId="3B0D0000">
            <w:pPr>
              <w:spacing w:line="240" w:lineRule="auto"/>
              <w:ind/>
              <w:jc w:val="center"/>
              <w:rPr>
                <w:sz w:val="20"/>
              </w:rPr>
            </w:pPr>
            <w:r>
              <w:rPr>
                <w:sz w:val="20"/>
              </w:rPr>
              <w:t>368,126</w:t>
            </w:r>
          </w:p>
        </w:tc>
      </w:tr>
      <w:tr>
        <w:tc>
          <w:tcPr>
            <w:tcW w:type="dxa" w:w="5326"/>
            <w:tcBorders>
              <w:top w:sz="4" w:val="nil"/>
              <w:left w:color="000000" w:sz="4" w:val="single"/>
              <w:bottom w:color="000000" w:sz="4" w:val="single"/>
              <w:right w:color="000000" w:sz="4" w:val="single"/>
            </w:tcBorders>
            <w:vAlign w:val="center"/>
          </w:tcPr>
          <w:p w14:paraId="3C0D0000">
            <w:pPr>
              <w:ind/>
              <w:jc w:val="center"/>
              <w:rPr>
                <w:sz w:val="20"/>
              </w:rPr>
            </w:pPr>
            <w:r>
              <w:rPr>
                <w:sz w:val="20"/>
              </w:rPr>
              <w:t>с. Русское, ул. Красноармейская, 8-а</w:t>
            </w:r>
          </w:p>
        </w:tc>
        <w:tc>
          <w:tcPr>
            <w:tcW w:type="dxa" w:w="1541"/>
            <w:tcBorders>
              <w:top w:color="000000" w:sz="4" w:val="single"/>
              <w:left w:color="000000" w:sz="4" w:val="single"/>
              <w:bottom w:color="000000" w:sz="4" w:val="single"/>
              <w:right w:color="000000" w:sz="4" w:val="single"/>
            </w:tcBorders>
            <w:vAlign w:val="bottom"/>
          </w:tcPr>
          <w:p w14:paraId="3D0D0000">
            <w:pPr>
              <w:spacing w:line="240" w:lineRule="auto"/>
              <w:ind/>
              <w:jc w:val="center"/>
              <w:rPr>
                <w:sz w:val="20"/>
              </w:rPr>
            </w:pPr>
            <w:r>
              <w:rPr>
                <w:sz w:val="20"/>
              </w:rPr>
              <w:t>279,969</w:t>
            </w:r>
          </w:p>
        </w:tc>
        <w:tc>
          <w:tcPr>
            <w:tcW w:type="dxa" w:w="1234"/>
            <w:tcBorders>
              <w:top w:color="000000" w:sz="4" w:val="single"/>
              <w:left w:color="000000" w:sz="4" w:val="single"/>
              <w:bottom w:color="000000" w:sz="4" w:val="single"/>
              <w:right w:color="000000" w:sz="4" w:val="single"/>
            </w:tcBorders>
            <w:vAlign w:val="center"/>
          </w:tcPr>
          <w:p w14:paraId="3E0D0000">
            <w:pPr>
              <w:spacing w:line="240" w:lineRule="auto"/>
              <w:ind/>
              <w:jc w:val="center"/>
              <w:rPr>
                <w:sz w:val="20"/>
              </w:rPr>
            </w:pPr>
            <w:r>
              <w:rPr>
                <w:sz w:val="20"/>
              </w:rPr>
              <w:t>9,434</w:t>
            </w:r>
          </w:p>
        </w:tc>
        <w:tc>
          <w:tcPr>
            <w:tcW w:type="dxa" w:w="1429"/>
            <w:tcBorders>
              <w:top w:color="000000" w:sz="4" w:val="single"/>
              <w:left w:color="000000" w:sz="4" w:val="single"/>
              <w:bottom w:color="000000" w:sz="4" w:val="single"/>
              <w:right w:color="000000" w:sz="4" w:val="single"/>
            </w:tcBorders>
            <w:vAlign w:val="center"/>
          </w:tcPr>
          <w:p w14:paraId="3F0D0000">
            <w:pPr>
              <w:spacing w:line="240" w:lineRule="auto"/>
              <w:ind/>
              <w:jc w:val="center"/>
              <w:rPr>
                <w:sz w:val="20"/>
              </w:rPr>
            </w:pPr>
            <w:r>
              <w:rPr>
                <w:sz w:val="20"/>
              </w:rPr>
              <w:t>55,39</w:t>
            </w:r>
          </w:p>
        </w:tc>
      </w:tr>
      <w:tr>
        <w:tc>
          <w:tcPr>
            <w:tcW w:type="dxa" w:w="5326"/>
            <w:tcBorders>
              <w:top w:sz="4" w:val="nil"/>
              <w:left w:color="000000" w:sz="4" w:val="single"/>
              <w:bottom w:color="000000" w:sz="4" w:val="single"/>
              <w:right w:color="000000" w:sz="4" w:val="single"/>
            </w:tcBorders>
            <w:vAlign w:val="center"/>
          </w:tcPr>
          <w:p w14:paraId="400D0000">
            <w:pPr>
              <w:spacing w:after="0" w:line="240" w:lineRule="auto"/>
              <w:ind/>
              <w:jc w:val="center"/>
              <w:rPr>
                <w:sz w:val="20"/>
              </w:rPr>
            </w:pPr>
            <w:r>
              <w:rPr>
                <w:sz w:val="20"/>
              </w:rPr>
              <w:t>с.</w:t>
            </w:r>
            <w:r>
              <w:rPr>
                <w:sz w:val="20"/>
              </w:rPr>
              <w:t xml:space="preserve"> Русское, ул. Героя Советского Союза М.П. Алексеева, 8</w:t>
            </w:r>
          </w:p>
        </w:tc>
        <w:tc>
          <w:tcPr>
            <w:tcW w:type="dxa" w:w="1541"/>
            <w:tcBorders>
              <w:top w:sz="4" w:val="nil"/>
              <w:left w:color="000000" w:sz="4" w:val="single"/>
              <w:bottom w:color="000000" w:sz="4" w:val="single"/>
              <w:right w:color="000000" w:sz="4" w:val="single"/>
            </w:tcBorders>
            <w:vAlign w:val="bottom"/>
          </w:tcPr>
          <w:p w14:paraId="410D0000">
            <w:pPr>
              <w:spacing w:line="240" w:lineRule="auto"/>
              <w:ind/>
              <w:jc w:val="center"/>
              <w:rPr>
                <w:sz w:val="20"/>
              </w:rPr>
            </w:pPr>
            <w:r>
              <w:rPr>
                <w:sz w:val="20"/>
              </w:rPr>
              <w:t>51,108</w:t>
            </w:r>
          </w:p>
        </w:tc>
        <w:tc>
          <w:tcPr>
            <w:tcW w:type="dxa" w:w="1234"/>
            <w:tcBorders>
              <w:top w:sz="4" w:val="nil"/>
              <w:left w:color="000000" w:sz="4" w:val="single"/>
              <w:bottom w:color="000000" w:sz="4" w:val="single"/>
              <w:right w:color="000000" w:sz="4" w:val="single"/>
            </w:tcBorders>
            <w:vAlign w:val="center"/>
          </w:tcPr>
          <w:p w14:paraId="420D0000">
            <w:pPr>
              <w:spacing w:line="240" w:lineRule="auto"/>
              <w:ind/>
              <w:jc w:val="center"/>
              <w:rPr>
                <w:sz w:val="20"/>
              </w:rPr>
            </w:pPr>
            <w:r>
              <w:rPr>
                <w:sz w:val="20"/>
              </w:rPr>
              <w:t>2,496</w:t>
            </w:r>
          </w:p>
        </w:tc>
        <w:tc>
          <w:tcPr>
            <w:tcW w:type="dxa" w:w="1429"/>
            <w:tcBorders>
              <w:top w:sz="4" w:val="nil"/>
              <w:left w:color="000000" w:sz="4" w:val="single"/>
              <w:bottom w:color="000000" w:sz="4" w:val="single"/>
              <w:right w:color="000000" w:sz="4" w:val="single"/>
            </w:tcBorders>
            <w:vAlign w:val="center"/>
          </w:tcPr>
          <w:p w14:paraId="430D0000">
            <w:pPr>
              <w:spacing w:line="240" w:lineRule="auto"/>
              <w:ind/>
              <w:jc w:val="center"/>
              <w:rPr>
                <w:sz w:val="20"/>
              </w:rPr>
            </w:pPr>
            <w:r>
              <w:rPr>
                <w:sz w:val="20"/>
              </w:rPr>
              <w:t>14,65</w:t>
            </w:r>
          </w:p>
        </w:tc>
      </w:tr>
      <w:tr>
        <w:tc>
          <w:tcPr>
            <w:tcW w:type="dxa" w:w="5326"/>
            <w:tcBorders>
              <w:top w:sz="4" w:val="nil"/>
              <w:left w:color="000000" w:sz="4" w:val="single"/>
              <w:bottom w:color="000000" w:sz="4" w:val="single"/>
              <w:right w:color="000000" w:sz="4" w:val="single"/>
            </w:tcBorders>
            <w:vAlign w:val="center"/>
          </w:tcPr>
          <w:p w14:paraId="440D0000">
            <w:pPr>
              <w:ind/>
              <w:jc w:val="center"/>
              <w:rPr>
                <w:sz w:val="20"/>
              </w:rPr>
            </w:pPr>
            <w:r>
              <w:rPr>
                <w:sz w:val="20"/>
              </w:rPr>
              <w:t>с. Куйбышево, ул. Театральная, 72</w:t>
            </w:r>
          </w:p>
        </w:tc>
        <w:tc>
          <w:tcPr>
            <w:tcW w:type="dxa" w:w="1541"/>
            <w:tcBorders>
              <w:top w:sz="4" w:val="nil"/>
              <w:left w:color="000000" w:sz="4" w:val="single"/>
              <w:bottom w:color="000000" w:sz="4" w:val="single"/>
              <w:right w:color="000000" w:sz="4" w:val="single"/>
            </w:tcBorders>
            <w:vAlign w:val="bottom"/>
          </w:tcPr>
          <w:p w14:paraId="450D0000">
            <w:pPr>
              <w:spacing w:line="240" w:lineRule="auto"/>
              <w:ind/>
              <w:jc w:val="center"/>
              <w:rPr>
                <w:sz w:val="20"/>
              </w:rPr>
            </w:pPr>
            <w:r>
              <w:rPr>
                <w:sz w:val="20"/>
              </w:rPr>
              <w:t>66,248</w:t>
            </w:r>
          </w:p>
        </w:tc>
        <w:tc>
          <w:tcPr>
            <w:tcW w:type="dxa" w:w="1234"/>
            <w:tcBorders>
              <w:top w:sz="4" w:val="nil"/>
              <w:left w:color="000000" w:sz="4" w:val="single"/>
              <w:bottom w:color="000000" w:sz="4" w:val="single"/>
              <w:right w:color="000000" w:sz="4" w:val="single"/>
            </w:tcBorders>
            <w:vAlign w:val="center"/>
          </w:tcPr>
          <w:p w14:paraId="460D0000">
            <w:pPr>
              <w:spacing w:line="240" w:lineRule="auto"/>
              <w:ind/>
              <w:jc w:val="center"/>
              <w:rPr>
                <w:sz w:val="20"/>
              </w:rPr>
            </w:pPr>
            <w:r>
              <w:rPr>
                <w:sz w:val="20"/>
              </w:rPr>
              <w:t>5,601</w:t>
            </w:r>
          </w:p>
        </w:tc>
        <w:tc>
          <w:tcPr>
            <w:tcW w:type="dxa" w:w="1429"/>
            <w:tcBorders>
              <w:top w:sz="4" w:val="nil"/>
              <w:left w:color="000000" w:sz="4" w:val="single"/>
              <w:bottom w:color="000000" w:sz="4" w:val="single"/>
              <w:right w:color="000000" w:sz="4" w:val="single"/>
            </w:tcBorders>
            <w:vAlign w:val="center"/>
          </w:tcPr>
          <w:p w14:paraId="470D0000">
            <w:pPr>
              <w:spacing w:line="240" w:lineRule="auto"/>
              <w:ind/>
              <w:jc w:val="center"/>
              <w:rPr>
                <w:sz w:val="20"/>
              </w:rPr>
            </w:pPr>
            <w:r>
              <w:rPr>
                <w:sz w:val="20"/>
              </w:rPr>
              <w:t>32,89</w:t>
            </w:r>
          </w:p>
        </w:tc>
      </w:tr>
      <w:tr>
        <w:tc>
          <w:tcPr>
            <w:tcW w:type="dxa" w:w="5326"/>
            <w:tcBorders>
              <w:top w:sz="4" w:val="nil"/>
              <w:left w:color="000000" w:sz="4" w:val="single"/>
              <w:bottom w:color="000000" w:sz="4" w:val="single"/>
              <w:right w:color="000000" w:sz="4" w:val="single"/>
            </w:tcBorders>
            <w:vAlign w:val="center"/>
          </w:tcPr>
          <w:p w14:paraId="480D0000">
            <w:pPr>
              <w:ind/>
              <w:jc w:val="center"/>
              <w:rPr>
                <w:sz w:val="20"/>
              </w:rPr>
            </w:pPr>
            <w:r>
              <w:rPr>
                <w:sz w:val="20"/>
              </w:rPr>
              <w:t>с. Куйбышево, ул. Пролетарская, 2 а</w:t>
            </w:r>
          </w:p>
        </w:tc>
        <w:tc>
          <w:tcPr>
            <w:tcW w:type="dxa" w:w="1541"/>
            <w:tcBorders>
              <w:top w:sz="4" w:val="nil"/>
              <w:left w:color="000000" w:sz="4" w:val="single"/>
              <w:bottom w:color="000000" w:sz="4" w:val="single"/>
              <w:right w:color="000000" w:sz="4" w:val="single"/>
            </w:tcBorders>
            <w:vAlign w:val="bottom"/>
          </w:tcPr>
          <w:p w14:paraId="490D0000">
            <w:pPr>
              <w:spacing w:line="240" w:lineRule="auto"/>
              <w:ind/>
              <w:jc w:val="center"/>
              <w:rPr>
                <w:sz w:val="20"/>
              </w:rPr>
            </w:pPr>
            <w:r>
              <w:rPr>
                <w:sz w:val="20"/>
              </w:rPr>
              <w:t>288,184</w:t>
            </w:r>
          </w:p>
        </w:tc>
        <w:tc>
          <w:tcPr>
            <w:tcW w:type="dxa" w:w="1234"/>
            <w:tcBorders>
              <w:top w:sz="4" w:val="nil"/>
              <w:left w:color="000000" w:sz="4" w:val="single"/>
              <w:bottom w:color="000000" w:sz="4" w:val="single"/>
              <w:right w:color="000000" w:sz="4" w:val="single"/>
            </w:tcBorders>
            <w:vAlign w:val="center"/>
          </w:tcPr>
          <w:p w14:paraId="4A0D0000">
            <w:pPr>
              <w:spacing w:line="240" w:lineRule="auto"/>
              <w:ind/>
              <w:jc w:val="center"/>
              <w:rPr>
                <w:sz w:val="20"/>
              </w:rPr>
            </w:pPr>
            <w:r>
              <w:rPr>
                <w:sz w:val="20"/>
              </w:rPr>
              <w:t>6,682</w:t>
            </w:r>
          </w:p>
        </w:tc>
        <w:tc>
          <w:tcPr>
            <w:tcW w:type="dxa" w:w="1429"/>
            <w:tcBorders>
              <w:top w:sz="4" w:val="nil"/>
              <w:left w:color="000000" w:sz="4" w:val="single"/>
              <w:bottom w:color="000000" w:sz="4" w:val="single"/>
              <w:right w:color="000000" w:sz="4" w:val="single"/>
            </w:tcBorders>
            <w:vAlign w:val="center"/>
          </w:tcPr>
          <w:p w14:paraId="4B0D0000">
            <w:pPr>
              <w:spacing w:line="240" w:lineRule="auto"/>
              <w:ind/>
              <w:jc w:val="center"/>
              <w:rPr>
                <w:sz w:val="20"/>
              </w:rPr>
            </w:pPr>
            <w:r>
              <w:rPr>
                <w:sz w:val="20"/>
              </w:rPr>
              <w:t>39,23</w:t>
            </w:r>
          </w:p>
        </w:tc>
      </w:tr>
      <w:tr>
        <w:tc>
          <w:tcPr>
            <w:tcW w:type="dxa" w:w="5326"/>
            <w:tcBorders>
              <w:top w:sz="4" w:val="nil"/>
              <w:left w:color="000000" w:sz="4" w:val="single"/>
              <w:bottom w:color="000000" w:sz="4" w:val="single"/>
              <w:right w:color="000000" w:sz="4" w:val="single"/>
            </w:tcBorders>
            <w:vAlign w:val="center"/>
          </w:tcPr>
          <w:p w14:paraId="4C0D0000">
            <w:pPr>
              <w:ind/>
              <w:jc w:val="center"/>
              <w:rPr>
                <w:sz w:val="20"/>
              </w:rPr>
            </w:pPr>
            <w:r>
              <w:rPr>
                <w:sz w:val="20"/>
              </w:rPr>
              <w:t>с. Куйбышево, ул. Кузьменко, 3 а</w:t>
            </w:r>
          </w:p>
        </w:tc>
        <w:tc>
          <w:tcPr>
            <w:tcW w:type="dxa" w:w="1541"/>
            <w:tcBorders>
              <w:top w:sz="4" w:val="nil"/>
              <w:left w:color="000000" w:sz="4" w:val="single"/>
              <w:bottom w:color="000000" w:sz="4" w:val="single"/>
              <w:right w:color="000000" w:sz="4" w:val="single"/>
            </w:tcBorders>
            <w:vAlign w:val="bottom"/>
          </w:tcPr>
          <w:p w14:paraId="4D0D0000">
            <w:pPr>
              <w:spacing w:line="240" w:lineRule="auto"/>
              <w:ind/>
              <w:jc w:val="center"/>
              <w:rPr>
                <w:sz w:val="20"/>
              </w:rPr>
            </w:pPr>
            <w:r>
              <w:rPr>
                <w:sz w:val="20"/>
              </w:rPr>
              <w:t>210,288</w:t>
            </w:r>
          </w:p>
        </w:tc>
        <w:tc>
          <w:tcPr>
            <w:tcW w:type="dxa" w:w="1234"/>
            <w:tcBorders>
              <w:top w:sz="4" w:val="nil"/>
              <w:left w:color="000000" w:sz="4" w:val="single"/>
              <w:bottom w:color="000000" w:sz="4" w:val="single"/>
              <w:right w:color="000000" w:sz="4" w:val="single"/>
            </w:tcBorders>
            <w:vAlign w:val="center"/>
          </w:tcPr>
          <w:p w14:paraId="4E0D0000">
            <w:pPr>
              <w:spacing w:line="240" w:lineRule="auto"/>
              <w:ind/>
              <w:jc w:val="center"/>
              <w:rPr>
                <w:sz w:val="20"/>
              </w:rPr>
            </w:pPr>
            <w:r>
              <w:rPr>
                <w:sz w:val="20"/>
              </w:rPr>
              <w:t>10,417</w:t>
            </w:r>
          </w:p>
        </w:tc>
        <w:tc>
          <w:tcPr>
            <w:tcW w:type="dxa" w:w="1429"/>
            <w:tcBorders>
              <w:top w:sz="4" w:val="nil"/>
              <w:left w:color="000000" w:sz="4" w:val="single"/>
              <w:bottom w:color="000000" w:sz="4" w:val="single"/>
              <w:right w:color="000000" w:sz="4" w:val="single"/>
            </w:tcBorders>
            <w:vAlign w:val="center"/>
          </w:tcPr>
          <w:p w14:paraId="4F0D0000">
            <w:pPr>
              <w:spacing w:line="240" w:lineRule="auto"/>
              <w:ind/>
              <w:jc w:val="center"/>
              <w:rPr>
                <w:sz w:val="20"/>
              </w:rPr>
            </w:pPr>
            <w:r>
              <w:rPr>
                <w:sz w:val="20"/>
              </w:rPr>
              <w:t>61,16</w:t>
            </w:r>
          </w:p>
        </w:tc>
      </w:tr>
      <w:tr>
        <w:tc>
          <w:tcPr>
            <w:tcW w:type="dxa" w:w="5326"/>
            <w:tcBorders>
              <w:top w:sz="4" w:val="nil"/>
              <w:left w:color="000000" w:sz="4" w:val="single"/>
              <w:bottom w:color="000000" w:sz="4" w:val="single"/>
              <w:right w:color="000000" w:sz="4" w:val="single"/>
            </w:tcBorders>
            <w:vAlign w:val="center"/>
          </w:tcPr>
          <w:p w14:paraId="500D0000">
            <w:pPr>
              <w:ind/>
              <w:jc w:val="center"/>
              <w:rPr>
                <w:sz w:val="20"/>
              </w:rPr>
            </w:pPr>
            <w:r>
              <w:rPr>
                <w:sz w:val="20"/>
              </w:rPr>
              <w:t xml:space="preserve">х. Свободный, </w:t>
            </w:r>
            <w:r>
              <w:rPr>
                <w:sz w:val="20"/>
              </w:rPr>
              <w:t>ул. Молодёжная, 8</w:t>
            </w:r>
          </w:p>
        </w:tc>
        <w:tc>
          <w:tcPr>
            <w:tcW w:type="dxa" w:w="1541"/>
            <w:tcBorders>
              <w:top w:sz="4" w:val="nil"/>
              <w:left w:color="000000" w:sz="4" w:val="single"/>
              <w:bottom w:color="000000" w:sz="4" w:val="single"/>
              <w:right w:color="000000" w:sz="4" w:val="single"/>
            </w:tcBorders>
            <w:vAlign w:val="bottom"/>
          </w:tcPr>
          <w:p w14:paraId="510D0000">
            <w:pPr>
              <w:spacing w:line="240" w:lineRule="auto"/>
              <w:ind/>
              <w:jc w:val="center"/>
              <w:rPr>
                <w:sz w:val="20"/>
              </w:rPr>
            </w:pPr>
            <w:r>
              <w:rPr>
                <w:sz w:val="20"/>
              </w:rPr>
              <w:t>105,571</w:t>
            </w:r>
          </w:p>
        </w:tc>
        <w:tc>
          <w:tcPr>
            <w:tcW w:type="dxa" w:w="1234"/>
            <w:tcBorders>
              <w:top w:sz="4" w:val="nil"/>
              <w:left w:color="000000" w:sz="4" w:val="single"/>
              <w:bottom w:color="000000" w:sz="4" w:val="single"/>
              <w:right w:color="000000" w:sz="4" w:val="single"/>
            </w:tcBorders>
            <w:vAlign w:val="center"/>
          </w:tcPr>
          <w:p w14:paraId="520D0000">
            <w:pPr>
              <w:spacing w:line="240" w:lineRule="auto"/>
              <w:ind/>
              <w:jc w:val="center"/>
              <w:rPr>
                <w:sz w:val="20"/>
              </w:rPr>
            </w:pPr>
            <w:r>
              <w:rPr>
                <w:sz w:val="20"/>
              </w:rPr>
              <w:t>4,501</w:t>
            </w:r>
          </w:p>
        </w:tc>
        <w:tc>
          <w:tcPr>
            <w:tcW w:type="dxa" w:w="1429"/>
            <w:tcBorders>
              <w:top w:sz="4" w:val="nil"/>
              <w:left w:color="000000" w:sz="4" w:val="single"/>
              <w:bottom w:color="000000" w:sz="4" w:val="single"/>
              <w:right w:color="000000" w:sz="4" w:val="single"/>
            </w:tcBorders>
            <w:vAlign w:val="center"/>
          </w:tcPr>
          <w:p w14:paraId="530D0000">
            <w:pPr>
              <w:spacing w:line="240" w:lineRule="auto"/>
              <w:ind/>
              <w:jc w:val="center"/>
              <w:rPr>
                <w:sz w:val="20"/>
              </w:rPr>
            </w:pPr>
            <w:r>
              <w:rPr>
                <w:sz w:val="20"/>
              </w:rPr>
              <w:t>26,42</w:t>
            </w:r>
          </w:p>
        </w:tc>
      </w:tr>
      <w:tr>
        <w:tc>
          <w:tcPr>
            <w:tcW w:type="dxa" w:w="5326"/>
            <w:tcBorders>
              <w:top w:sz="4" w:val="nil"/>
              <w:left w:color="000000" w:sz="4" w:val="single"/>
              <w:bottom w:color="000000" w:sz="4" w:val="single"/>
              <w:right w:color="000000" w:sz="4" w:val="single"/>
            </w:tcBorders>
            <w:vAlign w:val="center"/>
          </w:tcPr>
          <w:p w14:paraId="540D0000">
            <w:pPr>
              <w:ind/>
              <w:jc w:val="center"/>
              <w:rPr>
                <w:sz w:val="20"/>
              </w:rPr>
            </w:pPr>
            <w:r>
              <w:rPr>
                <w:sz w:val="20"/>
              </w:rPr>
              <w:t>х. Ольховский, ул. Центральная, 3 а</w:t>
            </w:r>
          </w:p>
        </w:tc>
        <w:tc>
          <w:tcPr>
            <w:tcW w:type="dxa" w:w="1541"/>
            <w:tcBorders>
              <w:top w:sz="4" w:val="nil"/>
              <w:left w:color="000000" w:sz="4" w:val="single"/>
              <w:bottom w:color="000000" w:sz="4" w:val="single"/>
              <w:right w:color="000000" w:sz="4" w:val="single"/>
            </w:tcBorders>
            <w:vAlign w:val="bottom"/>
          </w:tcPr>
          <w:p w14:paraId="550D0000">
            <w:pPr>
              <w:spacing w:line="240" w:lineRule="auto"/>
              <w:ind/>
              <w:jc w:val="center"/>
              <w:rPr>
                <w:sz w:val="20"/>
              </w:rPr>
            </w:pPr>
            <w:r>
              <w:rPr>
                <w:sz w:val="20"/>
              </w:rPr>
              <w:t>57,200</w:t>
            </w:r>
          </w:p>
        </w:tc>
        <w:tc>
          <w:tcPr>
            <w:tcW w:type="dxa" w:w="1234"/>
            <w:tcBorders>
              <w:top w:sz="4" w:val="nil"/>
              <w:left w:color="000000" w:sz="4" w:val="single"/>
              <w:bottom w:color="000000" w:sz="4" w:val="single"/>
              <w:right w:color="000000" w:sz="4" w:val="single"/>
            </w:tcBorders>
            <w:vAlign w:val="center"/>
          </w:tcPr>
          <w:p w14:paraId="560D0000">
            <w:pPr>
              <w:spacing w:line="240" w:lineRule="auto"/>
              <w:ind/>
              <w:jc w:val="center"/>
              <w:rPr>
                <w:sz w:val="20"/>
              </w:rPr>
            </w:pPr>
            <w:r>
              <w:rPr>
                <w:sz w:val="20"/>
              </w:rPr>
              <w:t>2,496</w:t>
            </w:r>
          </w:p>
        </w:tc>
        <w:tc>
          <w:tcPr>
            <w:tcW w:type="dxa" w:w="1429"/>
            <w:tcBorders>
              <w:top w:sz="4" w:val="nil"/>
              <w:left w:color="000000" w:sz="4" w:val="single"/>
              <w:bottom w:color="000000" w:sz="4" w:val="single"/>
              <w:right w:color="000000" w:sz="4" w:val="single"/>
            </w:tcBorders>
            <w:vAlign w:val="center"/>
          </w:tcPr>
          <w:p w14:paraId="570D0000">
            <w:pPr>
              <w:spacing w:line="240" w:lineRule="auto"/>
              <w:ind/>
              <w:jc w:val="center"/>
              <w:rPr>
                <w:sz w:val="20"/>
              </w:rPr>
            </w:pPr>
            <w:r>
              <w:rPr>
                <w:sz w:val="20"/>
              </w:rPr>
              <w:t>14,65</w:t>
            </w:r>
          </w:p>
        </w:tc>
      </w:tr>
      <w:tr>
        <w:tc>
          <w:tcPr>
            <w:tcW w:type="dxa" w:w="5326"/>
            <w:tcBorders>
              <w:top w:sz="4" w:val="nil"/>
              <w:left w:color="000000" w:sz="4" w:val="single"/>
              <w:bottom w:color="000000" w:sz="4" w:val="single"/>
              <w:right w:color="000000" w:sz="4" w:val="single"/>
            </w:tcBorders>
            <w:vAlign w:val="center"/>
          </w:tcPr>
          <w:p w14:paraId="580D0000">
            <w:pPr>
              <w:ind/>
              <w:jc w:val="center"/>
              <w:rPr>
                <w:sz w:val="20"/>
              </w:rPr>
            </w:pPr>
            <w:r>
              <w:rPr>
                <w:sz w:val="20"/>
              </w:rPr>
              <w:t>с. Куйбышево, ул. Пролетарская, 5</w:t>
            </w:r>
          </w:p>
        </w:tc>
        <w:tc>
          <w:tcPr>
            <w:tcW w:type="dxa" w:w="1541"/>
            <w:tcBorders>
              <w:top w:sz="4" w:val="nil"/>
              <w:left w:color="000000" w:sz="4" w:val="single"/>
              <w:bottom w:color="000000" w:sz="4" w:val="single"/>
              <w:right w:color="000000" w:sz="4" w:val="single"/>
            </w:tcBorders>
            <w:vAlign w:val="bottom"/>
          </w:tcPr>
          <w:p w14:paraId="590D0000">
            <w:pPr>
              <w:spacing w:line="240" w:lineRule="auto"/>
              <w:ind/>
              <w:jc w:val="center"/>
              <w:rPr>
                <w:sz w:val="20"/>
              </w:rPr>
            </w:pPr>
            <w:r>
              <w:rPr>
                <w:sz w:val="20"/>
              </w:rPr>
              <w:t>110,760</w:t>
            </w:r>
          </w:p>
        </w:tc>
        <w:tc>
          <w:tcPr>
            <w:tcW w:type="dxa" w:w="1234"/>
            <w:tcBorders>
              <w:top w:sz="4" w:val="nil"/>
              <w:left w:color="000000" w:sz="4" w:val="single"/>
              <w:bottom w:color="000000" w:sz="4" w:val="single"/>
              <w:right w:color="000000" w:sz="4" w:val="single"/>
            </w:tcBorders>
            <w:vAlign w:val="center"/>
          </w:tcPr>
          <w:p w14:paraId="5A0D0000">
            <w:pPr>
              <w:spacing w:line="240" w:lineRule="auto"/>
              <w:ind/>
              <w:jc w:val="center"/>
              <w:rPr>
                <w:sz w:val="20"/>
              </w:rPr>
            </w:pPr>
            <w:r>
              <w:rPr>
                <w:sz w:val="20"/>
              </w:rPr>
              <w:t>3,204</w:t>
            </w:r>
          </w:p>
        </w:tc>
        <w:tc>
          <w:tcPr>
            <w:tcW w:type="dxa" w:w="1429"/>
            <w:tcBorders>
              <w:top w:sz="4" w:val="nil"/>
              <w:left w:color="000000" w:sz="4" w:val="single"/>
              <w:bottom w:color="000000" w:sz="4" w:val="single"/>
              <w:right w:color="000000" w:sz="4" w:val="single"/>
            </w:tcBorders>
            <w:vAlign w:val="center"/>
          </w:tcPr>
          <w:p w14:paraId="5B0D0000">
            <w:pPr>
              <w:spacing w:line="240" w:lineRule="auto"/>
              <w:ind/>
              <w:jc w:val="center"/>
              <w:rPr>
                <w:sz w:val="20"/>
              </w:rPr>
            </w:pPr>
            <w:r>
              <w:rPr>
                <w:sz w:val="20"/>
              </w:rPr>
              <w:t>18,8</w:t>
            </w:r>
          </w:p>
        </w:tc>
      </w:tr>
      <w:tr>
        <w:tc>
          <w:tcPr>
            <w:tcW w:type="dxa" w:w="5326"/>
            <w:tcBorders>
              <w:top w:sz="4" w:val="nil"/>
              <w:left w:color="000000" w:sz="4" w:val="single"/>
              <w:bottom w:color="000000" w:sz="4" w:val="single"/>
              <w:right w:color="000000" w:sz="4" w:val="single"/>
            </w:tcBorders>
            <w:vAlign w:val="center"/>
          </w:tcPr>
          <w:p w14:paraId="5C0D0000">
            <w:pPr>
              <w:ind/>
              <w:jc w:val="center"/>
              <w:rPr>
                <w:sz w:val="20"/>
              </w:rPr>
            </w:pPr>
            <w:r>
              <w:rPr>
                <w:sz w:val="20"/>
              </w:rPr>
              <w:t>с. Куйбышево, ул. Театральная, 22</w:t>
            </w:r>
          </w:p>
        </w:tc>
        <w:tc>
          <w:tcPr>
            <w:tcW w:type="dxa" w:w="1541"/>
            <w:tcBorders>
              <w:top w:sz="4" w:val="nil"/>
              <w:left w:color="000000" w:sz="4" w:val="single"/>
              <w:bottom w:color="000000" w:sz="4" w:val="single"/>
              <w:right w:color="000000" w:sz="4" w:val="single"/>
            </w:tcBorders>
            <w:vAlign w:val="bottom"/>
          </w:tcPr>
          <w:p w14:paraId="5D0D0000">
            <w:pPr>
              <w:spacing w:line="240" w:lineRule="auto"/>
              <w:ind/>
              <w:jc w:val="center"/>
              <w:rPr>
                <w:sz w:val="20"/>
              </w:rPr>
            </w:pPr>
            <w:r>
              <w:rPr>
                <w:sz w:val="20"/>
              </w:rPr>
              <w:t>109,200</w:t>
            </w:r>
          </w:p>
        </w:tc>
        <w:tc>
          <w:tcPr>
            <w:tcW w:type="dxa" w:w="1234"/>
            <w:tcBorders>
              <w:top w:sz="4" w:val="nil"/>
              <w:left w:color="000000" w:sz="4" w:val="single"/>
              <w:bottom w:color="000000" w:sz="4" w:val="single"/>
              <w:right w:color="000000" w:sz="4" w:val="single"/>
            </w:tcBorders>
            <w:vAlign w:val="center"/>
          </w:tcPr>
          <w:p w14:paraId="5E0D0000">
            <w:pPr>
              <w:spacing w:line="240" w:lineRule="auto"/>
              <w:ind/>
              <w:jc w:val="center"/>
              <w:rPr>
                <w:sz w:val="20"/>
              </w:rPr>
            </w:pPr>
            <w:r>
              <w:rPr>
                <w:sz w:val="20"/>
              </w:rPr>
              <w:t>5,896</w:t>
            </w:r>
          </w:p>
        </w:tc>
        <w:tc>
          <w:tcPr>
            <w:tcW w:type="dxa" w:w="1429"/>
            <w:tcBorders>
              <w:top w:sz="4" w:val="nil"/>
              <w:left w:color="000000" w:sz="4" w:val="single"/>
              <w:bottom w:color="000000" w:sz="4" w:val="single"/>
              <w:right w:color="000000" w:sz="4" w:val="single"/>
            </w:tcBorders>
            <w:vAlign w:val="center"/>
          </w:tcPr>
          <w:p w14:paraId="5F0D0000">
            <w:pPr>
              <w:spacing w:line="240" w:lineRule="auto"/>
              <w:ind/>
              <w:jc w:val="center"/>
              <w:rPr>
                <w:sz w:val="20"/>
              </w:rPr>
            </w:pPr>
            <w:r>
              <w:rPr>
                <w:sz w:val="20"/>
              </w:rPr>
              <w:t>34,62</w:t>
            </w:r>
          </w:p>
        </w:tc>
      </w:tr>
      <w:tr>
        <w:tc>
          <w:tcPr>
            <w:tcW w:type="dxa" w:w="5326"/>
            <w:tcBorders>
              <w:top w:sz="4" w:val="nil"/>
              <w:left w:color="000000" w:sz="4" w:val="single"/>
              <w:bottom w:color="000000" w:sz="4" w:val="single"/>
              <w:right w:color="000000" w:sz="4" w:val="single"/>
            </w:tcBorders>
            <w:vAlign w:val="center"/>
          </w:tcPr>
          <w:p w14:paraId="600D0000">
            <w:pPr>
              <w:ind/>
              <w:jc w:val="center"/>
              <w:rPr>
                <w:sz w:val="20"/>
              </w:rPr>
            </w:pPr>
            <w:r>
              <w:rPr>
                <w:sz w:val="20"/>
              </w:rPr>
              <w:t>х. Свободный, ул. Победы, 29</w:t>
            </w:r>
          </w:p>
        </w:tc>
        <w:tc>
          <w:tcPr>
            <w:tcW w:type="dxa" w:w="1541"/>
            <w:tcBorders>
              <w:top w:sz="4" w:val="nil"/>
              <w:left w:color="000000" w:sz="4" w:val="single"/>
              <w:bottom w:color="000000" w:sz="4" w:val="single"/>
              <w:right w:color="000000" w:sz="4" w:val="single"/>
            </w:tcBorders>
            <w:vAlign w:val="bottom"/>
          </w:tcPr>
          <w:p w14:paraId="610D0000">
            <w:pPr>
              <w:spacing w:line="240" w:lineRule="auto"/>
              <w:ind/>
              <w:jc w:val="center"/>
              <w:rPr>
                <w:sz w:val="20"/>
              </w:rPr>
            </w:pPr>
            <w:r>
              <w:rPr>
                <w:sz w:val="20"/>
              </w:rPr>
              <w:t>23,192</w:t>
            </w:r>
          </w:p>
        </w:tc>
        <w:tc>
          <w:tcPr>
            <w:tcW w:type="dxa" w:w="1234"/>
            <w:tcBorders>
              <w:top w:sz="4" w:val="nil"/>
              <w:left w:color="000000" w:sz="4" w:val="single"/>
              <w:bottom w:color="000000" w:sz="4" w:val="single"/>
              <w:right w:color="000000" w:sz="4" w:val="single"/>
            </w:tcBorders>
            <w:vAlign w:val="center"/>
          </w:tcPr>
          <w:p w14:paraId="620D0000">
            <w:pPr>
              <w:spacing w:line="240" w:lineRule="auto"/>
              <w:ind/>
              <w:jc w:val="center"/>
              <w:rPr>
                <w:sz w:val="20"/>
              </w:rPr>
            </w:pPr>
            <w:r>
              <w:rPr>
                <w:sz w:val="20"/>
              </w:rPr>
              <w:t>1,101</w:t>
            </w:r>
          </w:p>
        </w:tc>
        <w:tc>
          <w:tcPr>
            <w:tcW w:type="dxa" w:w="1429"/>
            <w:tcBorders>
              <w:top w:sz="4" w:val="nil"/>
              <w:left w:color="000000" w:sz="4" w:val="single"/>
              <w:bottom w:color="000000" w:sz="4" w:val="single"/>
              <w:right w:color="000000" w:sz="4" w:val="single"/>
            </w:tcBorders>
            <w:vAlign w:val="center"/>
          </w:tcPr>
          <w:p w14:paraId="630D0000">
            <w:pPr>
              <w:spacing w:line="240" w:lineRule="auto"/>
              <w:ind/>
              <w:jc w:val="center"/>
              <w:rPr>
                <w:sz w:val="20"/>
              </w:rPr>
            </w:pPr>
            <w:r>
              <w:rPr>
                <w:sz w:val="20"/>
              </w:rPr>
              <w:t>6,46</w:t>
            </w:r>
          </w:p>
        </w:tc>
      </w:tr>
      <w:tr>
        <w:tc>
          <w:tcPr>
            <w:tcW w:type="dxa" w:w="5326"/>
            <w:tcBorders>
              <w:top w:sz="4" w:val="nil"/>
              <w:left w:color="000000" w:sz="4" w:val="single"/>
              <w:bottom w:color="000000" w:sz="4" w:val="single"/>
              <w:right w:color="000000" w:sz="4" w:val="single"/>
            </w:tcBorders>
            <w:vAlign w:val="center"/>
          </w:tcPr>
          <w:p w14:paraId="640D0000">
            <w:pPr>
              <w:ind/>
              <w:jc w:val="center"/>
              <w:rPr>
                <w:sz w:val="20"/>
              </w:rPr>
            </w:pPr>
            <w:r>
              <w:rPr>
                <w:sz w:val="20"/>
              </w:rPr>
              <w:t xml:space="preserve">х. </w:t>
            </w:r>
            <w:r>
              <w:rPr>
                <w:sz w:val="20"/>
              </w:rPr>
              <w:t>Новобахмутский, ул. Широкая, 89 а</w:t>
            </w:r>
          </w:p>
        </w:tc>
        <w:tc>
          <w:tcPr>
            <w:tcW w:type="dxa" w:w="1541"/>
            <w:tcBorders>
              <w:top w:sz="4" w:val="nil"/>
              <w:left w:color="000000" w:sz="4" w:val="single"/>
              <w:bottom w:color="000000" w:sz="4" w:val="single"/>
              <w:right w:color="000000" w:sz="4" w:val="single"/>
            </w:tcBorders>
            <w:vAlign w:val="bottom"/>
          </w:tcPr>
          <w:p w14:paraId="650D0000">
            <w:pPr>
              <w:spacing w:line="240" w:lineRule="auto"/>
              <w:ind/>
              <w:jc w:val="center"/>
              <w:rPr>
                <w:sz w:val="20"/>
              </w:rPr>
            </w:pPr>
            <w:r>
              <w:rPr>
                <w:sz w:val="20"/>
              </w:rPr>
              <w:t>30,992</w:t>
            </w:r>
          </w:p>
        </w:tc>
        <w:tc>
          <w:tcPr>
            <w:tcW w:type="dxa" w:w="1234"/>
            <w:tcBorders>
              <w:top w:sz="4" w:val="nil"/>
              <w:left w:color="000000" w:sz="4" w:val="single"/>
              <w:bottom w:color="000000" w:sz="4" w:val="single"/>
              <w:right w:color="000000" w:sz="4" w:val="single"/>
            </w:tcBorders>
            <w:vAlign w:val="center"/>
          </w:tcPr>
          <w:p w14:paraId="660D0000">
            <w:pPr>
              <w:spacing w:line="240" w:lineRule="auto"/>
              <w:ind/>
              <w:jc w:val="center"/>
              <w:rPr>
                <w:sz w:val="20"/>
              </w:rPr>
            </w:pPr>
            <w:r>
              <w:rPr>
                <w:sz w:val="20"/>
              </w:rPr>
              <w:t>0,983</w:t>
            </w:r>
          </w:p>
        </w:tc>
        <w:tc>
          <w:tcPr>
            <w:tcW w:type="dxa" w:w="1429"/>
            <w:tcBorders>
              <w:top w:sz="4" w:val="nil"/>
              <w:left w:color="000000" w:sz="4" w:val="single"/>
              <w:bottom w:color="000000" w:sz="4" w:val="single"/>
              <w:right w:color="000000" w:sz="4" w:val="single"/>
            </w:tcBorders>
            <w:vAlign w:val="center"/>
          </w:tcPr>
          <w:p w14:paraId="670D0000">
            <w:pPr>
              <w:spacing w:line="240" w:lineRule="auto"/>
              <w:ind/>
              <w:jc w:val="center"/>
              <w:rPr>
                <w:sz w:val="20"/>
              </w:rPr>
            </w:pPr>
            <w:r>
              <w:rPr>
                <w:sz w:val="20"/>
              </w:rPr>
              <w:t>5,77</w:t>
            </w:r>
          </w:p>
        </w:tc>
      </w:tr>
      <w:tr>
        <w:tc>
          <w:tcPr>
            <w:tcW w:type="dxa" w:w="5326"/>
            <w:tcBorders>
              <w:top w:sz="4" w:val="nil"/>
              <w:left w:color="000000" w:sz="4" w:val="single"/>
              <w:bottom w:color="000000" w:sz="4" w:val="single"/>
              <w:right w:color="000000" w:sz="4" w:val="single"/>
            </w:tcBorders>
            <w:vAlign w:val="center"/>
          </w:tcPr>
          <w:p w14:paraId="680D0000">
            <w:pPr>
              <w:ind/>
              <w:jc w:val="center"/>
              <w:rPr>
                <w:sz w:val="20"/>
              </w:rPr>
            </w:pPr>
            <w:r>
              <w:rPr>
                <w:sz w:val="20"/>
              </w:rPr>
              <w:t>с. Русское, ул. Красноармейская, 1</w:t>
            </w:r>
          </w:p>
        </w:tc>
        <w:tc>
          <w:tcPr>
            <w:tcW w:type="dxa" w:w="1541"/>
            <w:tcBorders>
              <w:top w:sz="4" w:val="nil"/>
              <w:left w:color="000000" w:sz="4" w:val="single"/>
              <w:bottom w:color="000000" w:sz="4" w:val="single"/>
              <w:right w:color="000000" w:sz="4" w:val="single"/>
            </w:tcBorders>
            <w:vAlign w:val="bottom"/>
          </w:tcPr>
          <w:p w14:paraId="690D0000">
            <w:pPr>
              <w:spacing w:line="240" w:lineRule="auto"/>
              <w:ind/>
              <w:jc w:val="center"/>
              <w:rPr>
                <w:sz w:val="20"/>
              </w:rPr>
            </w:pPr>
            <w:r>
              <w:rPr>
                <w:sz w:val="20"/>
              </w:rPr>
              <w:t>109,512</w:t>
            </w:r>
          </w:p>
        </w:tc>
        <w:tc>
          <w:tcPr>
            <w:tcW w:type="dxa" w:w="1234"/>
            <w:tcBorders>
              <w:top w:sz="4" w:val="nil"/>
              <w:left w:color="000000" w:sz="4" w:val="single"/>
              <w:bottom w:color="000000" w:sz="4" w:val="single"/>
              <w:right w:color="000000" w:sz="4" w:val="single"/>
            </w:tcBorders>
            <w:vAlign w:val="center"/>
          </w:tcPr>
          <w:p w14:paraId="6A0D0000">
            <w:pPr>
              <w:spacing w:line="240" w:lineRule="auto"/>
              <w:ind/>
              <w:jc w:val="center"/>
              <w:rPr>
                <w:sz w:val="20"/>
              </w:rPr>
            </w:pPr>
            <w:r>
              <w:rPr>
                <w:sz w:val="20"/>
              </w:rPr>
              <w:t>3,439</w:t>
            </w:r>
          </w:p>
        </w:tc>
        <w:tc>
          <w:tcPr>
            <w:tcW w:type="dxa" w:w="1429"/>
            <w:tcBorders>
              <w:top w:sz="4" w:val="nil"/>
              <w:left w:color="000000" w:sz="4" w:val="single"/>
              <w:bottom w:color="000000" w:sz="4" w:val="single"/>
              <w:right w:color="000000" w:sz="4" w:val="single"/>
            </w:tcBorders>
            <w:vAlign w:val="center"/>
          </w:tcPr>
          <w:p w14:paraId="6B0D0000">
            <w:pPr>
              <w:spacing w:line="240" w:lineRule="auto"/>
              <w:ind/>
              <w:jc w:val="center"/>
              <w:rPr>
                <w:sz w:val="20"/>
              </w:rPr>
            </w:pPr>
            <w:r>
              <w:rPr>
                <w:sz w:val="20"/>
              </w:rPr>
              <w:t>20,195</w:t>
            </w:r>
          </w:p>
        </w:tc>
      </w:tr>
      <w:tr>
        <w:tc>
          <w:tcPr>
            <w:tcW w:type="dxa" w:w="5326"/>
            <w:tcBorders>
              <w:top w:sz="4" w:val="nil"/>
              <w:left w:color="000000" w:sz="4" w:val="single"/>
              <w:bottom w:color="000000" w:sz="4" w:val="single"/>
              <w:right w:color="000000" w:sz="4" w:val="single"/>
            </w:tcBorders>
            <w:vAlign w:val="center"/>
          </w:tcPr>
          <w:p w14:paraId="6C0D0000">
            <w:pPr>
              <w:ind/>
              <w:jc w:val="center"/>
              <w:rPr>
                <w:sz w:val="20"/>
              </w:rPr>
            </w:pPr>
            <w:r>
              <w:rPr>
                <w:sz w:val="20"/>
              </w:rPr>
              <w:t>с. Куйбышево, ул. Цветаева, 31</w:t>
            </w:r>
          </w:p>
        </w:tc>
        <w:tc>
          <w:tcPr>
            <w:tcW w:type="dxa" w:w="1541"/>
            <w:tcBorders>
              <w:top w:sz="4" w:val="nil"/>
              <w:left w:color="000000" w:sz="4" w:val="single"/>
              <w:bottom w:color="000000" w:sz="4" w:val="single"/>
              <w:right w:color="000000" w:sz="4" w:val="single"/>
            </w:tcBorders>
            <w:vAlign w:val="bottom"/>
          </w:tcPr>
          <w:p w14:paraId="6D0D0000">
            <w:pPr>
              <w:spacing w:line="240" w:lineRule="auto"/>
              <w:ind/>
              <w:jc w:val="center"/>
              <w:rPr>
                <w:sz w:val="20"/>
              </w:rPr>
            </w:pPr>
            <w:r>
              <w:rPr>
                <w:sz w:val="20"/>
              </w:rPr>
              <w:t>24,128</w:t>
            </w:r>
          </w:p>
        </w:tc>
        <w:tc>
          <w:tcPr>
            <w:tcW w:type="dxa" w:w="1234"/>
            <w:tcBorders>
              <w:top w:sz="4" w:val="nil"/>
              <w:left w:color="000000" w:sz="4" w:val="single"/>
              <w:bottom w:color="000000" w:sz="4" w:val="single"/>
              <w:right w:color="000000" w:sz="4" w:val="single"/>
            </w:tcBorders>
            <w:vAlign w:val="center"/>
          </w:tcPr>
          <w:p w14:paraId="6E0D0000">
            <w:pPr>
              <w:spacing w:line="240" w:lineRule="auto"/>
              <w:ind/>
              <w:jc w:val="center"/>
              <w:rPr>
                <w:sz w:val="20"/>
              </w:rPr>
            </w:pPr>
            <w:r>
              <w:rPr>
                <w:sz w:val="20"/>
              </w:rPr>
              <w:t>1,690</w:t>
            </w:r>
          </w:p>
        </w:tc>
        <w:tc>
          <w:tcPr>
            <w:tcW w:type="dxa" w:w="1429"/>
            <w:tcBorders>
              <w:top w:sz="4" w:val="nil"/>
              <w:left w:color="000000" w:sz="4" w:val="single"/>
              <w:bottom w:color="000000" w:sz="4" w:val="single"/>
              <w:right w:color="000000" w:sz="4" w:val="single"/>
            </w:tcBorders>
            <w:vAlign w:val="center"/>
          </w:tcPr>
          <w:p w14:paraId="6F0D0000">
            <w:pPr>
              <w:spacing w:line="240" w:lineRule="auto"/>
              <w:ind/>
              <w:jc w:val="center"/>
              <w:rPr>
                <w:sz w:val="20"/>
              </w:rPr>
            </w:pPr>
            <w:r>
              <w:rPr>
                <w:sz w:val="20"/>
              </w:rPr>
              <w:t>9,92</w:t>
            </w:r>
          </w:p>
        </w:tc>
      </w:tr>
      <w:tr>
        <w:tc>
          <w:tcPr>
            <w:tcW w:type="dxa" w:w="5326"/>
            <w:tcBorders>
              <w:top w:sz="4" w:val="nil"/>
              <w:left w:color="000000" w:sz="4" w:val="single"/>
              <w:bottom w:color="000000" w:sz="4" w:val="single"/>
              <w:right w:color="000000" w:sz="4" w:val="single"/>
            </w:tcBorders>
            <w:vAlign w:val="center"/>
          </w:tcPr>
          <w:p w14:paraId="700D0000">
            <w:pPr>
              <w:ind/>
              <w:jc w:val="center"/>
              <w:rPr>
                <w:sz w:val="20"/>
              </w:rPr>
            </w:pPr>
            <w:r>
              <w:rPr>
                <w:sz w:val="20"/>
              </w:rPr>
              <w:t>с. Куйбышево, ул. Куйбышевская, 24</w:t>
            </w:r>
          </w:p>
        </w:tc>
        <w:tc>
          <w:tcPr>
            <w:tcW w:type="dxa" w:w="1541"/>
            <w:tcBorders>
              <w:top w:sz="4" w:val="nil"/>
              <w:left w:color="000000" w:sz="4" w:val="single"/>
              <w:bottom w:color="000000" w:sz="4" w:val="single"/>
              <w:right w:color="000000" w:sz="4" w:val="single"/>
            </w:tcBorders>
            <w:vAlign w:val="bottom"/>
          </w:tcPr>
          <w:p w14:paraId="710D0000">
            <w:pPr>
              <w:spacing w:line="240" w:lineRule="auto"/>
              <w:ind/>
              <w:jc w:val="center"/>
              <w:rPr>
                <w:sz w:val="20"/>
              </w:rPr>
            </w:pPr>
            <w:r>
              <w:rPr>
                <w:sz w:val="20"/>
              </w:rPr>
              <w:t>230,108</w:t>
            </w:r>
          </w:p>
        </w:tc>
        <w:tc>
          <w:tcPr>
            <w:tcW w:type="dxa" w:w="1234"/>
            <w:tcBorders>
              <w:top w:sz="4" w:val="nil"/>
              <w:left w:color="000000" w:sz="4" w:val="single"/>
              <w:bottom w:color="000000" w:sz="4" w:val="single"/>
              <w:right w:color="000000" w:sz="4" w:val="single"/>
            </w:tcBorders>
            <w:vAlign w:val="center"/>
          </w:tcPr>
          <w:p w14:paraId="720D0000">
            <w:pPr>
              <w:spacing w:line="240" w:lineRule="auto"/>
              <w:ind/>
              <w:jc w:val="center"/>
              <w:rPr>
                <w:sz w:val="20"/>
              </w:rPr>
            </w:pPr>
            <w:r>
              <w:rPr>
                <w:sz w:val="20"/>
              </w:rPr>
              <w:t>7,174</w:t>
            </w:r>
          </w:p>
        </w:tc>
        <w:tc>
          <w:tcPr>
            <w:tcW w:type="dxa" w:w="1429"/>
            <w:tcBorders>
              <w:top w:sz="4" w:val="nil"/>
              <w:left w:color="000000" w:sz="4" w:val="single"/>
              <w:bottom w:color="000000" w:sz="4" w:val="single"/>
              <w:right w:color="000000" w:sz="4" w:val="single"/>
            </w:tcBorders>
            <w:vAlign w:val="center"/>
          </w:tcPr>
          <w:p w14:paraId="730D0000">
            <w:pPr>
              <w:spacing w:line="240" w:lineRule="auto"/>
              <w:ind/>
              <w:jc w:val="center"/>
              <w:rPr>
                <w:sz w:val="20"/>
              </w:rPr>
            </w:pPr>
            <w:r>
              <w:rPr>
                <w:sz w:val="20"/>
              </w:rPr>
              <w:t>42,12</w:t>
            </w:r>
          </w:p>
        </w:tc>
      </w:tr>
      <w:tr>
        <w:tc>
          <w:tcPr>
            <w:tcW w:type="dxa" w:w="5326"/>
            <w:tcBorders>
              <w:top w:sz="4" w:val="nil"/>
              <w:left w:color="000000" w:sz="4" w:val="single"/>
              <w:bottom w:color="000000" w:sz="4" w:val="single"/>
              <w:right w:color="000000" w:sz="4" w:val="single"/>
            </w:tcBorders>
            <w:vAlign w:val="center"/>
          </w:tcPr>
          <w:p w14:paraId="740D0000">
            <w:pPr>
              <w:ind/>
              <w:jc w:val="center"/>
              <w:rPr>
                <w:sz w:val="20"/>
              </w:rPr>
            </w:pPr>
            <w:r>
              <w:rPr>
                <w:sz w:val="20"/>
              </w:rPr>
              <w:t>с. Куйбышево, ул. Куйбышевская, 20</w:t>
            </w:r>
          </w:p>
        </w:tc>
        <w:tc>
          <w:tcPr>
            <w:tcW w:type="dxa" w:w="1541"/>
            <w:tcBorders>
              <w:top w:sz="4" w:val="nil"/>
              <w:left w:color="000000" w:sz="4" w:val="single"/>
              <w:bottom w:color="000000" w:sz="4" w:val="single"/>
              <w:right w:color="000000" w:sz="4" w:val="single"/>
            </w:tcBorders>
            <w:vAlign w:val="bottom"/>
          </w:tcPr>
          <w:p w14:paraId="750D0000">
            <w:pPr>
              <w:spacing w:line="240" w:lineRule="auto"/>
              <w:ind/>
              <w:jc w:val="center"/>
              <w:rPr>
                <w:sz w:val="20"/>
              </w:rPr>
            </w:pPr>
            <w:r>
              <w:rPr>
                <w:sz w:val="20"/>
              </w:rPr>
              <w:t>40,773</w:t>
            </w:r>
          </w:p>
        </w:tc>
        <w:tc>
          <w:tcPr>
            <w:tcW w:type="dxa" w:w="1234"/>
            <w:tcBorders>
              <w:top w:sz="4" w:val="nil"/>
              <w:left w:color="000000" w:sz="4" w:val="single"/>
              <w:bottom w:color="000000" w:sz="4" w:val="single"/>
              <w:right w:color="000000" w:sz="4" w:val="single"/>
            </w:tcBorders>
            <w:vAlign w:val="center"/>
          </w:tcPr>
          <w:p w14:paraId="760D0000">
            <w:pPr>
              <w:spacing w:line="240" w:lineRule="auto"/>
              <w:ind/>
              <w:jc w:val="center"/>
              <w:rPr>
                <w:sz w:val="20"/>
              </w:rPr>
            </w:pPr>
            <w:r>
              <w:rPr>
                <w:sz w:val="20"/>
              </w:rPr>
              <w:t>2,064</w:t>
            </w:r>
          </w:p>
        </w:tc>
        <w:tc>
          <w:tcPr>
            <w:tcW w:type="dxa" w:w="1429"/>
            <w:tcBorders>
              <w:top w:sz="4" w:val="nil"/>
              <w:left w:color="000000" w:sz="4" w:val="single"/>
              <w:bottom w:color="000000" w:sz="4" w:val="single"/>
              <w:right w:color="000000" w:sz="4" w:val="single"/>
            </w:tcBorders>
            <w:vAlign w:val="center"/>
          </w:tcPr>
          <w:p w14:paraId="770D0000">
            <w:pPr>
              <w:spacing w:line="240" w:lineRule="auto"/>
              <w:ind/>
              <w:jc w:val="center"/>
              <w:rPr>
                <w:sz w:val="20"/>
              </w:rPr>
            </w:pPr>
            <w:r>
              <w:rPr>
                <w:sz w:val="20"/>
              </w:rPr>
              <w:t>12,117</w:t>
            </w:r>
          </w:p>
        </w:tc>
      </w:tr>
      <w:tr>
        <w:tc>
          <w:tcPr>
            <w:tcW w:type="dxa" w:w="5326"/>
            <w:tcBorders>
              <w:top w:sz="4" w:val="nil"/>
              <w:left w:color="000000" w:sz="4" w:val="single"/>
              <w:bottom w:color="000000" w:sz="4" w:val="single"/>
              <w:right w:color="000000" w:sz="4" w:val="single"/>
            </w:tcBorders>
            <w:vAlign w:val="center"/>
          </w:tcPr>
          <w:p w14:paraId="780D0000">
            <w:pPr>
              <w:ind/>
              <w:jc w:val="center"/>
              <w:rPr>
                <w:sz w:val="20"/>
              </w:rPr>
            </w:pPr>
            <w:r>
              <w:rPr>
                <w:sz w:val="20"/>
              </w:rPr>
              <w:t>с. Куйбышево, ул. Миусская, 3 * 10 объектов</w:t>
            </w:r>
          </w:p>
        </w:tc>
        <w:tc>
          <w:tcPr>
            <w:tcW w:type="dxa" w:w="1541"/>
            <w:tcBorders>
              <w:top w:color="000000" w:sz="4" w:val="single"/>
              <w:left w:color="000000" w:sz="4" w:val="single"/>
              <w:bottom w:color="000000" w:sz="4" w:val="single"/>
              <w:right w:color="000000" w:sz="4" w:val="single"/>
            </w:tcBorders>
            <w:vAlign w:val="center"/>
          </w:tcPr>
          <w:p w14:paraId="790D0000">
            <w:pPr>
              <w:spacing w:line="240" w:lineRule="auto"/>
              <w:ind/>
              <w:jc w:val="center"/>
              <w:rPr>
                <w:sz w:val="20"/>
              </w:rPr>
            </w:pPr>
            <w:r>
              <w:rPr>
                <w:sz w:val="20"/>
              </w:rPr>
              <w:t>858,047</w:t>
            </w:r>
          </w:p>
        </w:tc>
        <w:tc>
          <w:tcPr>
            <w:tcW w:type="dxa" w:w="1234"/>
            <w:tcBorders>
              <w:top w:color="000000" w:sz="4" w:val="single"/>
              <w:left w:color="000000" w:sz="4" w:val="single"/>
              <w:bottom w:color="000000" w:sz="4" w:val="single"/>
              <w:right w:color="000000" w:sz="4" w:val="single"/>
            </w:tcBorders>
            <w:vAlign w:val="center"/>
          </w:tcPr>
          <w:p w14:paraId="7A0D0000">
            <w:pPr>
              <w:spacing w:line="240" w:lineRule="auto"/>
              <w:ind/>
              <w:jc w:val="center"/>
              <w:rPr>
                <w:sz w:val="20"/>
              </w:rPr>
            </w:pPr>
            <w:r>
              <w:rPr>
                <w:sz w:val="20"/>
              </w:rPr>
              <w:t>26,946</w:t>
            </w:r>
          </w:p>
        </w:tc>
        <w:tc>
          <w:tcPr>
            <w:tcW w:type="dxa" w:w="1429"/>
            <w:tcBorders>
              <w:top w:color="000000" w:sz="4" w:val="single"/>
              <w:left w:color="000000" w:sz="4" w:val="single"/>
              <w:bottom w:color="000000" w:sz="4" w:val="single"/>
              <w:right w:color="000000" w:sz="4" w:val="single"/>
            </w:tcBorders>
            <w:vAlign w:val="center"/>
          </w:tcPr>
          <w:p w14:paraId="7B0D0000">
            <w:pPr>
              <w:spacing w:line="240" w:lineRule="auto"/>
              <w:ind/>
              <w:jc w:val="center"/>
              <w:rPr>
                <w:sz w:val="20"/>
              </w:rPr>
            </w:pPr>
            <w:r>
              <w:rPr>
                <w:sz w:val="20"/>
              </w:rPr>
              <w:t>158,21</w:t>
            </w:r>
          </w:p>
        </w:tc>
      </w:tr>
    </w:tbl>
    <w:p w14:paraId="7C0D0000">
      <w:pPr>
        <w:spacing w:after="0" w:line="240" w:lineRule="auto"/>
        <w:ind/>
        <w:jc w:val="both"/>
        <w:rPr>
          <w:sz w:val="28"/>
        </w:rPr>
      </w:pPr>
    </w:p>
    <w:p w14:paraId="7D0D0000">
      <w:pPr>
        <w:spacing w:line="240" w:lineRule="auto"/>
        <w:ind w:firstLine="709" w:left="0"/>
        <w:jc w:val="both"/>
        <w:rPr>
          <w:sz w:val="28"/>
        </w:rPr>
      </w:pPr>
      <w:r>
        <w:rPr>
          <w:sz w:val="28"/>
        </w:rPr>
        <w:t xml:space="preserve">в) Вид топлива, потребляемый источником тепловой энергии, в том числе с использованием возобновляемых источников энергии и местных видов топлива. </w:t>
      </w:r>
    </w:p>
    <w:p w14:paraId="7E0D0000">
      <w:pPr>
        <w:spacing w:line="240" w:lineRule="auto"/>
        <w:ind w:firstLine="709" w:left="0"/>
        <w:jc w:val="both"/>
        <w:rPr>
          <w:sz w:val="28"/>
        </w:rPr>
      </w:pPr>
      <w:r>
        <w:rPr>
          <w:sz w:val="28"/>
        </w:rPr>
        <w:t xml:space="preserve">На территории Куйбышевского сельского поселения вид топлива, </w:t>
      </w:r>
    </w:p>
    <w:p w14:paraId="7F0D0000">
      <w:pPr>
        <w:spacing w:line="240" w:lineRule="auto"/>
        <w:ind/>
        <w:jc w:val="both"/>
        <w:rPr>
          <w:sz w:val="28"/>
        </w:rPr>
      </w:pPr>
      <w:r>
        <w:rPr>
          <w:sz w:val="28"/>
        </w:rPr>
        <w:t>потребляемый источниками тепловой энергии, природный газ. Использование возобновляемых источников энергии и местных видов топлива не планируется.</w:t>
      </w:r>
    </w:p>
    <w:p w14:paraId="800D0000">
      <w:pPr>
        <w:spacing w:line="240" w:lineRule="auto"/>
        <w:ind w:firstLine="709" w:left="0"/>
        <w:jc w:val="both"/>
        <w:rPr>
          <w:sz w:val="28"/>
        </w:rPr>
      </w:pPr>
      <w:r>
        <w:rPr>
          <w:sz w:val="28"/>
        </w:rPr>
        <w:t xml:space="preserve"> г) Виды топлива, их доля и значение низшей тепл</w:t>
      </w:r>
      <w:r>
        <w:rPr>
          <w:sz w:val="28"/>
        </w:rPr>
        <w:t>оты сгорания топлива, используемые для производства тепловой энергии по каждой системе теплоснабжения.</w:t>
      </w:r>
    </w:p>
    <w:p w14:paraId="810D0000">
      <w:pPr>
        <w:spacing w:line="240" w:lineRule="auto"/>
        <w:ind w:firstLine="709" w:left="0"/>
        <w:jc w:val="both"/>
        <w:rPr>
          <w:sz w:val="28"/>
        </w:rPr>
      </w:pPr>
      <w:r>
        <w:rPr>
          <w:sz w:val="28"/>
        </w:rPr>
        <w:t>На территории Куйбышевского сельского поселения вид топлива, потребляемый источником тепловой энергии, природный газ. Доля и значение (Q</w:t>
      </w:r>
      <w:r>
        <w:rPr>
          <w:sz w:val="28"/>
          <w:vertAlign w:val="subscript"/>
        </w:rPr>
        <w:t>рн</w:t>
      </w:r>
      <w:r>
        <w:rPr>
          <w:sz w:val="28"/>
        </w:rPr>
        <w:t>) теплоты сгора</w:t>
      </w:r>
      <w:r>
        <w:rPr>
          <w:sz w:val="28"/>
        </w:rPr>
        <w:t>ния газа 8062 МДж/м</w:t>
      </w:r>
      <w:r>
        <w:rPr>
          <w:sz w:val="28"/>
          <w:vertAlign w:val="superscript"/>
        </w:rPr>
        <w:t>3</w:t>
      </w:r>
      <w:r>
        <w:rPr>
          <w:sz w:val="28"/>
        </w:rPr>
        <w:t xml:space="preserve">. </w:t>
      </w:r>
    </w:p>
    <w:p w14:paraId="820D0000">
      <w:pPr>
        <w:spacing w:line="240" w:lineRule="auto"/>
        <w:ind w:firstLine="709" w:left="0"/>
        <w:jc w:val="both"/>
        <w:rPr>
          <w:sz w:val="28"/>
        </w:rPr>
      </w:pPr>
      <w:r>
        <w:rPr>
          <w:sz w:val="28"/>
        </w:rPr>
        <w:t xml:space="preserve">д) Преобладающий в Куйбышевском сельском поселении Куйбышевского района, вид топлива, определяемый по совокупности всех систем теплоснабжения, находящихся в сельском поселении. </w:t>
      </w:r>
    </w:p>
    <w:p w14:paraId="830D0000">
      <w:pPr>
        <w:spacing w:line="240" w:lineRule="auto"/>
        <w:ind w:firstLine="709" w:left="0"/>
        <w:jc w:val="both"/>
        <w:rPr>
          <w:sz w:val="28"/>
        </w:rPr>
      </w:pPr>
      <w:r>
        <w:rPr>
          <w:sz w:val="28"/>
        </w:rPr>
        <w:t>Преобладающий вид топлива – это природный газ.</w:t>
      </w:r>
    </w:p>
    <w:p w14:paraId="840D0000">
      <w:pPr>
        <w:spacing w:line="240" w:lineRule="auto"/>
        <w:ind w:firstLine="709" w:left="0"/>
        <w:jc w:val="both"/>
        <w:rPr>
          <w:sz w:val="28"/>
        </w:rPr>
      </w:pPr>
      <w:r>
        <w:rPr>
          <w:sz w:val="28"/>
        </w:rPr>
        <w:t>е) Приор</w:t>
      </w:r>
      <w:r>
        <w:rPr>
          <w:sz w:val="28"/>
        </w:rPr>
        <w:t xml:space="preserve">итетное направление развития топливного баланса Куйбышевского сельского поселения Куйбышевского района. </w:t>
      </w:r>
    </w:p>
    <w:p w14:paraId="850D0000">
      <w:pPr>
        <w:tabs>
          <w:tab w:leader="none" w:pos="3045" w:val="left"/>
        </w:tabs>
        <w:spacing w:line="240" w:lineRule="auto"/>
        <w:ind w:firstLine="709" w:left="0"/>
        <w:jc w:val="both"/>
        <w:rPr>
          <w:sz w:val="28"/>
        </w:rPr>
      </w:pPr>
      <w:r>
        <w:rPr>
          <w:sz w:val="28"/>
        </w:rPr>
        <w:t>Приоритетное направление развития топливного баланса Куйбышевского сельского поселения определяется по топливно – энергетическому балансу Куйбышевского сельского поселения, требования к которому утверждены Приказом Министерства энергетики Российской Федера</w:t>
      </w:r>
      <w:r>
        <w:rPr>
          <w:sz w:val="28"/>
        </w:rPr>
        <w:t xml:space="preserve">ции от 14.12.2011 года № 600. </w:t>
      </w:r>
    </w:p>
    <w:p w14:paraId="860D0000">
      <w:pPr>
        <w:tabs>
          <w:tab w:leader="none" w:pos="3045" w:val="left"/>
        </w:tabs>
        <w:spacing w:line="240" w:lineRule="auto"/>
        <w:ind w:firstLine="709" w:left="0"/>
        <w:jc w:val="center"/>
        <w:rPr>
          <w:b w:val="1"/>
          <w:sz w:val="28"/>
        </w:rPr>
      </w:pPr>
      <w:r>
        <w:rPr>
          <w:b w:val="1"/>
          <w:sz w:val="28"/>
        </w:rPr>
        <w:t>Глава 11 «Оценка надёжности теплоснабженияКуйбышевского сельского поселения Куйбышевского района»</w:t>
      </w:r>
    </w:p>
    <w:p w14:paraId="870D0000">
      <w:pPr>
        <w:tabs>
          <w:tab w:leader="none" w:pos="3045" w:val="left"/>
        </w:tabs>
        <w:spacing w:after="0" w:line="240" w:lineRule="auto"/>
        <w:ind w:firstLine="709" w:left="0"/>
        <w:jc w:val="both"/>
        <w:rPr>
          <w:sz w:val="28"/>
        </w:rPr>
      </w:pPr>
      <w:r>
        <w:rPr>
          <w:sz w:val="28"/>
        </w:rPr>
        <w:t>П. 207 приказа Минэнерго РФ от 5.03.2019 г. № 212 допускает, что в состав обосновывающих материалов к схеме теплоснабжения Куйб</w:t>
      </w:r>
      <w:r>
        <w:rPr>
          <w:sz w:val="28"/>
        </w:rPr>
        <w:t>ышевского сельского поселения, в котором численность населения 7,598 тыс. человек и не превышает 100 тыс. человек, допускается не включать книги 1-18. Ниже приводится нормативно-техническое обоснование о проведении оценки надёжности теплоснабжения Куйбышев</w:t>
      </w:r>
      <w:r>
        <w:rPr>
          <w:sz w:val="28"/>
        </w:rPr>
        <w:t xml:space="preserve">ского сельского поселения, с учётом положений Приказа Минэнерго РФ от 12.03.2013 г. № 103 «Об утверждении Правил оценки готовности к отопительному периоду» (далее - приказ Минэнерго РФ от 5.03.2019 г. № 212). </w:t>
      </w:r>
    </w:p>
    <w:p w14:paraId="880D0000">
      <w:pPr>
        <w:tabs>
          <w:tab w:leader="none" w:pos="3045" w:val="left"/>
        </w:tabs>
        <w:spacing w:after="0" w:line="240" w:lineRule="auto"/>
        <w:ind w:firstLine="709" w:left="0"/>
        <w:jc w:val="both"/>
        <w:rPr>
          <w:sz w:val="28"/>
        </w:rPr>
      </w:pPr>
      <w:r>
        <w:rPr>
          <w:sz w:val="28"/>
        </w:rPr>
        <w:t xml:space="preserve">Показатели надёжности тепловых сетей тепловой </w:t>
      </w:r>
      <w:r>
        <w:rPr>
          <w:sz w:val="28"/>
        </w:rPr>
        <w:t>зоны соответствуют нормативному значению. Прекращения подачи тепловой энергии по состоянию на 2024 год (с учётом теплоиспользующих устройств), а также технологических ограничений, связанных с необеспечением заявленного располагаемого напора на потребительс</w:t>
      </w:r>
      <w:r>
        <w:rPr>
          <w:sz w:val="28"/>
        </w:rPr>
        <w:t xml:space="preserve">ком вводе на тепловых сетях не зафиксировано. </w:t>
      </w:r>
    </w:p>
    <w:p w14:paraId="890D0000">
      <w:pPr>
        <w:tabs>
          <w:tab w:leader="none" w:pos="3045" w:val="left"/>
        </w:tabs>
        <w:spacing w:after="0" w:line="240" w:lineRule="auto"/>
        <w:ind w:firstLine="709" w:left="0"/>
        <w:jc w:val="both"/>
        <w:rPr>
          <w:sz w:val="28"/>
        </w:rPr>
      </w:pPr>
      <w:r>
        <w:rPr>
          <w:sz w:val="28"/>
        </w:rPr>
        <w:t xml:space="preserve">Статистические данные о причинах технологических нарушений в системах теплоснабжения объектов </w:t>
      </w:r>
      <w:bookmarkStart w:id="4" w:name="_Hlk141943221"/>
      <w:r>
        <w:rPr>
          <w:sz w:val="28"/>
        </w:rPr>
        <w:t>Куйбышевского</w:t>
      </w:r>
      <w:bookmarkEnd w:id="4"/>
      <w:r>
        <w:rPr>
          <w:sz w:val="28"/>
        </w:rPr>
        <w:t xml:space="preserve"> сельского поселения свидетельствуют об удовлетворительном качестве элементов системы теплоснабжения. </w:t>
      </w:r>
      <w:r>
        <w:rPr>
          <w:sz w:val="28"/>
        </w:rPr>
        <w:t>Сведения о мероприятиях по установке (приобретению) резервного оборудования, организации совместной работы нескольких источников тепловой энергии на единую тепловую сеть, резервированию тепловых сетей смежных районов Куйбышевского сельского поселения отсут</w:t>
      </w:r>
      <w:r>
        <w:rPr>
          <w:sz w:val="28"/>
        </w:rPr>
        <w:t xml:space="preserve">ствует, так как указанные мероприятия не предусматриваются по причине технологической нецелесообразности вышеуказанного. </w:t>
      </w:r>
    </w:p>
    <w:p w14:paraId="8A0D0000">
      <w:pPr>
        <w:tabs>
          <w:tab w:leader="none" w:pos="3045" w:val="left"/>
        </w:tabs>
        <w:spacing w:after="0" w:line="240" w:lineRule="auto"/>
        <w:ind w:firstLine="709" w:left="0"/>
        <w:jc w:val="both"/>
        <w:rPr>
          <w:sz w:val="28"/>
        </w:rPr>
      </w:pPr>
      <w:r>
        <w:rPr>
          <w:sz w:val="28"/>
        </w:rPr>
        <w:t xml:space="preserve">Существующая система теплоснабжения Куйбышевского сельского поселения функционирует в полном объёме, подача тепловой энергии на нужды </w:t>
      </w:r>
      <w:r>
        <w:rPr>
          <w:sz w:val="28"/>
        </w:rPr>
        <w:t xml:space="preserve">отопления осуществляется непрерывно и бесперебойно. В связи с этим не возникает необходимости в приобретении резервного оборудования, которое будет находиться в запасе в период работы основных производственных объектов ЕТО. </w:t>
      </w:r>
    </w:p>
    <w:p w14:paraId="8B0D0000">
      <w:pPr>
        <w:tabs>
          <w:tab w:leader="none" w:pos="3045" w:val="left"/>
        </w:tabs>
        <w:spacing w:after="0" w:line="240" w:lineRule="auto"/>
        <w:ind w:firstLine="709" w:left="0"/>
        <w:jc w:val="both"/>
        <w:rPr>
          <w:sz w:val="28"/>
        </w:rPr>
      </w:pPr>
      <w:r>
        <w:rPr>
          <w:sz w:val="28"/>
        </w:rPr>
        <w:t>Организация совместной работы н</w:t>
      </w:r>
      <w:r>
        <w:rPr>
          <w:sz w:val="28"/>
        </w:rPr>
        <w:t>ескольких источников на единую тепловую сеть не требуется. Так как в системе теплоснабжения Куйбышевского сельского поселения отсутствует теплоэлектроцентраль (далее - ТЭЦ), отсутствует необходимость в проведении реорганизации теплоснабжающего хозяйства. Д</w:t>
      </w:r>
      <w:r>
        <w:rPr>
          <w:sz w:val="28"/>
        </w:rPr>
        <w:t xml:space="preserve">анные о числе аварий и крупных отказов отсутствуют. </w:t>
      </w:r>
    </w:p>
    <w:p w14:paraId="8C0D0000">
      <w:pPr>
        <w:tabs>
          <w:tab w:leader="none" w:pos="3045" w:val="left"/>
        </w:tabs>
        <w:spacing w:after="0" w:line="240" w:lineRule="auto"/>
        <w:ind w:firstLine="709" w:left="0"/>
        <w:jc w:val="both"/>
        <w:rPr>
          <w:sz w:val="28"/>
        </w:rPr>
      </w:pPr>
      <w:r>
        <w:rPr>
          <w:sz w:val="28"/>
        </w:rPr>
        <w:t>Техническое и сервисное обслуживание теплоснабжающего оборудования осуществляется аттестованным и специализированным персоналом, с соблюдением требуемых режимов, норм, инструкций, с достаточной техническ</w:t>
      </w:r>
      <w:r>
        <w:rPr>
          <w:sz w:val="28"/>
        </w:rPr>
        <w:t>ой грамотностью персонала и с наличием порядка на производстве, при строительстве, на монтаже и в эксплуатации. ИТ работает на выделенную зону объекта, где соблюдаются требуемые режимы и допустимые параметры. Кроме этого, п. 6.32 СП 124.13330.2012 «Тепловы</w:t>
      </w:r>
      <w:r>
        <w:rPr>
          <w:sz w:val="28"/>
        </w:rPr>
        <w:t>е сети. Актуализированная редакция СНиП 41-02-2003 (с Изменениями N 1, 2, 3)» определяется, что участки надземной прокладки протяжённостью до 5 км допускается не резервировать, кроме трубопроводов диаметром более 1200 мм в районах с расчётными температурам</w:t>
      </w:r>
      <w:r>
        <w:rPr>
          <w:sz w:val="28"/>
        </w:rPr>
        <w:t>и воздуха для проектирования отопления ниже минус 40°С. В этой связи резервирование тепловых сетей смежных районов Куйбышевского сельского поселения не требуется.</w:t>
      </w:r>
    </w:p>
    <w:p w14:paraId="8D0D0000">
      <w:pPr>
        <w:tabs>
          <w:tab w:leader="none" w:pos="3045" w:val="left"/>
        </w:tabs>
        <w:spacing w:after="0" w:line="240" w:lineRule="auto"/>
        <w:ind w:firstLine="709" w:left="0"/>
        <w:jc w:val="both"/>
        <w:rPr>
          <w:sz w:val="28"/>
        </w:rPr>
      </w:pPr>
      <w:r>
        <w:rPr>
          <w:sz w:val="28"/>
        </w:rPr>
        <w:t>Согласно п. 148 приказа Минэнерго РФ от 5.03.2019 г. № 212 «Об утверждении Методических указа</w:t>
      </w:r>
      <w:r>
        <w:rPr>
          <w:sz w:val="28"/>
        </w:rPr>
        <w:t>ний по разработке схем теплоснабжения» (далее - приказ Минэнерго РФ от 5.03.2019 г. № 212) оценка надёжности теплоснабжения с целью разработки предложений по реконструкции тепловых сетей, не обеспечивающих нормативную надёжность теплоснабжения, не проводит</w:t>
      </w:r>
      <w:r>
        <w:rPr>
          <w:sz w:val="28"/>
        </w:rPr>
        <w:t>ся, ввиду отсутствия указанных тепловых сетей с данными показателями.</w:t>
      </w:r>
    </w:p>
    <w:p w14:paraId="8E0D0000">
      <w:pPr>
        <w:tabs>
          <w:tab w:leader="none" w:pos="3045" w:val="left"/>
        </w:tabs>
        <w:spacing w:after="0" w:line="240" w:lineRule="auto"/>
        <w:ind w:firstLine="709" w:left="0"/>
        <w:jc w:val="both"/>
        <w:rPr>
          <w:sz w:val="28"/>
        </w:rPr>
      </w:pPr>
      <w:r>
        <w:rPr>
          <w:sz w:val="28"/>
        </w:rPr>
        <w:t>Оценка надёжности теплоснабжения в аварийных режимах теплоснабжения не проводится, так как в графиках ограничений и отключений абонентов не введены аварийные режимы. Кроме этого, в систе</w:t>
      </w:r>
      <w:r>
        <w:rPr>
          <w:sz w:val="28"/>
        </w:rPr>
        <w:t xml:space="preserve">ме </w:t>
      </w:r>
      <w:r>
        <w:rPr>
          <w:sz w:val="28"/>
        </w:rPr>
        <w:t xml:space="preserve">теплоснабжения Куйбышевского сельского поселения не предусмотрены магистральные водяные тепловые сети. В этой связи и руководствуясь п. 8.2 СП 124.13330.2012, гидравлические аварийные режимы не разрабатываются. </w:t>
      </w:r>
    </w:p>
    <w:p w14:paraId="8F0D0000">
      <w:pPr>
        <w:tabs>
          <w:tab w:leader="none" w:pos="3045" w:val="left"/>
        </w:tabs>
        <w:spacing w:after="0" w:line="240" w:lineRule="auto"/>
        <w:ind w:firstLine="709" w:left="0"/>
        <w:jc w:val="both"/>
        <w:rPr>
          <w:sz w:val="28"/>
        </w:rPr>
      </w:pPr>
      <w:r>
        <w:rPr>
          <w:sz w:val="28"/>
        </w:rPr>
        <w:t>Оценка надёжности теплоснабжения для сист</w:t>
      </w:r>
      <w:r>
        <w:rPr>
          <w:sz w:val="28"/>
        </w:rPr>
        <w:t>ем с несколькими источниками тепловой энергии, работающими на единую тепловую сеть в режиме плавающей точки водораздела (без выделенных зон действия) не проводится, в связи с отсутствием в СЦТ указанной технологической схемы.</w:t>
      </w:r>
    </w:p>
    <w:p w14:paraId="900D0000">
      <w:pPr>
        <w:tabs>
          <w:tab w:leader="none" w:pos="3045" w:val="left"/>
        </w:tabs>
        <w:spacing w:after="0" w:line="240" w:lineRule="auto"/>
        <w:ind w:firstLine="709" w:left="0"/>
        <w:jc w:val="both"/>
        <w:rPr>
          <w:sz w:val="28"/>
        </w:rPr>
      </w:pPr>
    </w:p>
    <w:p w14:paraId="910D0000">
      <w:pPr>
        <w:tabs>
          <w:tab w:leader="none" w:pos="3045" w:val="left"/>
        </w:tabs>
        <w:spacing w:line="240" w:lineRule="auto"/>
        <w:ind w:firstLine="709" w:left="0"/>
        <w:jc w:val="both"/>
        <w:rPr>
          <w:sz w:val="28"/>
        </w:rPr>
      </w:pPr>
      <w:r>
        <w:rPr>
          <w:sz w:val="28"/>
        </w:rPr>
        <w:t>а) Метод и результат обработк</w:t>
      </w:r>
      <w:r>
        <w:rPr>
          <w:sz w:val="28"/>
        </w:rPr>
        <w:t>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920D0000">
      <w:pPr>
        <w:tabs>
          <w:tab w:leader="none" w:pos="3045" w:val="left"/>
        </w:tabs>
        <w:spacing w:line="240" w:lineRule="auto"/>
        <w:ind w:firstLine="709" w:left="0"/>
        <w:jc w:val="both"/>
        <w:rPr>
          <w:sz w:val="28"/>
        </w:rPr>
      </w:pPr>
      <w:r>
        <w:rPr>
          <w:sz w:val="28"/>
        </w:rPr>
        <w:t>В системе теплоснабжения отказы участков тепловых сетей (аварийных ситуаций) не выявлен</w:t>
      </w:r>
      <w:r>
        <w:rPr>
          <w:sz w:val="28"/>
        </w:rPr>
        <w:t>ы.</w:t>
      </w:r>
    </w:p>
    <w:p w14:paraId="930D0000">
      <w:pPr>
        <w:tabs>
          <w:tab w:leader="none" w:pos="3045" w:val="left"/>
        </w:tabs>
        <w:spacing w:line="240" w:lineRule="auto"/>
        <w:ind w:firstLine="709" w:left="0"/>
        <w:jc w:val="both"/>
        <w:rPr>
          <w:sz w:val="28"/>
        </w:rPr>
      </w:pPr>
      <w:r>
        <w:rPr>
          <w:sz w:val="28"/>
        </w:rPr>
        <w:t>б)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w:t>
      </w:r>
      <w:r>
        <w:rPr>
          <w:sz w:val="28"/>
        </w:rPr>
        <w:t>жения.</w:t>
      </w:r>
    </w:p>
    <w:p w14:paraId="940D0000">
      <w:pPr>
        <w:tabs>
          <w:tab w:leader="none" w:pos="3045" w:val="left"/>
        </w:tabs>
        <w:spacing w:line="240" w:lineRule="auto"/>
        <w:ind w:firstLine="709" w:left="0"/>
        <w:jc w:val="both"/>
        <w:rPr>
          <w:sz w:val="28"/>
        </w:rPr>
      </w:pPr>
      <w:r>
        <w:rPr>
          <w:sz w:val="28"/>
        </w:rPr>
        <w:t>В системе теплоснабжения отказы участков тепловых сетей (аварийных ситуаций) не выявлены.</w:t>
      </w:r>
    </w:p>
    <w:p w14:paraId="950D0000">
      <w:pPr>
        <w:tabs>
          <w:tab w:leader="none" w:pos="3045" w:val="left"/>
        </w:tabs>
        <w:spacing w:line="240" w:lineRule="auto"/>
        <w:ind w:firstLine="709" w:left="0"/>
        <w:jc w:val="both"/>
        <w:rPr>
          <w:sz w:val="28"/>
        </w:rPr>
      </w:pPr>
      <w:r>
        <w:rPr>
          <w:sz w:val="28"/>
        </w:rPr>
        <w:t>в)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w:t>
      </w:r>
      <w:r>
        <w:rPr>
          <w:sz w:val="28"/>
        </w:rPr>
        <w:t>ным к магистральным и распределительным теплопроводам.</w:t>
      </w:r>
    </w:p>
    <w:p w14:paraId="960D0000">
      <w:pPr>
        <w:tabs>
          <w:tab w:leader="none" w:pos="3045" w:val="left"/>
        </w:tabs>
        <w:spacing w:line="240" w:lineRule="auto"/>
        <w:ind w:firstLine="709" w:left="0"/>
        <w:jc w:val="both"/>
        <w:rPr>
          <w:sz w:val="28"/>
        </w:rPr>
      </w:pPr>
      <w:r>
        <w:rPr>
          <w:sz w:val="28"/>
        </w:rPr>
        <w:t>Показатели надежности тепловых сетей тепловой зоны соответствуют нормативному значению. Прекращения подачи тепловой энергии по состоянию на 2024 год (с учетом теплоиспользующих устройств), а также техн</w:t>
      </w:r>
      <w:r>
        <w:rPr>
          <w:sz w:val="28"/>
        </w:rPr>
        <w:t>ологических ограничений, связанных с необеспечением заявленного располагаемого напора на потребительском вводе на тепловых сетях не зафиксировано. Данный показатель может быть рассчитан в том случае, если по каждому участку можно определить место поврежден</w:t>
      </w:r>
      <w:r>
        <w:rPr>
          <w:sz w:val="28"/>
        </w:rPr>
        <w:t>ия с указанием времени отключения потребителя от сети. Однако база данных по повреждениям, сформированная по фактическим отказам на тепловых сетях ЕТО не содержит исчерпывающей информации для проведения математических расчетов. Средневзвешенная величина от</w:t>
      </w:r>
      <w:r>
        <w:rPr>
          <w:sz w:val="28"/>
        </w:rPr>
        <w:t>клонений температуры теплоносителя, соответствующая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нормативным техническими документами в период с 202</w:t>
      </w:r>
      <w:r>
        <w:rPr>
          <w:sz w:val="28"/>
        </w:rPr>
        <w:t>3 года.</w:t>
      </w:r>
    </w:p>
    <w:p w14:paraId="970D0000">
      <w:pPr>
        <w:tabs>
          <w:tab w:leader="none" w:pos="3045" w:val="left"/>
        </w:tabs>
        <w:spacing w:line="240" w:lineRule="auto"/>
        <w:ind w:firstLine="709" w:left="0"/>
        <w:jc w:val="both"/>
        <w:rPr>
          <w:sz w:val="28"/>
        </w:rPr>
      </w:pPr>
      <w:r>
        <w:rPr>
          <w:sz w:val="28"/>
        </w:rPr>
        <w:t>г) Результат оценки коэффициента готовности теплопроводов к несению тепловой нагрузки.</w:t>
      </w:r>
    </w:p>
    <w:p w14:paraId="980D0000">
      <w:pPr>
        <w:tabs>
          <w:tab w:leader="none" w:pos="3045" w:val="left"/>
        </w:tabs>
        <w:spacing w:line="240" w:lineRule="auto"/>
        <w:ind w:firstLine="709" w:left="0"/>
        <w:jc w:val="both"/>
        <w:rPr>
          <w:sz w:val="28"/>
        </w:rPr>
      </w:pPr>
      <w:r>
        <w:rPr>
          <w:sz w:val="28"/>
        </w:rPr>
        <w:t xml:space="preserve">Поскольку вероятность состояния тепловых сетей с отказом отсутствует, коэффициент готовности теплопроводов к несению тепловой нагрузки не </w:t>
      </w:r>
    </w:p>
    <w:p w14:paraId="990D0000">
      <w:pPr>
        <w:tabs>
          <w:tab w:leader="none" w:pos="3045" w:val="left"/>
        </w:tabs>
        <w:spacing w:line="240" w:lineRule="auto"/>
        <w:ind/>
        <w:jc w:val="both"/>
        <w:rPr>
          <w:sz w:val="28"/>
        </w:rPr>
      </w:pPr>
      <w:r>
        <w:rPr>
          <w:sz w:val="28"/>
        </w:rPr>
        <w:t>определяется.</w:t>
      </w:r>
    </w:p>
    <w:p w14:paraId="9A0D0000">
      <w:pPr>
        <w:tabs>
          <w:tab w:leader="none" w:pos="3045" w:val="left"/>
        </w:tabs>
        <w:spacing w:line="240" w:lineRule="auto"/>
        <w:ind w:firstLine="709" w:left="0"/>
        <w:jc w:val="both"/>
        <w:rPr>
          <w:sz w:val="28"/>
        </w:rPr>
      </w:pPr>
      <w:r>
        <w:rPr>
          <w:sz w:val="28"/>
        </w:rPr>
        <w:t xml:space="preserve">д) </w:t>
      </w:r>
      <w:r>
        <w:rPr>
          <w:sz w:val="28"/>
        </w:rPr>
        <w:t>Результаты оценки недоотпуска тепловой энергии по причине отказов (аварийных ситуаций) и простоев тепловых сетей и источников тепловой энергии.</w:t>
      </w:r>
    </w:p>
    <w:p w14:paraId="9B0D0000">
      <w:pPr>
        <w:tabs>
          <w:tab w:leader="none" w:pos="3045" w:val="left"/>
        </w:tabs>
        <w:spacing w:line="240" w:lineRule="auto"/>
        <w:ind w:firstLine="709" w:left="0"/>
        <w:jc w:val="both"/>
        <w:rPr>
          <w:sz w:val="28"/>
        </w:rPr>
      </w:pPr>
      <w:r>
        <w:rPr>
          <w:sz w:val="28"/>
        </w:rPr>
        <w:t xml:space="preserve">Недоотпуск тепловой энергии по причине отказов (аварийных ситуаций) и простоев тепловых сетей и источников </w:t>
      </w:r>
      <w:r>
        <w:rPr>
          <w:sz w:val="28"/>
        </w:rPr>
        <w:t>тепловой энергии не выявлен.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не предусматривается. Установка резервного об</w:t>
      </w:r>
      <w:r>
        <w:rPr>
          <w:sz w:val="28"/>
        </w:rPr>
        <w:t xml:space="preserve">орудования не требуется. Организация совместной работы нескольких источников тепловой энергии на единую тепловую сеть не требуется. Резервирование тепловых сетей смежных районов Куйбышевского сельского поселения не требуется. Устройство резервных насосных </w:t>
      </w:r>
      <w:r>
        <w:rPr>
          <w:sz w:val="28"/>
        </w:rPr>
        <w:t>станций не требуется. Установка баков-аккумуляторов не требуется.</w:t>
      </w:r>
    </w:p>
    <w:p w14:paraId="9C0D0000">
      <w:pPr>
        <w:tabs>
          <w:tab w:leader="none" w:pos="3045" w:val="left"/>
        </w:tabs>
        <w:spacing w:line="240" w:lineRule="auto"/>
        <w:ind w:firstLine="709" w:left="0"/>
        <w:jc w:val="center"/>
        <w:rPr>
          <w:b w:val="1"/>
          <w:sz w:val="28"/>
        </w:rPr>
      </w:pPr>
      <w:r>
        <w:rPr>
          <w:b w:val="1"/>
          <w:sz w:val="28"/>
        </w:rPr>
        <w:t>Глава 12 «Обоснование инвестиций в строительство, реконструкцию, техническое перевооружение и (или) модернизацию Куйбышевского сельского поселения Куйбышевского района»</w:t>
      </w:r>
    </w:p>
    <w:p w14:paraId="9D0D0000">
      <w:pPr>
        <w:tabs>
          <w:tab w:leader="none" w:pos="3045" w:val="left"/>
        </w:tabs>
        <w:spacing w:line="240" w:lineRule="auto"/>
        <w:ind w:firstLine="709" w:left="0"/>
        <w:jc w:val="both"/>
        <w:rPr>
          <w:sz w:val="28"/>
        </w:rPr>
      </w:pPr>
      <w:r>
        <w:rPr>
          <w:sz w:val="28"/>
        </w:rPr>
        <w:t xml:space="preserve">а) Оценка финансовых </w:t>
      </w:r>
      <w:r>
        <w:rPr>
          <w:sz w:val="28"/>
        </w:rPr>
        <w:t>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9E0D0000">
      <w:pPr>
        <w:tabs>
          <w:tab w:leader="none" w:pos="3045" w:val="left"/>
        </w:tabs>
        <w:spacing w:line="240" w:lineRule="auto"/>
        <w:ind w:firstLine="709" w:left="0"/>
        <w:jc w:val="both"/>
        <w:rPr>
          <w:sz w:val="28"/>
        </w:rPr>
      </w:pPr>
      <w:r>
        <w:rPr>
          <w:sz w:val="28"/>
        </w:rPr>
        <w:t xml:space="preserve">Поскольку финансирование предлагаемых мероприятий по техническому перевооружению предполагается год </w:t>
      </w:r>
      <w:r>
        <w:rPr>
          <w:sz w:val="28"/>
        </w:rPr>
        <w:t>в год, привлечение кредитных средств и связанные с этим дополнительные расходы на выплату % по кредитам и налога на прибыль не планируется, финансовые потребности при реализации мероприятий соответствуют объему инвестиций по годам.</w:t>
      </w:r>
    </w:p>
    <w:p w14:paraId="9F0D0000">
      <w:pPr>
        <w:tabs>
          <w:tab w:leader="none" w:pos="3045" w:val="left"/>
        </w:tabs>
        <w:spacing w:line="240" w:lineRule="auto"/>
        <w:ind w:firstLine="709" w:left="0"/>
        <w:jc w:val="both"/>
        <w:rPr>
          <w:sz w:val="28"/>
        </w:rPr>
      </w:pPr>
      <w:r>
        <w:rPr>
          <w:sz w:val="28"/>
        </w:rPr>
        <w:t>б) Обоснованные предложе</w:t>
      </w:r>
      <w:r>
        <w:rPr>
          <w:sz w:val="28"/>
        </w:rPr>
        <w:t>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A00D0000">
      <w:pPr>
        <w:tabs>
          <w:tab w:leader="none" w:pos="3045" w:val="left"/>
        </w:tabs>
        <w:spacing w:line="240" w:lineRule="auto"/>
        <w:ind w:firstLine="709" w:left="0"/>
        <w:jc w:val="both"/>
        <w:rPr>
          <w:sz w:val="28"/>
        </w:rPr>
      </w:pPr>
      <w:r>
        <w:rPr>
          <w:sz w:val="28"/>
        </w:rPr>
        <w:t>Поскольку финансирование предлагаемых меропри</w:t>
      </w:r>
      <w:r>
        <w:rPr>
          <w:sz w:val="28"/>
        </w:rPr>
        <w:t>ятий по техническому перевооружению предполагается год в год, привлечение кредитных средств и связанные с этим дополнительные расходы на выплату % по кредитам и налога на прибыль не планируется, финансовые потребности при реализации мероприятий соответству</w:t>
      </w:r>
      <w:r>
        <w:rPr>
          <w:sz w:val="28"/>
        </w:rPr>
        <w:t>ют объему инвестиций по годам.</w:t>
      </w:r>
    </w:p>
    <w:p w14:paraId="A10D0000">
      <w:pPr>
        <w:tabs>
          <w:tab w:leader="none" w:pos="3045" w:val="left"/>
        </w:tabs>
        <w:spacing w:line="240" w:lineRule="auto"/>
        <w:ind w:firstLine="709" w:left="0"/>
        <w:jc w:val="both"/>
        <w:rPr>
          <w:sz w:val="28"/>
        </w:rPr>
      </w:pPr>
      <w:r>
        <w:rPr>
          <w:sz w:val="28"/>
        </w:rPr>
        <w:t>в) Расчеты экономической эффективности инвестиций.</w:t>
      </w:r>
    </w:p>
    <w:p w14:paraId="A20D0000">
      <w:pPr>
        <w:tabs>
          <w:tab w:leader="none" w:pos="3045" w:val="left"/>
        </w:tabs>
        <w:spacing w:line="240" w:lineRule="auto"/>
        <w:ind w:firstLine="709" w:left="0"/>
        <w:jc w:val="both"/>
        <w:rPr>
          <w:sz w:val="28"/>
        </w:rPr>
      </w:pPr>
      <w:r>
        <w:rPr>
          <w:sz w:val="28"/>
        </w:rPr>
        <w:t>Предложения отсутствуют.</w:t>
      </w:r>
    </w:p>
    <w:p w14:paraId="A30D0000">
      <w:pPr>
        <w:tabs>
          <w:tab w:leader="none" w:pos="3045" w:val="left"/>
        </w:tabs>
        <w:spacing w:line="240" w:lineRule="auto"/>
        <w:ind w:firstLine="709" w:left="0"/>
        <w:jc w:val="both"/>
        <w:rPr>
          <w:sz w:val="28"/>
        </w:rPr>
      </w:pPr>
      <w:r>
        <w:rPr>
          <w:sz w:val="28"/>
        </w:rPr>
        <w:t xml:space="preserve">г) Расчеты ценовых (тарифных) последствий для потребителей при </w:t>
      </w:r>
    </w:p>
    <w:p w14:paraId="A40D0000">
      <w:pPr>
        <w:tabs>
          <w:tab w:leader="none" w:pos="3045" w:val="left"/>
        </w:tabs>
        <w:spacing w:line="240" w:lineRule="auto"/>
        <w:ind/>
        <w:jc w:val="both"/>
        <w:rPr>
          <w:sz w:val="28"/>
        </w:rPr>
      </w:pPr>
      <w:r>
        <w:rPr>
          <w:sz w:val="28"/>
        </w:rPr>
        <w:t>реализации программ строительства, реконструкции, технического перевооружения и (или)</w:t>
      </w:r>
      <w:r>
        <w:rPr>
          <w:sz w:val="28"/>
        </w:rPr>
        <w:t xml:space="preserve"> модернизации систем теплоснабжения.</w:t>
      </w:r>
    </w:p>
    <w:p w14:paraId="A50D0000">
      <w:pPr>
        <w:tabs>
          <w:tab w:leader="none" w:pos="3045" w:val="left"/>
        </w:tabs>
        <w:spacing w:line="240" w:lineRule="auto"/>
        <w:ind w:firstLine="709" w:left="0"/>
        <w:jc w:val="both"/>
        <w:rPr>
          <w:sz w:val="28"/>
        </w:rPr>
      </w:pPr>
      <w:r>
        <w:rPr>
          <w:sz w:val="28"/>
        </w:rPr>
        <w:t>Расчет ценовых последствий для потребителей при реализации программ строительства, реконструкции и технического перевооружения систем теплоснабжения не производится, ввиду отсутствия вышеуказанных программ.</w:t>
      </w:r>
    </w:p>
    <w:p w14:paraId="A60D0000">
      <w:pPr>
        <w:tabs>
          <w:tab w:leader="none" w:pos="3045" w:val="left"/>
        </w:tabs>
        <w:spacing w:line="240" w:lineRule="auto"/>
        <w:ind w:firstLine="709" w:left="0"/>
        <w:jc w:val="center"/>
        <w:rPr>
          <w:b w:val="1"/>
          <w:sz w:val="28"/>
        </w:rPr>
      </w:pPr>
      <w:r>
        <w:rPr>
          <w:b w:val="1"/>
          <w:sz w:val="28"/>
        </w:rPr>
        <w:t>Глава 13 «Ин</w:t>
      </w:r>
      <w:r>
        <w:rPr>
          <w:b w:val="1"/>
          <w:sz w:val="28"/>
        </w:rPr>
        <w:t>дикаторы развития систем теплоснабжения Куйбышевского сельского поселения Куйбышевского района»</w:t>
      </w:r>
    </w:p>
    <w:p w14:paraId="A70D0000">
      <w:pPr>
        <w:tabs>
          <w:tab w:leader="none" w:pos="3045" w:val="left"/>
        </w:tabs>
        <w:spacing w:line="240" w:lineRule="auto"/>
        <w:ind w:firstLine="709" w:left="0"/>
        <w:jc w:val="both"/>
        <w:rPr>
          <w:sz w:val="28"/>
        </w:rPr>
      </w:pPr>
      <w:r>
        <w:rPr>
          <w:sz w:val="28"/>
        </w:rPr>
        <w:t>а) Количество прекращений подачи тепловой энергии, теплоносителя в результате технологических нарушений на тепловых сетях.</w:t>
      </w:r>
    </w:p>
    <w:p w14:paraId="A80D0000">
      <w:pPr>
        <w:tabs>
          <w:tab w:leader="none" w:pos="3045" w:val="left"/>
        </w:tabs>
        <w:spacing w:line="240" w:lineRule="auto"/>
        <w:ind w:firstLine="709" w:left="0"/>
        <w:jc w:val="both"/>
        <w:rPr>
          <w:sz w:val="28"/>
        </w:rPr>
      </w:pPr>
      <w:r>
        <w:rPr>
          <w:sz w:val="28"/>
        </w:rPr>
        <w:t>За период с 2024 по 2033 год показате</w:t>
      </w:r>
      <w:r>
        <w:rPr>
          <w:sz w:val="28"/>
        </w:rPr>
        <w:t>ль равняется 0, виду отсутствия технологических нарушений на тепловых сетях.</w:t>
      </w:r>
    </w:p>
    <w:p w14:paraId="A90D0000">
      <w:pPr>
        <w:tabs>
          <w:tab w:leader="none" w:pos="3045" w:val="left"/>
        </w:tabs>
        <w:spacing w:line="240" w:lineRule="auto"/>
        <w:ind w:firstLine="709" w:left="0"/>
        <w:jc w:val="both"/>
        <w:rPr>
          <w:sz w:val="28"/>
        </w:rPr>
      </w:pPr>
      <w:r>
        <w:rPr>
          <w:sz w:val="28"/>
        </w:rPr>
        <w:t>б) Количество прекращений подачи тепловой энергии, теплоносителя в результате технологических нарушений на источниках тепловой энергии.</w:t>
      </w:r>
    </w:p>
    <w:p w14:paraId="AA0D0000">
      <w:pPr>
        <w:tabs>
          <w:tab w:leader="none" w:pos="3045" w:val="left"/>
        </w:tabs>
        <w:spacing w:line="240" w:lineRule="auto"/>
        <w:ind w:firstLine="709" w:left="0"/>
        <w:jc w:val="both"/>
        <w:rPr>
          <w:sz w:val="28"/>
        </w:rPr>
      </w:pPr>
      <w:r>
        <w:rPr>
          <w:sz w:val="28"/>
        </w:rPr>
        <w:t>За период с 2024 по 2033 год показатель рав</w:t>
      </w:r>
      <w:r>
        <w:rPr>
          <w:sz w:val="28"/>
        </w:rPr>
        <w:t>няется 0, виду отсутствия технологических нарушений на источниках тепловой энергии.</w:t>
      </w:r>
    </w:p>
    <w:p w14:paraId="AB0D0000">
      <w:pPr>
        <w:tabs>
          <w:tab w:leader="none" w:pos="3045" w:val="left"/>
        </w:tabs>
        <w:spacing w:line="240" w:lineRule="auto"/>
        <w:ind w:firstLine="709" w:left="0"/>
        <w:jc w:val="both"/>
        <w:rPr>
          <w:sz w:val="28"/>
        </w:rPr>
      </w:pPr>
      <w:r>
        <w:rPr>
          <w:sz w:val="28"/>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w:t>
      </w:r>
      <w:r>
        <w:rPr>
          <w:sz w:val="28"/>
        </w:rPr>
        <w:t>ьных).</w:t>
      </w:r>
    </w:p>
    <w:p w14:paraId="AC0D0000">
      <w:pPr>
        <w:tabs>
          <w:tab w:leader="none" w:pos="3045" w:val="left"/>
        </w:tabs>
        <w:spacing w:line="240" w:lineRule="auto"/>
        <w:ind w:firstLine="709" w:left="0"/>
        <w:jc w:val="both"/>
        <w:rPr>
          <w:sz w:val="28"/>
        </w:rPr>
      </w:pPr>
      <w:r>
        <w:rPr>
          <w:sz w:val="28"/>
        </w:rPr>
        <w:t xml:space="preserve">За период с 2024 по 2033 год усреднённый показатель равен 0,1652 т. у. т. /Гкал. </w:t>
      </w:r>
    </w:p>
    <w:p w14:paraId="AD0D0000">
      <w:pPr>
        <w:tabs>
          <w:tab w:leader="none" w:pos="3045" w:val="left"/>
        </w:tabs>
        <w:spacing w:line="240" w:lineRule="auto"/>
        <w:ind w:firstLine="709" w:left="0"/>
        <w:jc w:val="both"/>
        <w:rPr>
          <w:sz w:val="28"/>
        </w:rPr>
      </w:pPr>
      <w:r>
        <w:rPr>
          <w:sz w:val="28"/>
        </w:rPr>
        <w:t>г) Отношение величины технологических потерь тепловой энергии, теплоносителя к материальной характеристике тепловой сети.</w:t>
      </w:r>
    </w:p>
    <w:p w14:paraId="AE0D0000">
      <w:pPr>
        <w:tabs>
          <w:tab w:leader="none" w:pos="3045" w:val="left"/>
        </w:tabs>
        <w:spacing w:line="240" w:lineRule="auto"/>
        <w:ind w:firstLine="709" w:left="0"/>
        <w:jc w:val="both"/>
        <w:rPr>
          <w:sz w:val="28"/>
        </w:rPr>
      </w:pPr>
      <w:r>
        <w:rPr>
          <w:sz w:val="28"/>
        </w:rPr>
        <w:t xml:space="preserve">Не определяется, ввиду отсутствия показателя </w:t>
      </w:r>
      <w:r>
        <w:rPr>
          <w:sz w:val="28"/>
        </w:rPr>
        <w:t xml:space="preserve">потерь тепловой энергии. </w:t>
      </w:r>
    </w:p>
    <w:p w14:paraId="AF0D0000">
      <w:pPr>
        <w:tabs>
          <w:tab w:leader="none" w:pos="3045" w:val="left"/>
        </w:tabs>
        <w:spacing w:line="240" w:lineRule="auto"/>
        <w:ind w:firstLine="709" w:left="0"/>
        <w:jc w:val="both"/>
        <w:rPr>
          <w:sz w:val="28"/>
        </w:rPr>
      </w:pPr>
      <w:r>
        <w:rPr>
          <w:sz w:val="28"/>
        </w:rPr>
        <w:t>д) Коэффициент использования установленной тепловой мощности.</w:t>
      </w:r>
    </w:p>
    <w:p w14:paraId="B00D0000">
      <w:pPr>
        <w:tabs>
          <w:tab w:leader="none" w:pos="3045" w:val="left"/>
        </w:tabs>
        <w:spacing w:line="240" w:lineRule="auto"/>
        <w:ind w:firstLine="709" w:left="0"/>
        <w:jc w:val="both"/>
        <w:rPr>
          <w:sz w:val="28"/>
        </w:rPr>
      </w:pPr>
      <w:r>
        <w:rPr>
          <w:sz w:val="28"/>
        </w:rPr>
        <w:t xml:space="preserve">Показатель с 2024 по 2033 год - 97 %. </w:t>
      </w:r>
    </w:p>
    <w:p w14:paraId="B10D0000">
      <w:pPr>
        <w:tabs>
          <w:tab w:leader="none" w:pos="3045" w:val="left"/>
        </w:tabs>
        <w:spacing w:line="240" w:lineRule="auto"/>
        <w:ind w:firstLine="709" w:left="0"/>
        <w:jc w:val="both"/>
        <w:rPr>
          <w:sz w:val="28"/>
        </w:rPr>
      </w:pPr>
      <w:r>
        <w:rPr>
          <w:sz w:val="28"/>
        </w:rPr>
        <w:t>е) Удельная материальная характеристика тепловых сетей, приведенная к расчетной тепловой нагрузке.</w:t>
      </w:r>
    </w:p>
    <w:p w14:paraId="B20D0000">
      <w:pPr>
        <w:tabs>
          <w:tab w:leader="none" w:pos="3045" w:val="left"/>
        </w:tabs>
        <w:spacing w:line="240" w:lineRule="auto"/>
        <w:ind w:firstLine="709" w:left="0"/>
        <w:jc w:val="both"/>
        <w:rPr>
          <w:sz w:val="28"/>
        </w:rPr>
      </w:pPr>
      <w:r>
        <w:rPr>
          <w:sz w:val="28"/>
        </w:rPr>
        <w:t xml:space="preserve">С 2024 по 2033 год показатель </w:t>
      </w:r>
      <w:r>
        <w:rPr>
          <w:sz w:val="28"/>
        </w:rPr>
        <w:t>равняется 0,73 м</w:t>
      </w:r>
      <w:r>
        <w:rPr>
          <w:sz w:val="28"/>
          <w:vertAlign w:val="superscript"/>
        </w:rPr>
        <w:t>2</w:t>
      </w:r>
      <w:r>
        <w:rPr>
          <w:sz w:val="28"/>
        </w:rPr>
        <w:t xml:space="preserve">/ Гкал/ч. </w:t>
      </w:r>
    </w:p>
    <w:p w14:paraId="B30D0000">
      <w:pPr>
        <w:tabs>
          <w:tab w:leader="none" w:pos="3045" w:val="left"/>
        </w:tabs>
        <w:spacing w:line="240" w:lineRule="auto"/>
        <w:ind w:firstLine="709" w:left="0"/>
        <w:jc w:val="both"/>
        <w:rPr>
          <w:sz w:val="28"/>
        </w:rPr>
      </w:pPr>
      <w:r>
        <w:rPr>
          <w:sz w:val="28"/>
        </w:rPr>
        <w:t xml:space="preserve">ж) Доля тепловой энергии, выработанной в комбинированном режиме (как отношение величины тепловой энергии, отпущенной из отборов </w:t>
      </w:r>
      <w:r>
        <w:rPr>
          <w:sz w:val="28"/>
        </w:rPr>
        <w:t>турбоагрегатов, к общей величине выработанной тепловой энергии в границах сельского поселения).</w:t>
      </w:r>
    </w:p>
    <w:p w14:paraId="B40D0000">
      <w:pPr>
        <w:tabs>
          <w:tab w:leader="none" w:pos="3045" w:val="left"/>
        </w:tabs>
        <w:spacing w:line="240" w:lineRule="auto"/>
        <w:ind w:firstLine="709" w:left="0"/>
        <w:jc w:val="both"/>
        <w:rPr>
          <w:sz w:val="28"/>
        </w:rPr>
      </w:pPr>
      <w:r>
        <w:rPr>
          <w:sz w:val="28"/>
        </w:rPr>
        <w:t xml:space="preserve">Показатель не предусмотрен, в связи с отсутствием тепловой энергии, </w:t>
      </w:r>
    </w:p>
    <w:p w14:paraId="B50D0000">
      <w:pPr>
        <w:tabs>
          <w:tab w:leader="none" w:pos="3045" w:val="left"/>
        </w:tabs>
        <w:spacing w:line="240" w:lineRule="auto"/>
        <w:ind/>
        <w:jc w:val="both"/>
        <w:rPr>
          <w:sz w:val="28"/>
        </w:rPr>
      </w:pPr>
      <w:r>
        <w:rPr>
          <w:sz w:val="28"/>
        </w:rPr>
        <w:t>выработанной в комбинированном режиме.</w:t>
      </w:r>
    </w:p>
    <w:p w14:paraId="B60D0000">
      <w:pPr>
        <w:tabs>
          <w:tab w:leader="none" w:pos="3045" w:val="left"/>
        </w:tabs>
        <w:spacing w:line="240" w:lineRule="auto"/>
        <w:ind w:firstLine="709" w:left="0"/>
        <w:jc w:val="both"/>
        <w:rPr>
          <w:sz w:val="28"/>
        </w:rPr>
      </w:pPr>
      <w:r>
        <w:rPr>
          <w:sz w:val="28"/>
        </w:rPr>
        <w:t>з) Удельный расход условного топлива на отпуск электрической энергии.</w:t>
      </w:r>
    </w:p>
    <w:p w14:paraId="B70D0000">
      <w:pPr>
        <w:tabs>
          <w:tab w:leader="none" w:pos="3045" w:val="left"/>
        </w:tabs>
        <w:spacing w:line="240" w:lineRule="auto"/>
        <w:ind w:firstLine="709" w:left="0"/>
        <w:jc w:val="both"/>
        <w:rPr>
          <w:sz w:val="28"/>
        </w:rPr>
      </w:pPr>
      <w:r>
        <w:rPr>
          <w:sz w:val="28"/>
        </w:rPr>
        <w:t xml:space="preserve">С 2024 по 2033 год - 12,0 тыс. кВт/ тыс. Гкал. </w:t>
      </w:r>
    </w:p>
    <w:p w14:paraId="B80D0000">
      <w:pPr>
        <w:tabs>
          <w:tab w:leader="none" w:pos="3045" w:val="left"/>
        </w:tabs>
        <w:spacing w:line="240" w:lineRule="auto"/>
        <w:ind w:firstLine="709" w:left="0"/>
        <w:jc w:val="both"/>
        <w:rPr>
          <w:sz w:val="28"/>
        </w:rPr>
      </w:pPr>
      <w:r>
        <w:rPr>
          <w:sz w:val="28"/>
        </w:rPr>
        <w:t>и) Коэффициент использования т</w:t>
      </w:r>
      <w:r>
        <w:rPr>
          <w:sz w:val="28"/>
        </w:rPr>
        <w:t>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B90D0000">
      <w:pPr>
        <w:tabs>
          <w:tab w:leader="none" w:pos="3045" w:val="left"/>
        </w:tabs>
        <w:spacing w:line="240" w:lineRule="auto"/>
        <w:ind w:firstLine="709" w:left="0"/>
        <w:jc w:val="both"/>
        <w:rPr>
          <w:sz w:val="28"/>
        </w:rPr>
      </w:pPr>
      <w:r>
        <w:rPr>
          <w:sz w:val="28"/>
        </w:rPr>
        <w:t>Показатель не предусмотрен, в связи с отсутствием тепловой энергии, выработанной в комбинированном режиме.</w:t>
      </w:r>
    </w:p>
    <w:p w14:paraId="BA0D0000">
      <w:pPr>
        <w:tabs>
          <w:tab w:leader="none" w:pos="3045" w:val="left"/>
        </w:tabs>
        <w:spacing w:line="240" w:lineRule="auto"/>
        <w:ind w:firstLine="709" w:left="0"/>
        <w:jc w:val="both"/>
        <w:rPr>
          <w:sz w:val="28"/>
        </w:rPr>
      </w:pPr>
      <w:r>
        <w:rPr>
          <w:sz w:val="28"/>
        </w:rPr>
        <w:t>к) Доля</w:t>
      </w:r>
      <w:r>
        <w:rPr>
          <w:sz w:val="28"/>
        </w:rPr>
        <w:t xml:space="preserve"> отпуска тепловой энергии, осуществляемого потребителям по приборам учета, в общем объеме отпущенной тепловой энергии.</w:t>
      </w:r>
    </w:p>
    <w:p w14:paraId="BB0D0000">
      <w:pPr>
        <w:tabs>
          <w:tab w:leader="none" w:pos="3045" w:val="left"/>
        </w:tabs>
        <w:spacing w:line="240" w:lineRule="auto"/>
        <w:ind w:firstLine="709" w:left="0"/>
        <w:jc w:val="both"/>
        <w:rPr>
          <w:sz w:val="28"/>
        </w:rPr>
      </w:pPr>
      <w:r>
        <w:rPr>
          <w:sz w:val="28"/>
        </w:rPr>
        <w:t xml:space="preserve">За период с 2024 по 2033 год показатель равен 18 %. </w:t>
      </w:r>
    </w:p>
    <w:p w14:paraId="BC0D0000">
      <w:pPr>
        <w:tabs>
          <w:tab w:leader="none" w:pos="3045" w:val="left"/>
        </w:tabs>
        <w:spacing w:line="240" w:lineRule="auto"/>
        <w:ind w:firstLine="709" w:left="0"/>
        <w:jc w:val="both"/>
        <w:rPr>
          <w:sz w:val="28"/>
        </w:rPr>
      </w:pPr>
      <w:r>
        <w:rPr>
          <w:sz w:val="28"/>
        </w:rPr>
        <w:t>л) Средневзвешенный (по материальной характеристике) срок эксплуатации тепловых сете</w:t>
      </w:r>
      <w:r>
        <w:rPr>
          <w:sz w:val="28"/>
        </w:rPr>
        <w:t>й (для каждой системы теплоснабжения).</w:t>
      </w:r>
    </w:p>
    <w:p w14:paraId="BD0D0000">
      <w:pPr>
        <w:tabs>
          <w:tab w:leader="none" w:pos="3045" w:val="left"/>
        </w:tabs>
        <w:spacing w:line="240" w:lineRule="auto"/>
        <w:ind w:firstLine="709" w:left="0"/>
        <w:jc w:val="both"/>
        <w:rPr>
          <w:sz w:val="28"/>
        </w:rPr>
      </w:pPr>
      <w:r>
        <w:rPr>
          <w:sz w:val="28"/>
        </w:rPr>
        <w:t xml:space="preserve">С 2024 по 2033 год показатель &lt;15 лет. </w:t>
      </w:r>
    </w:p>
    <w:p w14:paraId="BE0D0000">
      <w:pPr>
        <w:tabs>
          <w:tab w:leader="none" w:pos="3045" w:val="left"/>
        </w:tabs>
        <w:spacing w:line="240" w:lineRule="auto"/>
        <w:ind w:firstLine="709" w:left="0"/>
        <w:jc w:val="both"/>
        <w:rPr>
          <w:sz w:val="28"/>
        </w:rPr>
      </w:pPr>
      <w:r>
        <w:rPr>
          <w:sz w:val="28"/>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w:t>
      </w:r>
      <w:r>
        <w:rPr>
          <w:sz w:val="28"/>
        </w:rPr>
        <w:t xml:space="preserve"> прогноз изменения при реализации проектов, указанных в утвержденной схеме теплоснабжения) (для каждой системы теплоснабжения, а также для сельского поселения).</w:t>
      </w:r>
    </w:p>
    <w:p w14:paraId="BF0D0000">
      <w:pPr>
        <w:tabs>
          <w:tab w:leader="none" w:pos="3045" w:val="left"/>
        </w:tabs>
        <w:spacing w:line="240" w:lineRule="auto"/>
        <w:ind w:firstLine="709" w:left="0"/>
        <w:jc w:val="both"/>
        <w:rPr>
          <w:sz w:val="28"/>
        </w:rPr>
      </w:pPr>
      <w:r>
        <w:rPr>
          <w:sz w:val="28"/>
        </w:rPr>
        <w:t xml:space="preserve">С 2024 по 2033 год показатель не определяется. </w:t>
      </w:r>
    </w:p>
    <w:p w14:paraId="C00D0000">
      <w:pPr>
        <w:tabs>
          <w:tab w:leader="none" w:pos="3045" w:val="left"/>
        </w:tabs>
        <w:spacing w:line="240" w:lineRule="auto"/>
        <w:ind w:firstLine="709" w:left="0"/>
        <w:jc w:val="both"/>
        <w:rPr>
          <w:sz w:val="28"/>
        </w:rPr>
      </w:pPr>
      <w:r>
        <w:rPr>
          <w:sz w:val="28"/>
        </w:rPr>
        <w:t>н) Отношение установленной тепловой мощности об</w:t>
      </w:r>
      <w:r>
        <w:rPr>
          <w:sz w:val="28"/>
        </w:rPr>
        <w:t>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w:t>
      </w:r>
      <w:r>
        <w:rPr>
          <w:sz w:val="28"/>
        </w:rPr>
        <w:t>лоснабжения, для сельского поселения).</w:t>
      </w:r>
    </w:p>
    <w:p w14:paraId="C10D0000">
      <w:pPr>
        <w:tabs>
          <w:tab w:leader="none" w:pos="3045" w:val="left"/>
        </w:tabs>
        <w:spacing w:line="240" w:lineRule="auto"/>
        <w:ind w:firstLine="709" w:left="0"/>
        <w:jc w:val="both"/>
        <w:rPr>
          <w:sz w:val="28"/>
        </w:rPr>
      </w:pPr>
      <w:r>
        <w:rPr>
          <w:sz w:val="28"/>
        </w:rPr>
        <w:t>С 2024 по 2033 год показатель не определяется.</w:t>
      </w:r>
    </w:p>
    <w:p w14:paraId="C20D0000">
      <w:pPr>
        <w:tabs>
          <w:tab w:leader="none" w:pos="3045" w:val="left"/>
        </w:tabs>
        <w:spacing w:line="240" w:lineRule="auto"/>
        <w:ind/>
        <w:jc w:val="center"/>
        <w:rPr>
          <w:sz w:val="28"/>
        </w:rPr>
      </w:pPr>
      <w:r>
        <w:rPr>
          <w:b w:val="1"/>
          <w:sz w:val="28"/>
        </w:rPr>
        <w:t>Глава 14 «Ценовые (тарифные) последствия Куйбышевского сельскогоКуйбышевского района»</w:t>
      </w:r>
    </w:p>
    <w:p w14:paraId="C30D0000">
      <w:pPr>
        <w:tabs>
          <w:tab w:leader="none" w:pos="3045" w:val="left"/>
        </w:tabs>
        <w:spacing w:line="240" w:lineRule="auto"/>
        <w:ind w:firstLine="709" w:left="0"/>
        <w:jc w:val="both"/>
        <w:rPr>
          <w:sz w:val="28"/>
        </w:rPr>
      </w:pPr>
      <w:r>
        <w:rPr>
          <w:sz w:val="28"/>
        </w:rPr>
        <w:t>а) Тарифно-балансовые расчетные модели теплоснабжения потребителей по каждой системе</w:t>
      </w:r>
      <w:r>
        <w:rPr>
          <w:sz w:val="28"/>
        </w:rPr>
        <w:t xml:space="preserve"> теплоснабжения.</w:t>
      </w:r>
    </w:p>
    <w:p w14:paraId="C40D0000">
      <w:pPr>
        <w:tabs>
          <w:tab w:leader="none" w:pos="3045" w:val="left"/>
        </w:tabs>
        <w:spacing w:line="240" w:lineRule="auto"/>
        <w:ind w:firstLine="709" w:left="0"/>
        <w:jc w:val="both"/>
        <w:rPr>
          <w:sz w:val="28"/>
        </w:rPr>
      </w:pPr>
      <w:r>
        <w:rPr>
          <w:sz w:val="28"/>
        </w:rPr>
        <w:t xml:space="preserve">Тарифно-балансовая расчетная модель теплоснабжения потребителей соответствуют тарифно-балансовой расчетной модели теплоснабжения потребителей по системе теплоснабжения. </w:t>
      </w:r>
    </w:p>
    <w:p w14:paraId="C50D0000">
      <w:pPr>
        <w:tabs>
          <w:tab w:leader="none" w:pos="3045" w:val="left"/>
        </w:tabs>
        <w:spacing w:line="240" w:lineRule="auto"/>
        <w:ind w:firstLine="709" w:left="0"/>
        <w:jc w:val="both"/>
        <w:rPr>
          <w:sz w:val="28"/>
        </w:rPr>
      </w:pPr>
      <w:r>
        <w:rPr>
          <w:sz w:val="28"/>
        </w:rPr>
        <w:t>б) Тарифно-балансовые расчетные модели теплоснабжения потребителей по</w:t>
      </w:r>
      <w:r>
        <w:rPr>
          <w:sz w:val="28"/>
        </w:rPr>
        <w:t xml:space="preserve"> каждой единой теплоснабжающей организации.</w:t>
      </w:r>
    </w:p>
    <w:p w14:paraId="C60D0000">
      <w:pPr>
        <w:tabs>
          <w:tab w:leader="none" w:pos="3045" w:val="left"/>
        </w:tabs>
        <w:spacing w:line="240" w:lineRule="auto"/>
        <w:ind w:firstLine="709" w:left="0"/>
        <w:jc w:val="both"/>
        <w:rPr>
          <w:sz w:val="28"/>
        </w:rPr>
      </w:pPr>
      <w:r>
        <w:rPr>
          <w:sz w:val="28"/>
        </w:rPr>
        <w:t xml:space="preserve">Тарифно-балансовая расчетная модель теплоснабжения потребителей единая. </w:t>
      </w:r>
    </w:p>
    <w:p w14:paraId="C70D0000">
      <w:pPr>
        <w:tabs>
          <w:tab w:leader="none" w:pos="3045" w:val="left"/>
        </w:tabs>
        <w:spacing w:line="240" w:lineRule="auto"/>
        <w:ind w:firstLine="709" w:left="0"/>
        <w:jc w:val="both"/>
        <w:rPr>
          <w:sz w:val="28"/>
        </w:rPr>
      </w:pPr>
      <w:r>
        <w:rPr>
          <w:sz w:val="28"/>
        </w:rPr>
        <w:t>в) Результаты оценки ценовых (тарифных) последствий реализации проектов схемы теплоснабжения, на основании разработанных тарифно-балансовых</w:t>
      </w:r>
      <w:r>
        <w:rPr>
          <w:sz w:val="28"/>
        </w:rPr>
        <w:t xml:space="preserve"> моделей.</w:t>
      </w:r>
    </w:p>
    <w:p w14:paraId="C80D0000">
      <w:pPr>
        <w:tabs>
          <w:tab w:leader="none" w:pos="3045" w:val="left"/>
        </w:tabs>
        <w:spacing w:line="240" w:lineRule="auto"/>
        <w:ind w:firstLine="709" w:left="0"/>
        <w:jc w:val="both"/>
        <w:rPr>
          <w:sz w:val="28"/>
        </w:rPr>
      </w:pPr>
      <w:r>
        <w:rPr>
          <w:sz w:val="28"/>
        </w:rPr>
        <w:t>Оценка ценовых (тарифных) последствий не проводится, ввиду отсутствия мероприятий, влияющих на изменение тарифа.</w:t>
      </w:r>
    </w:p>
    <w:p w14:paraId="C90D0000">
      <w:pPr>
        <w:tabs>
          <w:tab w:leader="none" w:pos="3045" w:val="left"/>
        </w:tabs>
        <w:spacing w:line="240" w:lineRule="auto"/>
        <w:ind w:firstLine="709" w:left="0"/>
        <w:jc w:val="center"/>
        <w:rPr>
          <w:b w:val="1"/>
          <w:sz w:val="28"/>
        </w:rPr>
      </w:pPr>
      <w:r>
        <w:rPr>
          <w:b w:val="1"/>
          <w:sz w:val="28"/>
        </w:rPr>
        <w:t>Глава 15 «Реестр единых теплоснабжающих организаций Куйбышевского сельского поселения Куйбышевского района»</w:t>
      </w:r>
    </w:p>
    <w:p w14:paraId="CA0D0000">
      <w:pPr>
        <w:tabs>
          <w:tab w:leader="none" w:pos="3045" w:val="left"/>
        </w:tabs>
        <w:spacing w:line="240" w:lineRule="auto"/>
        <w:ind w:firstLine="709" w:left="0"/>
        <w:jc w:val="both"/>
        <w:rPr>
          <w:sz w:val="28"/>
        </w:rPr>
      </w:pPr>
      <w:r>
        <w:rPr>
          <w:sz w:val="28"/>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Куйбышевского сельского поселения.</w:t>
      </w:r>
    </w:p>
    <w:p w14:paraId="CB0D0000">
      <w:pPr>
        <w:tabs>
          <w:tab w:leader="none" w:pos="3045" w:val="left"/>
        </w:tabs>
        <w:spacing w:line="240" w:lineRule="auto"/>
        <w:ind/>
        <w:jc w:val="both"/>
        <w:rPr>
          <w:sz w:val="28"/>
        </w:rPr>
      </w:pPr>
      <w:r>
        <w:rPr>
          <w:sz w:val="28"/>
        </w:rPr>
        <w:t>Реестр систем теплоснабжения в границах сельского поселения указано в</w:t>
      </w:r>
      <w:r>
        <w:rPr>
          <w:sz w:val="28"/>
        </w:rPr>
        <w:t xml:space="preserve"> таблице 15 схемы. </w:t>
      </w:r>
    </w:p>
    <w:p w14:paraId="CC0D0000">
      <w:pPr>
        <w:tabs>
          <w:tab w:leader="none" w:pos="3045" w:val="left"/>
        </w:tabs>
        <w:spacing w:after="0" w:before="200" w:line="240" w:lineRule="auto"/>
        <w:ind w:firstLine="709" w:left="0"/>
        <w:jc w:val="both"/>
        <w:rPr>
          <w:sz w:val="28"/>
        </w:rPr>
      </w:pPr>
      <w:r>
        <w:rPr>
          <w:sz w:val="28"/>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CD0D0000">
      <w:pPr>
        <w:tabs>
          <w:tab w:leader="none" w:pos="3045" w:val="left"/>
        </w:tabs>
        <w:spacing w:after="0" w:before="200" w:line="240" w:lineRule="auto"/>
        <w:ind w:firstLine="709" w:left="0"/>
        <w:jc w:val="both"/>
        <w:rPr>
          <w:sz w:val="28"/>
        </w:rPr>
      </w:pPr>
      <w:r>
        <w:rPr>
          <w:sz w:val="28"/>
        </w:rPr>
        <w:t xml:space="preserve">На 2024 год ЕТО не определено.  </w:t>
      </w:r>
    </w:p>
    <w:p w14:paraId="CE0D0000">
      <w:pPr>
        <w:tabs>
          <w:tab w:leader="none" w:pos="3045" w:val="left"/>
        </w:tabs>
        <w:spacing w:before="200" w:line="240" w:lineRule="auto"/>
        <w:ind w:firstLine="709" w:left="0"/>
        <w:jc w:val="both"/>
        <w:rPr>
          <w:sz w:val="28"/>
        </w:rPr>
      </w:pPr>
      <w:r>
        <w:rPr>
          <w:sz w:val="28"/>
        </w:rPr>
        <w:t>в) Основания, в том числе критерии, в соответствии с которым</w:t>
      </w:r>
      <w:r>
        <w:rPr>
          <w:sz w:val="28"/>
        </w:rPr>
        <w:t>и теплоснабжающей организации присвоен статус единой теплоснабжающей организации.</w:t>
      </w:r>
    </w:p>
    <w:p w14:paraId="CF0D0000">
      <w:pPr>
        <w:tabs>
          <w:tab w:leader="none" w:pos="3045" w:val="left"/>
        </w:tabs>
        <w:spacing w:line="240" w:lineRule="auto"/>
        <w:ind w:firstLine="709" w:left="0"/>
        <w:jc w:val="both"/>
        <w:rPr>
          <w:sz w:val="28"/>
        </w:rPr>
      </w:pPr>
      <w:r>
        <w:rPr>
          <w:sz w:val="28"/>
        </w:rPr>
        <w:t xml:space="preserve">На 2024 год ЕТО не определено.  </w:t>
      </w:r>
    </w:p>
    <w:p w14:paraId="D00D0000">
      <w:pPr>
        <w:tabs>
          <w:tab w:leader="none" w:pos="3045" w:val="left"/>
        </w:tabs>
        <w:spacing w:line="240" w:lineRule="auto"/>
        <w:ind w:firstLine="709" w:left="0"/>
        <w:jc w:val="both"/>
        <w:rPr>
          <w:sz w:val="28"/>
        </w:rPr>
      </w:pPr>
      <w:r>
        <w:rPr>
          <w:sz w:val="28"/>
        </w:rPr>
        <w:t>г) Заявки теплоснабжающих организаций, поданные в рамках разработки проекта схемы теплоснабжения (при их наличии), на присвоение статуса един</w:t>
      </w:r>
      <w:r>
        <w:rPr>
          <w:sz w:val="28"/>
        </w:rPr>
        <w:t>ой теплоснабжающей организации.</w:t>
      </w:r>
    </w:p>
    <w:p w14:paraId="D10D0000">
      <w:pPr>
        <w:tabs>
          <w:tab w:leader="none" w:pos="3045" w:val="left"/>
        </w:tabs>
        <w:spacing w:line="240" w:lineRule="auto"/>
        <w:ind w:firstLine="709" w:left="0"/>
        <w:jc w:val="both"/>
        <w:rPr>
          <w:sz w:val="28"/>
        </w:rPr>
      </w:pPr>
      <w:r>
        <w:rPr>
          <w:sz w:val="28"/>
        </w:rPr>
        <w:t>Сведения о заявках ЕТО, поданные в рамках разработки проекта схемы</w:t>
      </w:r>
      <w:bookmarkStart w:id="5" w:name="_Hlk141947570"/>
      <w:r>
        <w:rPr>
          <w:sz w:val="28"/>
        </w:rPr>
        <w:t xml:space="preserve"> теплоснабжения (при их наличии), на присвоение статуса единой теплоснабжающей организации, отсутствуют. </w:t>
      </w:r>
      <w:bookmarkEnd w:id="5"/>
    </w:p>
    <w:p w14:paraId="D20D0000">
      <w:pPr>
        <w:tabs>
          <w:tab w:leader="none" w:pos="3045" w:val="left"/>
        </w:tabs>
        <w:spacing w:line="240" w:lineRule="auto"/>
        <w:ind w:firstLine="709" w:left="0"/>
        <w:jc w:val="both"/>
        <w:rPr>
          <w:sz w:val="28"/>
        </w:rPr>
      </w:pPr>
      <w:r>
        <w:rPr>
          <w:sz w:val="28"/>
        </w:rPr>
        <w:t>д) Описание границ зон деятельности единой теплоснаб</w:t>
      </w:r>
      <w:r>
        <w:rPr>
          <w:sz w:val="28"/>
        </w:rPr>
        <w:t>жающей организации (организаций).</w:t>
      </w:r>
    </w:p>
    <w:p w14:paraId="D30D0000">
      <w:pPr>
        <w:spacing w:line="20" w:lineRule="atLeast"/>
        <w:ind w:firstLine="709" w:left="0"/>
        <w:jc w:val="both"/>
        <w:rPr>
          <w:sz w:val="28"/>
        </w:rPr>
      </w:pPr>
      <w:r>
        <w:rPr>
          <w:sz w:val="28"/>
        </w:rPr>
        <w:t xml:space="preserve"> На 2024 год ЕТО не определено.  </w:t>
      </w:r>
    </w:p>
    <w:p w14:paraId="D40D0000">
      <w:pPr>
        <w:spacing w:line="20" w:lineRule="atLeast"/>
        <w:ind w:firstLine="709" w:left="0"/>
        <w:jc w:val="center"/>
        <w:rPr>
          <w:b w:val="1"/>
          <w:sz w:val="28"/>
        </w:rPr>
      </w:pPr>
      <w:r>
        <w:rPr>
          <w:b w:val="1"/>
          <w:sz w:val="28"/>
        </w:rPr>
        <w:t>Глава 16 «Реестр мероприятий схемы теплоснабжения Куйбышевского сельского поселения Куйбышевского района»</w:t>
      </w:r>
    </w:p>
    <w:p w14:paraId="D50D0000">
      <w:pPr>
        <w:spacing w:line="20" w:lineRule="atLeast"/>
        <w:ind w:firstLine="709" w:left="0"/>
        <w:jc w:val="both"/>
        <w:rPr>
          <w:b w:val="1"/>
          <w:sz w:val="28"/>
        </w:rPr>
      </w:pPr>
      <w:r>
        <w:rPr>
          <w:b w:val="1"/>
          <w:sz w:val="28"/>
        </w:rPr>
        <w:t>16.1 Перечень мероприятий по строительству, реконструкции, техническому перевооруж</w:t>
      </w:r>
      <w:r>
        <w:rPr>
          <w:b w:val="1"/>
          <w:sz w:val="28"/>
        </w:rPr>
        <w:t>ению и (или) модернизации источников тепловой энергии</w:t>
      </w:r>
    </w:p>
    <w:p w14:paraId="D60D0000">
      <w:pPr>
        <w:spacing w:line="20" w:lineRule="atLeast"/>
        <w:ind w:firstLine="709" w:left="0"/>
        <w:jc w:val="both"/>
        <w:rPr>
          <w:sz w:val="28"/>
        </w:rPr>
      </w:pPr>
      <w:r>
        <w:rPr>
          <w:sz w:val="28"/>
        </w:rPr>
        <w:t xml:space="preserve">Мероприятия по строительству, реконструкции, техническому перевооружению и (или) модернизации источников тепловой энергии предусмотрены в таблице 12 Схемы. </w:t>
      </w:r>
    </w:p>
    <w:p w14:paraId="D70D0000">
      <w:pPr>
        <w:spacing w:line="20" w:lineRule="atLeast"/>
        <w:ind w:firstLine="709" w:left="0"/>
        <w:jc w:val="both"/>
        <w:rPr>
          <w:b w:val="1"/>
          <w:sz w:val="28"/>
        </w:rPr>
      </w:pPr>
      <w:r>
        <w:rPr>
          <w:b w:val="1"/>
          <w:sz w:val="28"/>
        </w:rPr>
        <w:t>16.2 Перечень мероприятий по строительству, р</w:t>
      </w:r>
      <w:r>
        <w:rPr>
          <w:b w:val="1"/>
          <w:sz w:val="28"/>
        </w:rPr>
        <w:t>еконструкции, техническому перевооружению и (или) модернизации тепловых сетей и сооружений на них</w:t>
      </w:r>
    </w:p>
    <w:p w14:paraId="D80D0000">
      <w:pPr>
        <w:spacing w:before="200" w:line="20" w:lineRule="atLeast"/>
        <w:ind w:firstLine="709" w:left="0"/>
        <w:jc w:val="both"/>
        <w:rPr>
          <w:sz w:val="28"/>
        </w:rPr>
      </w:pPr>
      <w:r>
        <w:rPr>
          <w:sz w:val="28"/>
        </w:rPr>
        <w:t xml:space="preserve">Мероприятия по реконструкции тепловых сетей предусмотрены в таблице 13 Схемы. </w:t>
      </w:r>
    </w:p>
    <w:p w14:paraId="D90D0000">
      <w:pPr>
        <w:spacing w:before="200" w:line="20" w:lineRule="atLeast"/>
        <w:ind w:firstLine="709" w:left="0"/>
        <w:jc w:val="both"/>
        <w:rPr>
          <w:sz w:val="28"/>
        </w:rPr>
      </w:pPr>
      <w:r>
        <w:rPr>
          <w:b w:val="1"/>
          <w:sz w:val="28"/>
        </w:rPr>
        <w:t>16.3 Перечень мероприятий, обеспечивающих перевод открытых систем теплоснабжени</w:t>
      </w:r>
      <w:r>
        <w:rPr>
          <w:b w:val="1"/>
          <w:sz w:val="28"/>
        </w:rPr>
        <w:t>я (горячего водоснабжения), отдельных участков таких систем на закрытые системы горячего водоснабжения</w:t>
      </w:r>
    </w:p>
    <w:p w14:paraId="DA0D0000">
      <w:pPr>
        <w:spacing w:before="200" w:line="20" w:lineRule="atLeast"/>
        <w:ind w:firstLine="709" w:left="0"/>
        <w:jc w:val="both"/>
        <w:rPr>
          <w:sz w:val="28"/>
        </w:rPr>
      </w:pPr>
      <w:r>
        <w:rPr>
          <w:sz w:val="28"/>
        </w:rPr>
        <w:t xml:space="preserve">ГВС не предусмотрена. </w:t>
      </w:r>
    </w:p>
    <w:p w14:paraId="DB0D0000">
      <w:pPr>
        <w:spacing w:before="200" w:line="20" w:lineRule="atLeast"/>
        <w:ind w:firstLine="709" w:left="0"/>
        <w:jc w:val="center"/>
        <w:rPr>
          <w:b w:val="1"/>
          <w:sz w:val="28"/>
        </w:rPr>
      </w:pPr>
      <w:r>
        <w:rPr>
          <w:b w:val="1"/>
          <w:sz w:val="28"/>
        </w:rPr>
        <w:t>Глава 17 «Замечания и предложения к проекту схемы теплоснабжения Куйбышевского сельского поселения Куйбышевского района»</w:t>
      </w:r>
    </w:p>
    <w:p w14:paraId="DC0D0000">
      <w:pPr>
        <w:spacing w:before="200" w:line="20" w:lineRule="atLeast"/>
        <w:ind w:firstLine="709" w:left="0"/>
        <w:jc w:val="both"/>
        <w:rPr>
          <w:b w:val="1"/>
          <w:sz w:val="28"/>
        </w:rPr>
      </w:pPr>
      <w:r>
        <w:rPr>
          <w:b w:val="1"/>
          <w:sz w:val="28"/>
        </w:rPr>
        <w:t xml:space="preserve">17.1 Перечень всех замечаний и предложений, поступивших при разработке, утверждении и актуализации схемы теплоснабжения </w:t>
      </w:r>
    </w:p>
    <w:p w14:paraId="DD0D0000">
      <w:pPr>
        <w:spacing w:line="20" w:lineRule="atLeast"/>
        <w:ind w:firstLine="709" w:left="0"/>
        <w:jc w:val="both"/>
        <w:rPr>
          <w:sz w:val="28"/>
        </w:rPr>
      </w:pPr>
      <w:r>
        <w:rPr>
          <w:sz w:val="28"/>
        </w:rPr>
        <w:t>Замечания, поступившие при актуализации схемы теплоснабжения, отсутствуют. Предложения Куйбышевского ОП – Филиал ООО «Ростовтеплоэнерго</w:t>
      </w:r>
      <w:r>
        <w:rPr>
          <w:sz w:val="28"/>
        </w:rPr>
        <w:t xml:space="preserve">» КР РО от 29.06.2023 г. в схему теплоснабжения внесены. </w:t>
      </w:r>
    </w:p>
    <w:p w14:paraId="DE0D0000">
      <w:pPr>
        <w:spacing w:line="20" w:lineRule="atLeast"/>
        <w:ind w:firstLine="709" w:left="0"/>
        <w:jc w:val="both"/>
        <w:rPr>
          <w:b w:val="1"/>
          <w:sz w:val="28"/>
        </w:rPr>
      </w:pPr>
      <w:r>
        <w:rPr>
          <w:b w:val="1"/>
          <w:sz w:val="28"/>
        </w:rPr>
        <w:t xml:space="preserve">17.2 Ответы разработчиков проекта схемы теплоснабжения на замечания и предложения </w:t>
      </w:r>
    </w:p>
    <w:p w14:paraId="DF0D0000">
      <w:pPr>
        <w:spacing w:after="0" w:line="20" w:lineRule="atLeast"/>
        <w:ind w:firstLine="709" w:left="0"/>
        <w:jc w:val="both"/>
        <w:rPr>
          <w:sz w:val="28"/>
        </w:rPr>
      </w:pPr>
      <w:r>
        <w:rPr>
          <w:sz w:val="28"/>
        </w:rPr>
        <w:t xml:space="preserve">Замечания, поступившие при разработке схемы теплоснабжения, отсутствуют. </w:t>
      </w:r>
    </w:p>
    <w:p w14:paraId="E00D0000">
      <w:pPr>
        <w:spacing w:after="0" w:line="20" w:lineRule="atLeast"/>
        <w:ind w:firstLine="709" w:left="0"/>
        <w:jc w:val="both"/>
        <w:rPr>
          <w:sz w:val="28"/>
        </w:rPr>
      </w:pPr>
      <w:r>
        <w:rPr>
          <w:sz w:val="28"/>
        </w:rPr>
        <w:t>В связи с отсутствием в Генеральном плане</w:t>
      </w:r>
      <w:r>
        <w:rPr>
          <w:sz w:val="28"/>
        </w:rPr>
        <w:t xml:space="preserve">, планов застройки территории под жилые, общественные объекты в зоне деятельности существующих </w:t>
      </w:r>
      <w:r>
        <w:rPr>
          <w:sz w:val="28"/>
        </w:rPr>
        <w:t>котельных на 2024 год объекты – потребители тепловой энергии не предусматриваются.</w:t>
      </w:r>
    </w:p>
    <w:p w14:paraId="E10D0000">
      <w:pPr>
        <w:spacing w:after="0" w:line="20" w:lineRule="atLeast"/>
        <w:ind w:firstLine="709" w:left="0"/>
        <w:jc w:val="both"/>
        <w:rPr>
          <w:sz w:val="28"/>
        </w:rPr>
      </w:pPr>
      <w:r>
        <w:rPr>
          <w:sz w:val="28"/>
        </w:rPr>
        <w:t>На 2024 год в зоне котельных расположены индивидуальные жилые дома, работающие</w:t>
      </w:r>
      <w:r>
        <w:rPr>
          <w:sz w:val="28"/>
        </w:rPr>
        <w:t xml:space="preserve"> на индивидуальном отоплении. Существующие объекты к СЦТ не подключаются. Возможность расширения зоны действия котельных не рассматривается, ввиду отсутствия новых потребителей, планируемых к строительству вне существующей зоны действия котельных.</w:t>
      </w:r>
    </w:p>
    <w:p w14:paraId="E20D0000">
      <w:pPr>
        <w:spacing w:after="0" w:line="20" w:lineRule="atLeast"/>
        <w:ind w:firstLine="709" w:left="0"/>
        <w:jc w:val="both"/>
        <w:rPr>
          <w:sz w:val="28"/>
        </w:rPr>
      </w:pPr>
      <w:r>
        <w:rPr>
          <w:sz w:val="28"/>
        </w:rPr>
        <w:t>В случае</w:t>
      </w:r>
      <w:r>
        <w:rPr>
          <w:sz w:val="28"/>
        </w:rPr>
        <w:t xml:space="preserve"> внесения изменений в Генеральный план сведений о присоединении потребителей к СЦТ, возможно рассмотреть вариант -строительство АБМК.</w:t>
      </w:r>
    </w:p>
    <w:p w14:paraId="E30D0000">
      <w:pPr>
        <w:spacing w:after="0" w:line="20" w:lineRule="atLeast"/>
        <w:ind w:firstLine="709" w:left="0"/>
        <w:jc w:val="both"/>
        <w:rPr>
          <w:sz w:val="28"/>
        </w:rPr>
      </w:pPr>
      <w:r>
        <w:rPr>
          <w:sz w:val="28"/>
        </w:rPr>
        <w:t>Перспективный район новой застройки должен быть обеспечен автономным индивидуальным теплоснабжением в обязательном порядке</w:t>
      </w:r>
      <w:r>
        <w:rPr>
          <w:sz w:val="28"/>
        </w:rPr>
        <w:t xml:space="preserve"> путём строительства новых источников тепловой мощности (котельные) для обеспечения теплоснабжения района перспективной застройки.</w:t>
      </w:r>
    </w:p>
    <w:p w14:paraId="E40D0000">
      <w:pPr>
        <w:spacing w:before="200" w:line="20" w:lineRule="atLeast"/>
        <w:ind w:firstLine="709" w:left="0"/>
        <w:jc w:val="both"/>
        <w:rPr>
          <w:b w:val="1"/>
          <w:sz w:val="28"/>
        </w:rPr>
      </w:pPr>
      <w:r>
        <w:rPr>
          <w:b w:val="1"/>
          <w:sz w:val="28"/>
        </w:rPr>
        <w:t>17.3 Перечень учтённых замечаний и предложений, а также реестр изменений, внесённых в разделы схемы теплоснабжения и главы об</w:t>
      </w:r>
      <w:r>
        <w:rPr>
          <w:b w:val="1"/>
          <w:sz w:val="28"/>
        </w:rPr>
        <w:t xml:space="preserve">основывающих материалов к схеме теплоснабжения </w:t>
      </w:r>
    </w:p>
    <w:p w14:paraId="E50D0000">
      <w:pPr>
        <w:spacing w:before="200" w:line="20" w:lineRule="atLeast"/>
        <w:ind w:firstLine="709" w:left="0"/>
        <w:jc w:val="both"/>
        <w:rPr>
          <w:sz w:val="28"/>
        </w:rPr>
      </w:pPr>
      <w:r>
        <w:rPr>
          <w:sz w:val="28"/>
        </w:rPr>
        <w:t>Перечень учтённых замечаний и предложений, а также реестр изменений, внесённых в разделы схемы отсутствует.</w:t>
      </w:r>
    </w:p>
    <w:p w14:paraId="E60D0000">
      <w:pPr>
        <w:spacing w:before="200" w:line="20" w:lineRule="atLeast"/>
        <w:ind w:firstLine="709" w:left="0"/>
        <w:jc w:val="center"/>
        <w:rPr>
          <w:sz w:val="28"/>
        </w:rPr>
      </w:pPr>
      <w:r>
        <w:rPr>
          <w:b w:val="1"/>
          <w:sz w:val="28"/>
        </w:rPr>
        <w:t>Глава 18 «Сводный том изменений, выполненных в доработанной и (или) актуализированной схеме теплосна</w:t>
      </w:r>
      <w:r>
        <w:rPr>
          <w:b w:val="1"/>
          <w:sz w:val="28"/>
        </w:rPr>
        <w:t>бжения Куйбышевского сельского поселения Куйбышевского района»</w:t>
      </w:r>
    </w:p>
    <w:p w14:paraId="E70D0000">
      <w:pPr>
        <w:spacing w:before="200" w:line="20" w:lineRule="atLeast"/>
        <w:ind w:firstLine="709" w:left="0"/>
        <w:jc w:val="both"/>
        <w:rPr>
          <w:sz w:val="28"/>
        </w:rPr>
      </w:pPr>
      <w:r>
        <w:rPr>
          <w:sz w:val="28"/>
        </w:rPr>
        <w:t>Схема теплоснабжения разработана по требованиям к схемам теплоснабжения, порядку их разработке, утверждённым ПП РФ № 154 «О требованиях к схемам теплоснабжения, порядку их разработки и утвержде</w:t>
      </w:r>
      <w:r>
        <w:rPr>
          <w:sz w:val="28"/>
        </w:rPr>
        <w:t>ния» (с изменениями и дополнениями) от 22.02.2012 года в ред. от 7.10.2014 г., 18.03.2016г., 23.03.2016 г., 12.07.2016 г., 3.04.2018 г., 27.03.2019 г., 31.05.2022 г., 10.01.2023 г..</w:t>
      </w:r>
    </w:p>
    <w:p w14:paraId="E80D0000">
      <w:pPr>
        <w:spacing w:before="200" w:line="20" w:lineRule="atLeast"/>
        <w:ind/>
        <w:jc w:val="both"/>
        <w:rPr>
          <w:sz w:val="28"/>
        </w:rPr>
      </w:pPr>
    </w:p>
    <w:p w14:paraId="E90D0000">
      <w:pPr>
        <w:spacing w:before="200" w:line="20" w:lineRule="atLeast"/>
        <w:ind w:firstLine="709" w:left="0"/>
        <w:jc w:val="both"/>
        <w:rPr>
          <w:b w:val="1"/>
          <w:sz w:val="28"/>
        </w:rPr>
      </w:pPr>
    </w:p>
    <w:p w14:paraId="EA0D0000">
      <w:pPr>
        <w:spacing w:before="200" w:line="20" w:lineRule="atLeast"/>
        <w:ind w:firstLine="709" w:left="0"/>
        <w:jc w:val="both"/>
        <w:rPr>
          <w:b w:val="1"/>
          <w:sz w:val="28"/>
        </w:rPr>
      </w:pPr>
    </w:p>
    <w:p w14:paraId="EB0D0000">
      <w:pPr>
        <w:spacing w:before="200" w:line="20" w:lineRule="atLeast"/>
        <w:ind w:firstLine="709" w:left="0"/>
        <w:jc w:val="both"/>
        <w:rPr>
          <w:b w:val="1"/>
          <w:sz w:val="28"/>
        </w:rPr>
      </w:pPr>
    </w:p>
    <w:p w14:paraId="EC0D0000">
      <w:pPr>
        <w:spacing w:before="200" w:line="20" w:lineRule="atLeast"/>
        <w:ind w:firstLine="709" w:left="0"/>
        <w:jc w:val="both"/>
        <w:rPr>
          <w:b w:val="1"/>
          <w:sz w:val="28"/>
        </w:rPr>
      </w:pPr>
    </w:p>
    <w:p w14:paraId="ED0D0000">
      <w:pPr>
        <w:spacing w:before="200" w:line="20" w:lineRule="atLeast"/>
        <w:ind w:firstLine="709" w:left="0"/>
        <w:jc w:val="both"/>
        <w:rPr>
          <w:b w:val="1"/>
          <w:sz w:val="28"/>
        </w:rPr>
      </w:pPr>
    </w:p>
    <w:p w14:paraId="EE0D0000">
      <w:pPr>
        <w:spacing w:before="200" w:line="20" w:lineRule="atLeast"/>
        <w:ind w:firstLine="709" w:left="0"/>
        <w:jc w:val="both"/>
        <w:rPr>
          <w:b w:val="1"/>
          <w:sz w:val="28"/>
        </w:rPr>
      </w:pPr>
    </w:p>
    <w:p w14:paraId="EF0D0000">
      <w:pPr>
        <w:spacing w:before="200" w:line="20" w:lineRule="atLeast"/>
        <w:ind w:firstLine="709" w:left="0"/>
        <w:jc w:val="both"/>
        <w:rPr>
          <w:b w:val="1"/>
          <w:sz w:val="28"/>
        </w:rPr>
      </w:pPr>
    </w:p>
    <w:p w14:paraId="F00D0000">
      <w:pPr>
        <w:spacing w:before="200" w:line="20" w:lineRule="atLeast"/>
        <w:ind w:firstLine="709" w:left="0"/>
        <w:jc w:val="both"/>
        <w:rPr>
          <w:b w:val="1"/>
          <w:sz w:val="28"/>
        </w:rPr>
      </w:pPr>
    </w:p>
    <w:p w14:paraId="F10D0000">
      <w:pPr>
        <w:spacing w:before="200" w:line="20" w:lineRule="atLeast"/>
        <w:ind w:firstLine="709" w:left="0"/>
        <w:jc w:val="both"/>
        <w:rPr>
          <w:b w:val="1"/>
          <w:sz w:val="28"/>
        </w:rPr>
      </w:pPr>
    </w:p>
    <w:p w14:paraId="F20D0000">
      <w:pPr>
        <w:spacing w:before="200" w:line="20" w:lineRule="atLeast"/>
        <w:ind/>
        <w:jc w:val="both"/>
        <w:rPr>
          <w:b w:val="1"/>
        </w:rPr>
      </w:pPr>
    </w:p>
    <w:p w14:paraId="F30D0000">
      <w:pPr>
        <w:spacing w:before="200" w:line="20" w:lineRule="atLeast"/>
        <w:ind/>
        <w:jc w:val="both"/>
        <w:rPr>
          <w:b w:val="1"/>
        </w:rPr>
      </w:pPr>
      <w:r>
        <w:rPr>
          <w:b w:val="1"/>
        </w:rPr>
        <w:t>Карта (схема) зоны действия СЦТ с. Куйбышево, ул. Пролетарская,</w:t>
      </w:r>
      <w:r>
        <w:rPr>
          <w:b w:val="1"/>
        </w:rPr>
        <w:t xml:space="preserve"> 7</w:t>
      </w:r>
    </w:p>
    <w:p w14:paraId="F40D0000">
      <w:pPr>
        <w:spacing w:before="200" w:line="20" w:lineRule="atLeast"/>
        <w:ind/>
        <w:jc w:val="both"/>
        <w:rPr>
          <w:b w:val="1"/>
          <w:sz w:val="28"/>
        </w:rPr>
      </w:pPr>
      <w:r>
        <w:drawing>
          <wp:inline>
            <wp:extent cx="6029325" cy="5553075"/>
            <wp:effectExtent b="0" l="0" r="0" t="0"/>
            <wp:docPr hidden="false" id="6" name="Picture 6"/>
            <a:graphic>
              <a:graphicData uri="http://schemas.openxmlformats.org/drawingml/2006/picture">
                <pic:pic>
                  <pic:nvPicPr>
                    <pic:cNvPr hidden="false" id="5" name="Picture 5"/>
                    <pic:cNvPicPr preferRelativeResize="true"/>
                  </pic:nvPicPr>
                  <pic:blipFill>
                    <a:blip r:embed="rId7"/>
                    <a:srcRect b="0" l="0" r="0" t="0"/>
                    <a:stretch/>
                  </pic:blipFill>
                  <pic:spPr>
                    <a:xfrm flipH="false" flipV="false" rot="0">
                      <a:ext cx="6029325" cy="5553075"/>
                    </a:xfrm>
                    <a:prstGeom prst="rect"/>
                  </pic:spPr>
                </pic:pic>
              </a:graphicData>
            </a:graphic>
          </wp:inline>
        </w:drawing>
      </w:r>
    </w:p>
    <w:p w14:paraId="F50D0000">
      <w:pPr>
        <w:spacing w:before="200" w:line="20" w:lineRule="atLeast"/>
        <w:ind/>
        <w:jc w:val="both"/>
        <w:rPr>
          <w:sz w:val="20"/>
        </w:rPr>
      </w:pPr>
      <w:r>
        <w:rPr>
          <w:sz w:val="20"/>
        </w:rPr>
        <w:t xml:space="preserve">*58 – котельная </w:t>
      </w:r>
    </w:p>
    <w:p w14:paraId="F60D0000">
      <w:pPr>
        <w:spacing w:before="200" w:line="20" w:lineRule="atLeast"/>
        <w:ind/>
        <w:jc w:val="both"/>
        <w:rPr>
          <w:b w:val="1"/>
        </w:rPr>
      </w:pPr>
    </w:p>
    <w:p w14:paraId="F70D0000">
      <w:pPr>
        <w:spacing w:before="200" w:line="20" w:lineRule="atLeast"/>
        <w:ind/>
        <w:jc w:val="both"/>
        <w:rPr>
          <w:b w:val="1"/>
        </w:rPr>
      </w:pPr>
    </w:p>
    <w:p w14:paraId="F80D0000">
      <w:pPr>
        <w:spacing w:before="200" w:line="20" w:lineRule="atLeast"/>
        <w:ind/>
        <w:jc w:val="both"/>
        <w:rPr>
          <w:b w:val="1"/>
        </w:rPr>
      </w:pPr>
    </w:p>
    <w:p w14:paraId="F90D0000">
      <w:pPr>
        <w:spacing w:before="200" w:line="20" w:lineRule="atLeast"/>
        <w:ind/>
        <w:jc w:val="both"/>
        <w:rPr>
          <w:b w:val="1"/>
        </w:rPr>
      </w:pPr>
    </w:p>
    <w:p w14:paraId="FA0D0000">
      <w:pPr>
        <w:spacing w:before="200" w:line="20" w:lineRule="atLeast"/>
        <w:ind/>
        <w:jc w:val="both"/>
        <w:rPr>
          <w:b w:val="1"/>
        </w:rPr>
      </w:pPr>
    </w:p>
    <w:p w14:paraId="FB0D0000">
      <w:pPr>
        <w:spacing w:before="200" w:line="20" w:lineRule="atLeast"/>
        <w:ind/>
        <w:jc w:val="both"/>
        <w:rPr>
          <w:b w:val="1"/>
        </w:rPr>
      </w:pPr>
    </w:p>
    <w:p w14:paraId="FC0D0000">
      <w:pPr>
        <w:spacing w:before="200" w:line="20" w:lineRule="atLeast"/>
        <w:ind/>
        <w:jc w:val="both"/>
        <w:rPr>
          <w:b w:val="1"/>
        </w:rPr>
      </w:pPr>
    </w:p>
    <w:p w14:paraId="FD0D0000">
      <w:pPr>
        <w:sectPr>
          <w:headerReference r:id="rId1" w:type="first"/>
          <w:headerReference r:id="rId5" w:type="default"/>
          <w:footerReference r:id="rId6" w:type="default"/>
          <w:pgSz w:h="16838" w:orient="portrait" w:w="11906"/>
          <w:pgMar w:bottom="1134" w:footer="709" w:gutter="0" w:header="709" w:left="1701" w:right="567" w:top="1134"/>
          <w:pgNumType w:start="1"/>
          <w:titlePg/>
        </w:sectPr>
      </w:pPr>
    </w:p>
    <w:p w14:paraId="FE0D0000">
      <w:pPr>
        <w:spacing w:before="200" w:line="20" w:lineRule="atLeast"/>
        <w:ind/>
        <w:jc w:val="both"/>
        <w:rPr>
          <w:b w:val="1"/>
        </w:rPr>
      </w:pPr>
      <w:r>
        <w:rPr>
          <w:b w:val="1"/>
        </w:rPr>
        <w:t>Карта (схема) действия тепловых сетей в зоне котельной с. Куйбышево, ул. Пролетарская, 7</w:t>
      </w:r>
    </w:p>
    <w:p w14:paraId="FF0D0000">
      <w:pPr>
        <w:spacing w:before="200" w:line="20" w:lineRule="atLeast"/>
        <w:ind/>
        <w:jc w:val="center"/>
        <w:rPr>
          <w:b w:val="1"/>
        </w:rPr>
      </w:pPr>
      <w:r>
        <w:drawing>
          <wp:inline>
            <wp:extent cx="9248775" cy="5295900"/>
            <wp:effectExtent b="0" l="0" r="0" t="0"/>
            <wp:docPr hidden="false" id="8" name="Picture 8"/>
            <a:graphic>
              <a:graphicData uri="http://schemas.openxmlformats.org/drawingml/2006/picture">
                <pic:pic>
                  <pic:nvPicPr>
                    <pic:cNvPr hidden="false" id="7" name="Picture 7"/>
                    <pic:cNvPicPr preferRelativeResize="true"/>
                  </pic:nvPicPr>
                  <pic:blipFill>
                    <a:blip r:embed="rId8"/>
                    <a:srcRect b="0" l="0" r="0" t="0"/>
                    <a:stretch/>
                  </pic:blipFill>
                  <pic:spPr>
                    <a:xfrm flipH="false" flipV="false" rot="0">
                      <a:ext cx="9248775" cy="5295900"/>
                    </a:xfrm>
                    <a:prstGeom prst="rect"/>
                  </pic:spPr>
                </pic:pic>
              </a:graphicData>
            </a:graphic>
          </wp:inline>
        </w:drawing>
      </w:r>
    </w:p>
    <w:sectPr>
      <w:headerReference r:id="rId4" w:type="first"/>
      <w:headerReference r:id="rId2" w:type="default"/>
      <w:footerReference r:id="rId3" w:type="default"/>
      <w:pgSz w:h="11906" w:orient="landscape" w:w="16838"/>
      <w:pgMar w:bottom="567" w:footer="709" w:gutter="0" w:header="709" w:left="1134" w:right="1134" w:top="1701"/>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2"/>
      <w:ind/>
      <w:jc w:val="center"/>
    </w:pPr>
  </w:p>
  <w:p w14:paraId="04000000">
    <w:pPr>
      <w:pStyle w:val="Style_2"/>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00000">
    <w:pPr>
      <w:pStyle w:val="Style_2"/>
      <w:ind/>
      <w:jc w:val="center"/>
    </w:pPr>
  </w:p>
  <w:p w14:paraId="08000000">
    <w:pPr>
      <w:pStyle w:val="Style_2"/>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pStyle w:val="Style_1"/>
    </w:pP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PAGE \* Arabic</w:instrText>
    </w:r>
    <w:r>
      <w:fldChar w:fldCharType="separate"/>
    </w:r>
    <w:r>
      <w:fldChar w:fldCharType="end"/>
    </w:r>
  </w:p>
  <w:p w14:paraId="02000000">
    <w:pPr>
      <w:pStyle w:val="Style_1"/>
      <w:ind/>
      <w:jc w:val="center"/>
    </w:pPr>
  </w:p>
</w:hdr>
</file>

<file path=word/header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PAGE \* Arabic</w:instrText>
    </w:r>
    <w:r>
      <w:fldChar w:fldCharType="separate"/>
    </w:r>
    <w:r>
      <w:fldChar w:fldCharType="end"/>
    </w:r>
  </w:p>
  <w:p w14:paraId="05000000">
    <w:pPr>
      <w:pStyle w:val="Style_1"/>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PAGE \* Arabic</w:instrText>
    </w:r>
    <w:r>
      <w:fldChar w:fldCharType="separate"/>
    </w:r>
    <w:r>
      <w:fldChar w:fldCharType="end"/>
    </w:r>
  </w:p>
  <w:p w14:paraId="06000000">
    <w:pPr>
      <w:pStyle w:val="Style_1"/>
      <w:ind/>
      <w:jc w:val="center"/>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center"/>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0" w:type="paragraph">
    <w:name w:val="Normal"/>
    <w:link w:val="Style_10_ch"/>
    <w:uiPriority w:val="0"/>
    <w:qFormat/>
    <w:pPr>
      <w:spacing w:after="200" w:line="276" w:lineRule="auto"/>
      <w:ind/>
    </w:pPr>
    <w:rPr>
      <w:sz w:val="22"/>
    </w:rPr>
  </w:style>
  <w:style w:default="1" w:styleId="Style_10_ch" w:type="character">
    <w:name w:val="Normal"/>
    <w:link w:val="Style_10"/>
    <w:rPr>
      <w:sz w:val="22"/>
    </w:rPr>
  </w:style>
  <w:style w:styleId="Style_11" w:type="paragraph">
    <w:name w:val="Style119"/>
    <w:basedOn w:val="Style_10"/>
    <w:link w:val="Style_11_ch"/>
    <w:pPr>
      <w:widowControl w:val="0"/>
      <w:spacing w:after="0" w:line="283" w:lineRule="exact"/>
      <w:ind w:firstLine="571" w:left="0"/>
    </w:pPr>
    <w:rPr>
      <w:sz w:val="24"/>
    </w:rPr>
  </w:style>
  <w:style w:styleId="Style_11_ch" w:type="character">
    <w:name w:val="Style119"/>
    <w:basedOn w:val="Style_10_ch"/>
    <w:link w:val="Style_11"/>
    <w:rPr>
      <w:sz w:val="24"/>
    </w:rPr>
  </w:style>
  <w:style w:styleId="Style_12" w:type="paragraph">
    <w:name w:val="Document Map"/>
    <w:basedOn w:val="Style_10"/>
    <w:link w:val="Style_12_ch"/>
    <w:pPr>
      <w:widowControl w:val="0"/>
      <w:spacing w:after="0" w:line="240" w:lineRule="auto"/>
      <w:ind/>
    </w:pPr>
    <w:rPr>
      <w:rFonts w:ascii="Tahoma" w:hAnsi="Tahoma"/>
      <w:sz w:val="20"/>
    </w:rPr>
  </w:style>
  <w:style w:styleId="Style_12_ch" w:type="character">
    <w:name w:val="Document Map"/>
    <w:basedOn w:val="Style_10_ch"/>
    <w:link w:val="Style_12"/>
    <w:rPr>
      <w:rFonts w:ascii="Tahoma" w:hAnsi="Tahoma"/>
      <w:sz w:val="20"/>
    </w:rPr>
  </w:style>
  <w:style w:styleId="Style_13" w:type="paragraph">
    <w:name w:val="Основной текст 3 Знак1"/>
    <w:link w:val="Style_13_ch"/>
    <w:rPr>
      <w:sz w:val="16"/>
    </w:rPr>
  </w:style>
  <w:style w:styleId="Style_13_ch" w:type="character">
    <w:name w:val="Основной текст 3 Знак1"/>
    <w:link w:val="Style_13"/>
    <w:rPr>
      <w:sz w:val="16"/>
    </w:rPr>
  </w:style>
  <w:style w:styleId="Style_14" w:type="paragraph">
    <w:name w:val="xl151"/>
    <w:basedOn w:val="Style_10"/>
    <w:link w:val="Style_14_ch"/>
    <w:pPr>
      <w:spacing w:after="280" w:before="280" w:line="240" w:lineRule="auto"/>
      <w:ind/>
    </w:pPr>
    <w:rPr>
      <w:sz w:val="24"/>
    </w:rPr>
  </w:style>
  <w:style w:styleId="Style_14_ch" w:type="character">
    <w:name w:val="xl151"/>
    <w:basedOn w:val="Style_10_ch"/>
    <w:link w:val="Style_14"/>
    <w:rPr>
      <w:sz w:val="24"/>
    </w:rPr>
  </w:style>
  <w:style w:styleId="Style_15" w:type="paragraph">
    <w:name w:val="WW-Absatz-Standardschriftart111111111111111111111111111111"/>
    <w:link w:val="Style_15_ch"/>
  </w:style>
  <w:style w:styleId="Style_15_ch" w:type="character">
    <w:name w:val="WW-Absatz-Standardschriftart111111111111111111111111111111"/>
    <w:link w:val="Style_15"/>
  </w:style>
  <w:style w:styleId="Style_16" w:type="paragraph">
    <w:name w:val="geo-lon1"/>
    <w:link w:val="Style_16_ch"/>
  </w:style>
  <w:style w:styleId="Style_16_ch" w:type="character">
    <w:name w:val="geo-lon1"/>
    <w:link w:val="Style_16"/>
  </w:style>
  <w:style w:styleId="Style_17" w:type="paragraph">
    <w:name w:val="xl170"/>
    <w:basedOn w:val="Style_10"/>
    <w:link w:val="Style_17_ch"/>
    <w:pPr>
      <w:spacing w:after="280" w:before="280" w:line="240" w:lineRule="auto"/>
      <w:ind/>
      <w:jc w:val="center"/>
    </w:pPr>
    <w:rPr>
      <w:sz w:val="24"/>
    </w:rPr>
  </w:style>
  <w:style w:styleId="Style_17_ch" w:type="character">
    <w:name w:val="xl170"/>
    <w:basedOn w:val="Style_10_ch"/>
    <w:link w:val="Style_17"/>
    <w:rPr>
      <w:sz w:val="24"/>
    </w:rPr>
  </w:style>
  <w:style w:styleId="Style_18" w:type="paragraph">
    <w:name w:val="WW8Num25z2"/>
    <w:link w:val="Style_18_ch"/>
    <w:rPr>
      <w:rFonts w:ascii="Wingdings" w:hAnsi="Wingdings"/>
    </w:rPr>
  </w:style>
  <w:style w:styleId="Style_18_ch" w:type="character">
    <w:name w:val="WW8Num25z2"/>
    <w:link w:val="Style_18"/>
    <w:rPr>
      <w:rFonts w:ascii="Wingdings" w:hAnsi="Wingdings"/>
    </w:rPr>
  </w:style>
  <w:style w:styleId="Style_19" w:type="paragraph">
    <w:name w:val="WW8Num29z2"/>
    <w:link w:val="Style_19_ch"/>
    <w:rPr>
      <w:rFonts w:ascii="Wingdings" w:hAnsi="Wingdings"/>
    </w:rPr>
  </w:style>
  <w:style w:styleId="Style_19_ch" w:type="character">
    <w:name w:val="WW8Num29z2"/>
    <w:link w:val="Style_19"/>
    <w:rPr>
      <w:rFonts w:ascii="Wingdings" w:hAnsi="Wingdings"/>
    </w:rPr>
  </w:style>
  <w:style w:styleId="Style_20" w:type="paragraph">
    <w:name w:val="z-Конец формы Знак"/>
    <w:link w:val="Style_20_ch"/>
    <w:rPr>
      <w:rFonts w:ascii="Arial" w:hAnsi="Arial"/>
      <w:sz w:val="16"/>
    </w:rPr>
  </w:style>
  <w:style w:styleId="Style_20_ch" w:type="character">
    <w:name w:val="z-Конец формы Знак"/>
    <w:link w:val="Style_20"/>
    <w:rPr>
      <w:rFonts w:ascii="Arial" w:hAnsi="Arial"/>
      <w:sz w:val="16"/>
    </w:rPr>
  </w:style>
  <w:style w:styleId="Style_21" w:type="paragraph">
    <w:name w:val="WW-Содержимое таблицы1"/>
    <w:basedOn w:val="Style_10"/>
    <w:link w:val="Style_21_ch"/>
    <w:pPr>
      <w:widowControl w:val="0"/>
      <w:spacing w:after="0" w:line="240" w:lineRule="auto"/>
      <w:ind/>
    </w:pPr>
    <w:rPr>
      <w:sz w:val="24"/>
    </w:rPr>
  </w:style>
  <w:style w:styleId="Style_21_ch" w:type="character">
    <w:name w:val="WW-Содержимое таблицы1"/>
    <w:basedOn w:val="Style_10_ch"/>
    <w:link w:val="Style_21"/>
    <w:rPr>
      <w:sz w:val="24"/>
    </w:rPr>
  </w:style>
  <w:style w:styleId="Style_22" w:type="paragraph">
    <w:name w:val="???????? ????? ??????"/>
    <w:link w:val="Style_22_ch"/>
  </w:style>
  <w:style w:styleId="Style_22_ch" w:type="character">
    <w:name w:val="???????? ????? ??????"/>
    <w:link w:val="Style_22"/>
  </w:style>
  <w:style w:styleId="Style_23" w:type="paragraph">
    <w:name w:val="WW8Num54z3"/>
    <w:link w:val="Style_23_ch"/>
    <w:rPr>
      <w:rFonts w:ascii="Symbol" w:hAnsi="Symbol"/>
    </w:rPr>
  </w:style>
  <w:style w:styleId="Style_23_ch" w:type="character">
    <w:name w:val="WW8Num54z3"/>
    <w:link w:val="Style_23"/>
    <w:rPr>
      <w:rFonts w:ascii="Symbol" w:hAnsi="Symbol"/>
    </w:rPr>
  </w:style>
  <w:style w:styleId="Style_24" w:type="paragraph">
    <w:name w:val="WW8Num6z0"/>
    <w:link w:val="Style_24_ch"/>
    <w:rPr>
      <w:rFonts w:ascii="Courier New" w:hAnsi="Courier New"/>
    </w:rPr>
  </w:style>
  <w:style w:styleId="Style_24_ch" w:type="character">
    <w:name w:val="WW8Num6z0"/>
    <w:link w:val="Style_24"/>
    <w:rPr>
      <w:rFonts w:ascii="Courier New" w:hAnsi="Courier New"/>
    </w:rPr>
  </w:style>
  <w:style w:styleId="Style_25" w:type="paragraph">
    <w:name w:val="Основной текст Знак Знак"/>
    <w:link w:val="Style_25_ch"/>
    <w:rPr>
      <w:b w:val="1"/>
      <w:sz w:val="28"/>
    </w:rPr>
  </w:style>
  <w:style w:styleId="Style_25_ch" w:type="character">
    <w:name w:val="Основной текст Знак Знак"/>
    <w:link w:val="Style_25"/>
    <w:rPr>
      <w:b w:val="1"/>
      <w:sz w:val="28"/>
    </w:rPr>
  </w:style>
  <w:style w:styleId="Style_26" w:type="paragraph">
    <w:name w:val="xl141"/>
    <w:basedOn w:val="Style_10"/>
    <w:link w:val="Style_26_ch"/>
    <w:pPr>
      <w:spacing w:after="280" w:before="280" w:line="240" w:lineRule="auto"/>
      <w:ind/>
      <w:jc w:val="center"/>
    </w:pPr>
    <w:rPr>
      <w:sz w:val="18"/>
    </w:rPr>
  </w:style>
  <w:style w:styleId="Style_26_ch" w:type="character">
    <w:name w:val="xl141"/>
    <w:basedOn w:val="Style_10_ch"/>
    <w:link w:val="Style_26"/>
    <w:rPr>
      <w:sz w:val="18"/>
    </w:rPr>
  </w:style>
  <w:style w:styleId="Style_27" w:type="paragraph">
    <w:name w:val="WW8NumSt24z0"/>
    <w:link w:val="Style_27_ch"/>
    <w:rPr>
      <w:rFonts w:ascii="Courier New" w:hAnsi="Courier New"/>
    </w:rPr>
  </w:style>
  <w:style w:styleId="Style_27_ch" w:type="character">
    <w:name w:val="WW8NumSt24z0"/>
    <w:link w:val="Style_27"/>
    <w:rPr>
      <w:rFonts w:ascii="Courier New" w:hAnsi="Courier New"/>
    </w:rPr>
  </w:style>
  <w:style w:styleId="Style_28" w:type="paragraph">
    <w:name w:val="Style66"/>
    <w:basedOn w:val="Style_10"/>
    <w:link w:val="Style_28_ch"/>
    <w:pPr>
      <w:widowControl w:val="0"/>
      <w:spacing w:after="0" w:line="113" w:lineRule="exact"/>
      <w:ind/>
    </w:pPr>
    <w:rPr>
      <w:sz w:val="24"/>
    </w:rPr>
  </w:style>
  <w:style w:styleId="Style_28_ch" w:type="character">
    <w:name w:val="Style66"/>
    <w:basedOn w:val="Style_10_ch"/>
    <w:link w:val="Style_28"/>
    <w:rPr>
      <w:sz w:val="24"/>
    </w:rPr>
  </w:style>
  <w:style w:styleId="Style_29" w:type="paragraph">
    <w:name w:val="toc 2"/>
    <w:basedOn w:val="Style_10"/>
    <w:next w:val="Style_10"/>
    <w:link w:val="Style_29_ch"/>
    <w:uiPriority w:val="39"/>
    <w:pPr>
      <w:widowControl w:val="0"/>
      <w:spacing w:after="100" w:line="240" w:lineRule="auto"/>
      <w:ind w:firstLine="0" w:left="240"/>
    </w:pPr>
    <w:rPr>
      <w:sz w:val="24"/>
    </w:rPr>
  </w:style>
  <w:style w:styleId="Style_29_ch" w:type="character">
    <w:name w:val="toc 2"/>
    <w:basedOn w:val="Style_10_ch"/>
    <w:link w:val="Style_29"/>
    <w:rPr>
      <w:sz w:val="24"/>
    </w:rPr>
  </w:style>
  <w:style w:styleId="Style_30" w:type="paragraph">
    <w:name w:val="WW8NumSt19z0"/>
    <w:link w:val="Style_30_ch"/>
    <w:rPr>
      <w:rFonts w:ascii="Courier New" w:hAnsi="Courier New"/>
    </w:rPr>
  </w:style>
  <w:style w:styleId="Style_30_ch" w:type="character">
    <w:name w:val="WW8NumSt19z0"/>
    <w:link w:val="Style_30"/>
    <w:rPr>
      <w:rFonts w:ascii="Courier New" w:hAnsi="Courier New"/>
    </w:rPr>
  </w:style>
  <w:style w:styleId="Style_31" w:type="paragraph">
    <w:name w:val="xl165"/>
    <w:basedOn w:val="Style_10"/>
    <w:link w:val="Style_31_ch"/>
    <w:pPr>
      <w:spacing w:after="280" w:before="280" w:line="240" w:lineRule="auto"/>
      <w:ind/>
      <w:jc w:val="center"/>
    </w:pPr>
    <w:rPr>
      <w:b w:val="1"/>
      <w:sz w:val="28"/>
    </w:rPr>
  </w:style>
  <w:style w:styleId="Style_31_ch" w:type="character">
    <w:name w:val="xl165"/>
    <w:basedOn w:val="Style_10_ch"/>
    <w:link w:val="Style_31"/>
    <w:rPr>
      <w:b w:val="1"/>
      <w:sz w:val="28"/>
    </w:rPr>
  </w:style>
  <w:style w:styleId="Style_32" w:type="paragraph">
    <w:name w:val="WW8Num513z0"/>
    <w:link w:val="Style_32_ch"/>
    <w:rPr>
      <w:rFonts w:ascii="Symbol" w:hAnsi="Symbol"/>
    </w:rPr>
  </w:style>
  <w:style w:styleId="Style_32_ch" w:type="character">
    <w:name w:val="WW8Num513z0"/>
    <w:link w:val="Style_32"/>
    <w:rPr>
      <w:rFonts w:ascii="Symbol" w:hAnsi="Symbol"/>
    </w:rPr>
  </w:style>
  <w:style w:styleId="Style_33" w:type="paragraph">
    <w:name w:val="Style63"/>
    <w:basedOn w:val="Style_10"/>
    <w:link w:val="Style_33_ch"/>
    <w:pPr>
      <w:widowControl w:val="0"/>
      <w:spacing w:after="0" w:line="278" w:lineRule="exact"/>
      <w:ind w:hanging="245" w:left="245"/>
    </w:pPr>
    <w:rPr>
      <w:sz w:val="24"/>
    </w:rPr>
  </w:style>
  <w:style w:styleId="Style_33_ch" w:type="character">
    <w:name w:val="Style63"/>
    <w:basedOn w:val="Style_10_ch"/>
    <w:link w:val="Style_33"/>
    <w:rPr>
      <w:sz w:val="24"/>
    </w:rPr>
  </w:style>
  <w:style w:styleId="Style_34" w:type="paragraph">
    <w:name w:val="WW8Num52z0"/>
    <w:link w:val="Style_34_ch"/>
    <w:rPr>
      <w:rFonts w:ascii="Wingdings" w:hAnsi="Wingdings"/>
    </w:rPr>
  </w:style>
  <w:style w:styleId="Style_34_ch" w:type="character">
    <w:name w:val="WW8Num52z0"/>
    <w:link w:val="Style_34"/>
    <w:rPr>
      <w:rFonts w:ascii="Wingdings" w:hAnsi="Wingdings"/>
    </w:rPr>
  </w:style>
  <w:style w:styleId="Style_35" w:type="paragraph">
    <w:name w:val="Style109"/>
    <w:basedOn w:val="Style_10"/>
    <w:link w:val="Style_35_ch"/>
    <w:pPr>
      <w:widowControl w:val="0"/>
      <w:spacing w:after="0" w:line="240" w:lineRule="auto"/>
      <w:ind/>
    </w:pPr>
    <w:rPr>
      <w:sz w:val="24"/>
    </w:rPr>
  </w:style>
  <w:style w:styleId="Style_35_ch" w:type="character">
    <w:name w:val="Style109"/>
    <w:basedOn w:val="Style_10_ch"/>
    <w:link w:val="Style_35"/>
    <w:rPr>
      <w:sz w:val="24"/>
    </w:rPr>
  </w:style>
  <w:style w:styleId="Style_36" w:type="paragraph">
    <w:name w:val="font17"/>
    <w:basedOn w:val="Style_10"/>
    <w:link w:val="Style_36_ch"/>
    <w:pPr>
      <w:spacing w:afterAutospacing="on" w:beforeAutospacing="on" w:line="240" w:lineRule="auto"/>
      <w:ind/>
    </w:pPr>
    <w:rPr>
      <w:sz w:val="14"/>
    </w:rPr>
  </w:style>
  <w:style w:styleId="Style_36_ch" w:type="character">
    <w:name w:val="font17"/>
    <w:basedOn w:val="Style_10_ch"/>
    <w:link w:val="Style_36"/>
    <w:rPr>
      <w:sz w:val="14"/>
    </w:rPr>
  </w:style>
  <w:style w:styleId="Style_37" w:type="paragraph">
    <w:name w:val="WW8Num31z0"/>
    <w:link w:val="Style_37_ch"/>
  </w:style>
  <w:style w:styleId="Style_37_ch" w:type="character">
    <w:name w:val="WW8Num31z0"/>
    <w:link w:val="Style_37"/>
  </w:style>
  <w:style w:styleId="Style_38" w:type="paragraph">
    <w:name w:val="S_Нумерованный_3.1 Знак Знак"/>
    <w:link w:val="Style_38_ch"/>
    <w:rPr>
      <w:sz w:val="28"/>
    </w:rPr>
  </w:style>
  <w:style w:styleId="Style_38_ch" w:type="character">
    <w:name w:val="S_Нумерованный_3.1 Знак Знак"/>
    <w:link w:val="Style_38"/>
    <w:rPr>
      <w:sz w:val="28"/>
    </w:rPr>
  </w:style>
  <w:style w:styleId="Style_39" w:type="paragraph">
    <w:name w:val="xl91"/>
    <w:basedOn w:val="Style_10"/>
    <w:link w:val="Style_39_ch"/>
    <w:pPr>
      <w:spacing w:afterAutospacing="on" w:beforeAutospacing="on" w:line="240" w:lineRule="auto"/>
      <w:ind/>
    </w:pPr>
    <w:rPr>
      <w:sz w:val="18"/>
    </w:rPr>
  </w:style>
  <w:style w:styleId="Style_39_ch" w:type="character">
    <w:name w:val="xl91"/>
    <w:basedOn w:val="Style_10_ch"/>
    <w:link w:val="Style_39"/>
    <w:rPr>
      <w:sz w:val="18"/>
    </w:rPr>
  </w:style>
  <w:style w:styleId="Style_40" w:type="paragraph">
    <w:name w:val="WW8Num39z0"/>
    <w:link w:val="Style_40_ch"/>
    <w:rPr>
      <w:rFonts w:ascii="Symbol" w:hAnsi="Symbol"/>
    </w:rPr>
  </w:style>
  <w:style w:styleId="Style_40_ch" w:type="character">
    <w:name w:val="WW8Num39z0"/>
    <w:link w:val="Style_40"/>
    <w:rPr>
      <w:rFonts w:ascii="Symbol" w:hAnsi="Symbol"/>
    </w:rPr>
  </w:style>
  <w:style w:styleId="Style_41" w:type="paragraph">
    <w:name w:val="WW8Num49z1"/>
    <w:link w:val="Style_41_ch"/>
    <w:rPr>
      <w:rFonts w:ascii="Courier New" w:hAnsi="Courier New"/>
    </w:rPr>
  </w:style>
  <w:style w:styleId="Style_41_ch" w:type="character">
    <w:name w:val="WW8Num49z1"/>
    <w:link w:val="Style_41"/>
    <w:rPr>
      <w:rFonts w:ascii="Courier New" w:hAnsi="Courier New"/>
    </w:rPr>
  </w:style>
  <w:style w:styleId="Style_42" w:type="paragraph">
    <w:name w:val="Style49"/>
    <w:basedOn w:val="Style_10"/>
    <w:link w:val="Style_42_ch"/>
    <w:pPr>
      <w:widowControl w:val="0"/>
      <w:spacing w:after="0" w:line="240" w:lineRule="auto"/>
      <w:ind/>
    </w:pPr>
    <w:rPr>
      <w:sz w:val="24"/>
    </w:rPr>
  </w:style>
  <w:style w:styleId="Style_42_ch" w:type="character">
    <w:name w:val="Style49"/>
    <w:basedOn w:val="Style_10_ch"/>
    <w:link w:val="Style_42"/>
    <w:rPr>
      <w:sz w:val="24"/>
    </w:rPr>
  </w:style>
  <w:style w:styleId="Style_43" w:type="paragraph">
    <w:name w:val="Font Style160"/>
    <w:link w:val="Style_43_ch"/>
    <w:rPr>
      <w:sz w:val="16"/>
    </w:rPr>
  </w:style>
  <w:style w:styleId="Style_43_ch" w:type="character">
    <w:name w:val="Font Style160"/>
    <w:link w:val="Style_43"/>
    <w:rPr>
      <w:sz w:val="16"/>
    </w:rPr>
  </w:style>
  <w:style w:styleId="Style_44" w:type="paragraph">
    <w:name w:val="WW8Num59z1"/>
    <w:link w:val="Style_44_ch"/>
  </w:style>
  <w:style w:styleId="Style_44_ch" w:type="character">
    <w:name w:val="WW8Num59z1"/>
    <w:link w:val="Style_44"/>
  </w:style>
  <w:style w:styleId="Style_45" w:type="paragraph">
    <w:name w:val="Строгий1"/>
    <w:link w:val="Style_45_ch"/>
    <w:rPr>
      <w:b w:val="1"/>
    </w:rPr>
  </w:style>
  <w:style w:styleId="Style_45_ch" w:type="character">
    <w:name w:val="Строгий1"/>
    <w:link w:val="Style_45"/>
    <w:rPr>
      <w:b w:val="1"/>
    </w:rPr>
  </w:style>
  <w:style w:styleId="Style_46" w:type="paragraph">
    <w:name w:val="WW8Num25z3"/>
    <w:link w:val="Style_46_ch"/>
    <w:rPr>
      <w:rFonts w:ascii="Symbol" w:hAnsi="Symbol"/>
    </w:rPr>
  </w:style>
  <w:style w:styleId="Style_46_ch" w:type="character">
    <w:name w:val="WW8Num25z3"/>
    <w:link w:val="Style_46"/>
    <w:rPr>
      <w:rFonts w:ascii="Symbol" w:hAnsi="Symbol"/>
    </w:rPr>
  </w:style>
  <w:style w:styleId="Style_47" w:type="paragraph">
    <w:name w:val="Обычный3"/>
    <w:link w:val="Style_47_ch"/>
    <w:pPr>
      <w:widowControl w:val="0"/>
      <w:ind/>
    </w:pPr>
    <w:rPr>
      <w:rFonts w:ascii="Arial" w:hAnsi="Arial"/>
    </w:rPr>
  </w:style>
  <w:style w:styleId="Style_47_ch" w:type="character">
    <w:name w:val="Обычный3"/>
    <w:link w:val="Style_47"/>
    <w:rPr>
      <w:rFonts w:ascii="Arial" w:hAnsi="Arial"/>
    </w:rPr>
  </w:style>
  <w:style w:styleId="Style_48" w:type="paragraph">
    <w:name w:val="Font Style181"/>
    <w:link w:val="Style_48_ch"/>
    <w:rPr>
      <w:i w:val="1"/>
      <w:sz w:val="10"/>
    </w:rPr>
  </w:style>
  <w:style w:styleId="Style_48_ch" w:type="character">
    <w:name w:val="Font Style181"/>
    <w:link w:val="Style_48"/>
    <w:rPr>
      <w:i w:val="1"/>
      <w:sz w:val="10"/>
    </w:rPr>
  </w:style>
  <w:style w:styleId="Style_49" w:type="paragraph">
    <w:name w:val="WW-WW8Num15z0"/>
    <w:link w:val="Style_49_ch"/>
  </w:style>
  <w:style w:styleId="Style_49_ch" w:type="character">
    <w:name w:val="WW-WW8Num15z0"/>
    <w:link w:val="Style_49"/>
  </w:style>
  <w:style w:styleId="Style_50" w:type="paragraph">
    <w:name w:val="WW8Num47z3"/>
    <w:link w:val="Style_50_ch"/>
    <w:rPr>
      <w:rFonts w:ascii="Symbol" w:hAnsi="Symbol"/>
    </w:rPr>
  </w:style>
  <w:style w:styleId="Style_50_ch" w:type="character">
    <w:name w:val="WW8Num47z3"/>
    <w:link w:val="Style_50"/>
    <w:rPr>
      <w:rFonts w:ascii="Symbol" w:hAnsi="Symbol"/>
    </w:rPr>
  </w:style>
  <w:style w:styleId="Style_51" w:type="paragraph">
    <w:name w:val="font21"/>
    <w:basedOn w:val="Style_10"/>
    <w:link w:val="Style_51_ch"/>
    <w:pPr>
      <w:spacing w:afterAutospacing="on" w:beforeAutospacing="on" w:line="240" w:lineRule="auto"/>
      <w:ind/>
    </w:pPr>
    <w:rPr>
      <w:sz w:val="16"/>
    </w:rPr>
  </w:style>
  <w:style w:styleId="Style_51_ch" w:type="character">
    <w:name w:val="font21"/>
    <w:basedOn w:val="Style_10_ch"/>
    <w:link w:val="Style_51"/>
    <w:rPr>
      <w:sz w:val="16"/>
    </w:rPr>
  </w:style>
  <w:style w:styleId="Style_52" w:type="paragraph">
    <w:name w:val="xl70"/>
    <w:basedOn w:val="Style_10"/>
    <w:link w:val="Style_52_ch"/>
    <w:pPr>
      <w:spacing w:after="280" w:before="280" w:line="240" w:lineRule="auto"/>
      <w:ind/>
      <w:jc w:val="right"/>
    </w:pPr>
    <w:rPr>
      <w:sz w:val="24"/>
    </w:rPr>
  </w:style>
  <w:style w:styleId="Style_52_ch" w:type="character">
    <w:name w:val="xl70"/>
    <w:basedOn w:val="Style_10_ch"/>
    <w:link w:val="Style_52"/>
    <w:rPr>
      <w:sz w:val="24"/>
    </w:rPr>
  </w:style>
  <w:style w:styleId="Style_53" w:type="paragraph">
    <w:name w:val="Style2"/>
    <w:basedOn w:val="Style_10"/>
    <w:link w:val="Style_53_ch"/>
    <w:pPr>
      <w:widowControl w:val="0"/>
      <w:spacing w:after="0" w:line="590" w:lineRule="exact"/>
      <w:ind/>
      <w:jc w:val="center"/>
    </w:pPr>
    <w:rPr>
      <w:sz w:val="24"/>
    </w:rPr>
  </w:style>
  <w:style w:styleId="Style_53_ch" w:type="character">
    <w:name w:val="Style2"/>
    <w:basedOn w:val="Style_10_ch"/>
    <w:link w:val="Style_53"/>
    <w:rPr>
      <w:sz w:val="24"/>
    </w:rPr>
  </w:style>
  <w:style w:styleId="Style_54" w:type="paragraph">
    <w:name w:val="xl155"/>
    <w:basedOn w:val="Style_10"/>
    <w:link w:val="Style_54_ch"/>
    <w:pPr>
      <w:spacing w:after="280" w:before="280" w:line="240" w:lineRule="auto"/>
      <w:ind/>
      <w:jc w:val="center"/>
    </w:pPr>
    <w:rPr>
      <w:b w:val="1"/>
    </w:rPr>
  </w:style>
  <w:style w:styleId="Style_54_ch" w:type="character">
    <w:name w:val="xl155"/>
    <w:basedOn w:val="Style_10_ch"/>
    <w:link w:val="Style_54"/>
    <w:rPr>
      <w:b w:val="1"/>
    </w:rPr>
  </w:style>
  <w:style w:styleId="Style_55" w:type="paragraph">
    <w:name w:val="????? 14 pt"/>
    <w:link w:val="Style_55_ch"/>
    <w:rPr>
      <w:sz w:val="28"/>
    </w:rPr>
  </w:style>
  <w:style w:styleId="Style_55_ch" w:type="character">
    <w:name w:val="????? 14 pt"/>
    <w:link w:val="Style_55"/>
    <w:rPr>
      <w:sz w:val="28"/>
    </w:rPr>
  </w:style>
  <w:style w:styleId="Style_56" w:type="paragraph">
    <w:name w:val="WW8Num28z1"/>
    <w:link w:val="Style_56_ch"/>
    <w:rPr>
      <w:rFonts w:ascii="Courier New" w:hAnsi="Courier New"/>
    </w:rPr>
  </w:style>
  <w:style w:styleId="Style_56_ch" w:type="character">
    <w:name w:val="WW8Num28z1"/>
    <w:link w:val="Style_56"/>
    <w:rPr>
      <w:rFonts w:ascii="Courier New" w:hAnsi="Courier New"/>
    </w:rPr>
  </w:style>
  <w:style w:styleId="Style_57" w:type="paragraph">
    <w:name w:val="Слабое выделение1"/>
    <w:link w:val="Style_57_ch"/>
    <w:rPr>
      <w:i w:val="1"/>
      <w:color w:val="5A5A5A"/>
    </w:rPr>
  </w:style>
  <w:style w:styleId="Style_57_ch" w:type="character">
    <w:name w:val="Слабое выделение1"/>
    <w:link w:val="Style_57"/>
    <w:rPr>
      <w:i w:val="1"/>
      <w:color w:val="5A5A5A"/>
    </w:rPr>
  </w:style>
  <w:style w:styleId="Style_58" w:type="paragraph">
    <w:name w:val="Обычный11"/>
    <w:link w:val="Style_58_ch"/>
    <w:pPr>
      <w:widowControl w:val="0"/>
      <w:ind/>
    </w:pPr>
    <w:rPr>
      <w:rFonts w:ascii="Arial" w:hAnsi="Arial"/>
    </w:rPr>
  </w:style>
  <w:style w:styleId="Style_58_ch" w:type="character">
    <w:name w:val="Обычный11"/>
    <w:link w:val="Style_58"/>
    <w:rPr>
      <w:rFonts w:ascii="Arial" w:hAnsi="Arial"/>
    </w:rPr>
  </w:style>
  <w:style w:styleId="Style_59" w:type="paragraph">
    <w:name w:val="Font Style188"/>
    <w:link w:val="Style_59_ch"/>
    <w:rPr>
      <w:rFonts w:ascii="Arial" w:hAnsi="Arial"/>
      <w:sz w:val="8"/>
    </w:rPr>
  </w:style>
  <w:style w:styleId="Style_59_ch" w:type="character">
    <w:name w:val="Font Style188"/>
    <w:link w:val="Style_59"/>
    <w:rPr>
      <w:rFonts w:ascii="Arial" w:hAnsi="Arial"/>
      <w:sz w:val="8"/>
    </w:rPr>
  </w:style>
  <w:style w:styleId="Style_60" w:type="paragraph">
    <w:name w:val="Font Style147"/>
    <w:link w:val="Style_60_ch"/>
    <w:rPr>
      <w:rFonts w:ascii="Arial" w:hAnsi="Arial"/>
      <w:sz w:val="22"/>
    </w:rPr>
  </w:style>
  <w:style w:styleId="Style_60_ch" w:type="character">
    <w:name w:val="Font Style147"/>
    <w:link w:val="Style_60"/>
    <w:rPr>
      <w:rFonts w:ascii="Arial" w:hAnsi="Arial"/>
      <w:sz w:val="22"/>
    </w:rPr>
  </w:style>
  <w:style w:styleId="Style_61" w:type="paragraph">
    <w:name w:val="Font Style60"/>
    <w:link w:val="Style_61_ch"/>
    <w:rPr>
      <w:rFonts w:ascii="Consolas" w:hAnsi="Consolas"/>
      <w:sz w:val="56"/>
    </w:rPr>
  </w:style>
  <w:style w:styleId="Style_61_ch" w:type="character">
    <w:name w:val="Font Style60"/>
    <w:link w:val="Style_61"/>
    <w:rPr>
      <w:rFonts w:ascii="Consolas" w:hAnsi="Consolas"/>
      <w:sz w:val="56"/>
    </w:rPr>
  </w:style>
  <w:style w:styleId="Style_62" w:type="paragraph">
    <w:name w:val="toc 4"/>
    <w:basedOn w:val="Style_10"/>
    <w:next w:val="Style_10"/>
    <w:link w:val="Style_62_ch"/>
    <w:uiPriority w:val="39"/>
    <w:pPr>
      <w:spacing w:after="100"/>
      <w:ind w:firstLine="0" w:left="660"/>
    </w:pPr>
  </w:style>
  <w:style w:styleId="Style_62_ch" w:type="character">
    <w:name w:val="toc 4"/>
    <w:basedOn w:val="Style_10_ch"/>
    <w:link w:val="Style_62"/>
  </w:style>
  <w:style w:styleId="Style_63" w:type="paragraph">
    <w:name w:val="???????? ????? 3"/>
    <w:basedOn w:val="Style_10"/>
    <w:link w:val="Style_63_ch"/>
    <w:pPr>
      <w:spacing w:after="0" w:line="240" w:lineRule="auto"/>
      <w:ind/>
      <w:jc w:val="center"/>
    </w:pPr>
    <w:rPr>
      <w:rFonts w:ascii="SchoolBook" w:hAnsi="SchoolBook"/>
      <w:sz w:val="24"/>
    </w:rPr>
  </w:style>
  <w:style w:styleId="Style_63_ch" w:type="character">
    <w:name w:val="???????? ????? 3"/>
    <w:basedOn w:val="Style_10_ch"/>
    <w:link w:val="Style_63"/>
    <w:rPr>
      <w:rFonts w:ascii="SchoolBook" w:hAnsi="SchoolBook"/>
      <w:sz w:val="24"/>
    </w:rPr>
  </w:style>
  <w:style w:styleId="Style_64" w:type="paragraph">
    <w:name w:val="Основной элемент указателя"/>
    <w:link w:val="Style_64_ch"/>
    <w:rPr>
      <w:b w:val="1"/>
    </w:rPr>
  </w:style>
  <w:style w:styleId="Style_64_ch" w:type="character">
    <w:name w:val="Основной элемент указателя"/>
    <w:link w:val="Style_64"/>
    <w:rPr>
      <w:b w:val="1"/>
    </w:rPr>
  </w:style>
  <w:style w:styleId="Style_65" w:type="paragraph">
    <w:name w:val="Текст концевой сноски Знак"/>
    <w:link w:val="Style_65_ch"/>
  </w:style>
  <w:style w:styleId="Style_65_ch" w:type="character">
    <w:name w:val="Текст концевой сноски Знак"/>
    <w:link w:val="Style_65"/>
  </w:style>
  <w:style w:styleId="Style_5" w:type="paragraph">
    <w:name w:val="ConsPlusNormal"/>
    <w:link w:val="Style_5_ch"/>
    <w:pPr>
      <w:widowControl w:val="0"/>
      <w:ind w:firstLine="720" w:left="0"/>
    </w:pPr>
    <w:rPr>
      <w:rFonts w:ascii="Arial" w:hAnsi="Arial"/>
    </w:rPr>
  </w:style>
  <w:style w:styleId="Style_5_ch" w:type="character">
    <w:name w:val="ConsPlusNormal"/>
    <w:link w:val="Style_5"/>
    <w:rPr>
      <w:rFonts w:ascii="Arial" w:hAnsi="Arial"/>
    </w:rPr>
  </w:style>
  <w:style w:styleId="Style_66" w:type="paragraph">
    <w:name w:val="WW-Absatz-Standardschriftart111111111"/>
    <w:link w:val="Style_66_ch"/>
  </w:style>
  <w:style w:styleId="Style_66_ch" w:type="character">
    <w:name w:val="WW-Absatz-Standardschriftart111111111"/>
    <w:link w:val="Style_66"/>
  </w:style>
  <w:style w:styleId="Style_67" w:type="paragraph">
    <w:name w:val="Style90"/>
    <w:basedOn w:val="Style_10"/>
    <w:link w:val="Style_67_ch"/>
    <w:pPr>
      <w:widowControl w:val="0"/>
      <w:spacing w:after="0" w:line="283" w:lineRule="exact"/>
      <w:ind w:firstLine="293" w:left="0"/>
    </w:pPr>
    <w:rPr>
      <w:sz w:val="24"/>
    </w:rPr>
  </w:style>
  <w:style w:styleId="Style_67_ch" w:type="character">
    <w:name w:val="Style90"/>
    <w:basedOn w:val="Style_10_ch"/>
    <w:link w:val="Style_67"/>
    <w:rPr>
      <w:sz w:val="24"/>
    </w:rPr>
  </w:style>
  <w:style w:styleId="Style_68" w:type="paragraph">
    <w:name w:val="heading 7"/>
    <w:basedOn w:val="Style_10"/>
    <w:next w:val="Style_10"/>
    <w:link w:val="Style_68_ch"/>
    <w:uiPriority w:val="9"/>
    <w:qFormat/>
    <w:pPr>
      <w:keepNext w:val="1"/>
      <w:tabs>
        <w:tab w:leader="none" w:pos="0" w:val="left"/>
      </w:tabs>
      <w:spacing w:after="0" w:line="240" w:lineRule="auto"/>
      <w:ind w:firstLine="720" w:left="0"/>
      <w:jc w:val="center"/>
      <w:outlineLvl w:val="6"/>
    </w:pPr>
    <w:rPr>
      <w:b w:val="1"/>
      <w:sz w:val="23"/>
      <w:u w:val="single"/>
    </w:rPr>
  </w:style>
  <w:style w:styleId="Style_68_ch" w:type="character">
    <w:name w:val="heading 7"/>
    <w:basedOn w:val="Style_10_ch"/>
    <w:link w:val="Style_68"/>
    <w:rPr>
      <w:b w:val="1"/>
      <w:sz w:val="23"/>
      <w:u w:val="single"/>
    </w:rPr>
  </w:style>
  <w:style w:styleId="Style_69" w:type="paragraph">
    <w:name w:val="WW8Num31z3"/>
    <w:link w:val="Style_69_ch"/>
    <w:rPr>
      <w:rFonts w:ascii="Symbol" w:hAnsi="Symbol"/>
    </w:rPr>
  </w:style>
  <w:style w:styleId="Style_69_ch" w:type="character">
    <w:name w:val="WW8Num31z3"/>
    <w:link w:val="Style_69"/>
    <w:rPr>
      <w:rFonts w:ascii="Symbol" w:hAnsi="Symbol"/>
    </w:rPr>
  </w:style>
  <w:style w:styleId="Style_70" w:type="paragraph">
    <w:name w:val="WW8Num19z0"/>
    <w:link w:val="Style_70_ch"/>
  </w:style>
  <w:style w:styleId="Style_70_ch" w:type="character">
    <w:name w:val="WW8Num19z0"/>
    <w:link w:val="Style_70"/>
  </w:style>
  <w:style w:styleId="Style_71" w:type="paragraph">
    <w:name w:val="Normal Знак Знак"/>
    <w:link w:val="Style_71_ch"/>
    <w:pPr>
      <w:widowControl w:val="0"/>
      <w:spacing w:line="360" w:lineRule="atLeast"/>
      <w:ind/>
      <w:jc w:val="both"/>
    </w:pPr>
    <w:rPr>
      <w:sz w:val="22"/>
    </w:rPr>
  </w:style>
  <w:style w:styleId="Style_71_ch" w:type="character">
    <w:name w:val="Normal Знак Знак"/>
    <w:link w:val="Style_71"/>
    <w:rPr>
      <w:sz w:val="22"/>
    </w:rPr>
  </w:style>
  <w:style w:styleId="Style_72" w:type="paragraph">
    <w:name w:val="xl30"/>
    <w:basedOn w:val="Style_10"/>
    <w:link w:val="Style_72_ch"/>
    <w:pPr>
      <w:spacing w:after="280" w:before="280" w:line="360" w:lineRule="atLeast"/>
      <w:ind w:firstLine="709" w:left="0"/>
      <w:jc w:val="center"/>
    </w:pPr>
    <w:rPr>
      <w:rFonts w:ascii="Arial Narrow" w:hAnsi="Arial Narrow"/>
      <w:sz w:val="24"/>
    </w:rPr>
  </w:style>
  <w:style w:styleId="Style_72_ch" w:type="character">
    <w:name w:val="xl30"/>
    <w:basedOn w:val="Style_10_ch"/>
    <w:link w:val="Style_72"/>
    <w:rPr>
      <w:rFonts w:ascii="Arial Narrow" w:hAnsi="Arial Narrow"/>
      <w:sz w:val="24"/>
    </w:rPr>
  </w:style>
  <w:style w:styleId="Style_73" w:type="paragraph">
    <w:name w:val="?????????"/>
    <w:basedOn w:val="Style_10"/>
    <w:next w:val="Style_74"/>
    <w:link w:val="Style_73_ch"/>
    <w:pPr>
      <w:keepNext w:val="1"/>
      <w:widowControl w:val="0"/>
      <w:spacing w:after="120" w:before="240" w:line="240" w:lineRule="auto"/>
      <w:ind/>
    </w:pPr>
    <w:rPr>
      <w:rFonts w:ascii="Arial" w:hAnsi="Arial"/>
      <w:sz w:val="28"/>
    </w:rPr>
  </w:style>
  <w:style w:styleId="Style_73_ch" w:type="character">
    <w:name w:val="?????????"/>
    <w:basedOn w:val="Style_10_ch"/>
    <w:link w:val="Style_73"/>
    <w:rPr>
      <w:rFonts w:ascii="Arial" w:hAnsi="Arial"/>
      <w:sz w:val="28"/>
    </w:rPr>
  </w:style>
  <w:style w:styleId="Style_75" w:type="paragraph">
    <w:name w:val="WW8Num36z3"/>
    <w:link w:val="Style_75_ch"/>
    <w:rPr>
      <w:rFonts w:ascii="Symbol" w:hAnsi="Symbol"/>
    </w:rPr>
  </w:style>
  <w:style w:styleId="Style_75_ch" w:type="character">
    <w:name w:val="WW8Num36z3"/>
    <w:link w:val="Style_75"/>
    <w:rPr>
      <w:rFonts w:ascii="Symbol" w:hAnsi="Symbol"/>
    </w:rPr>
  </w:style>
  <w:style w:styleId="Style_76" w:type="paragraph">
    <w:name w:val="А_табл"/>
    <w:link w:val="Style_76_ch"/>
    <w:pPr>
      <w:widowControl w:val="0"/>
      <w:spacing w:line="360" w:lineRule="atLeast"/>
      <w:ind w:firstLine="709" w:left="0"/>
      <w:jc w:val="both"/>
    </w:pPr>
    <w:rPr>
      <w:sz w:val="24"/>
    </w:rPr>
  </w:style>
  <w:style w:styleId="Style_76_ch" w:type="character">
    <w:name w:val="А_табл"/>
    <w:link w:val="Style_76"/>
    <w:rPr>
      <w:sz w:val="24"/>
    </w:rPr>
  </w:style>
  <w:style w:styleId="Style_77" w:type="paragraph">
    <w:name w:val="WW8Num67z0"/>
    <w:link w:val="Style_77_ch"/>
    <w:rPr>
      <w:rFonts w:ascii="Symbol" w:hAnsi="Symbol"/>
    </w:rPr>
  </w:style>
  <w:style w:styleId="Style_77_ch" w:type="character">
    <w:name w:val="WW8Num67z0"/>
    <w:link w:val="Style_77"/>
    <w:rPr>
      <w:rFonts w:ascii="Symbol" w:hAnsi="Symbol"/>
    </w:rPr>
  </w:style>
  <w:style w:styleId="Style_78" w:type="paragraph">
    <w:name w:val="WW8Num23z3"/>
    <w:link w:val="Style_78_ch"/>
    <w:rPr>
      <w:rFonts w:ascii="Symbol" w:hAnsi="Symbol"/>
    </w:rPr>
  </w:style>
  <w:style w:styleId="Style_78_ch" w:type="character">
    <w:name w:val="WW8Num23z3"/>
    <w:link w:val="Style_78"/>
    <w:rPr>
      <w:rFonts w:ascii="Symbol" w:hAnsi="Symbol"/>
    </w:rPr>
  </w:style>
  <w:style w:styleId="Style_79" w:type="paragraph">
    <w:name w:val="xl95"/>
    <w:basedOn w:val="Style_10"/>
    <w:link w:val="Style_79_ch"/>
    <w:pPr>
      <w:spacing w:afterAutospacing="on" w:beforeAutospacing="on" w:line="240" w:lineRule="auto"/>
      <w:ind/>
      <w:jc w:val="center"/>
    </w:pPr>
    <w:rPr>
      <w:sz w:val="18"/>
    </w:rPr>
  </w:style>
  <w:style w:styleId="Style_79_ch" w:type="character">
    <w:name w:val="xl95"/>
    <w:basedOn w:val="Style_10_ch"/>
    <w:link w:val="Style_79"/>
    <w:rPr>
      <w:sz w:val="18"/>
    </w:rPr>
  </w:style>
  <w:style w:styleId="Style_80" w:type="paragraph">
    <w:name w:val="top1"/>
    <w:basedOn w:val="Style_10"/>
    <w:link w:val="Style_80_ch"/>
    <w:pPr>
      <w:spacing w:after="280" w:before="280" w:line="240" w:lineRule="auto"/>
      <w:ind/>
      <w:jc w:val="center"/>
    </w:pPr>
    <w:rPr>
      <w:rFonts w:ascii="Arial" w:hAnsi="Arial"/>
      <w:sz w:val="20"/>
    </w:rPr>
  </w:style>
  <w:style w:styleId="Style_80_ch" w:type="character">
    <w:name w:val="top1"/>
    <w:basedOn w:val="Style_10_ch"/>
    <w:link w:val="Style_80"/>
    <w:rPr>
      <w:rFonts w:ascii="Arial" w:hAnsi="Arial"/>
      <w:sz w:val="20"/>
    </w:rPr>
  </w:style>
  <w:style w:styleId="Style_81" w:type="paragraph">
    <w:name w:val="WW8NumSt17z0"/>
    <w:link w:val="Style_81_ch"/>
    <w:rPr>
      <w:rFonts w:ascii="Courier New" w:hAnsi="Courier New"/>
    </w:rPr>
  </w:style>
  <w:style w:styleId="Style_81_ch" w:type="character">
    <w:name w:val="WW8NumSt17z0"/>
    <w:link w:val="Style_81"/>
    <w:rPr>
      <w:rFonts w:ascii="Courier New" w:hAnsi="Courier New"/>
    </w:rPr>
  </w:style>
  <w:style w:styleId="Style_82" w:type="paragraph">
    <w:name w:val="font181"/>
    <w:link w:val="Style_82_ch"/>
    <w:rPr>
      <w:b w:val="1"/>
    </w:rPr>
  </w:style>
  <w:style w:styleId="Style_82_ch" w:type="character">
    <w:name w:val="font181"/>
    <w:link w:val="Style_82"/>
    <w:rPr>
      <w:b w:val="1"/>
    </w:rPr>
  </w:style>
  <w:style w:styleId="Style_83" w:type="paragraph">
    <w:name w:val="Style12"/>
    <w:basedOn w:val="Style_10"/>
    <w:link w:val="Style_83_ch"/>
    <w:pPr>
      <w:widowControl w:val="0"/>
      <w:spacing w:after="0" w:line="240" w:lineRule="auto"/>
      <w:ind/>
    </w:pPr>
    <w:rPr>
      <w:sz w:val="24"/>
    </w:rPr>
  </w:style>
  <w:style w:styleId="Style_83_ch" w:type="character">
    <w:name w:val="Style12"/>
    <w:basedOn w:val="Style_10_ch"/>
    <w:link w:val="Style_83"/>
    <w:rPr>
      <w:sz w:val="24"/>
    </w:rPr>
  </w:style>
  <w:style w:styleId="Style_84" w:type="paragraph">
    <w:name w:val="WW8Num2z3"/>
    <w:link w:val="Style_84_ch"/>
    <w:rPr>
      <w:rFonts w:ascii="Symbol" w:hAnsi="Symbol"/>
    </w:rPr>
  </w:style>
  <w:style w:styleId="Style_84_ch" w:type="character">
    <w:name w:val="WW8Num2z3"/>
    <w:link w:val="Style_84"/>
    <w:rPr>
      <w:rFonts w:ascii="Symbol" w:hAnsi="Symbol"/>
    </w:rPr>
  </w:style>
  <w:style w:styleId="Style_85" w:type="paragraph">
    <w:name w:val="WW8Num19z1"/>
    <w:link w:val="Style_85_ch"/>
    <w:rPr>
      <w:rFonts w:ascii="Courier New" w:hAnsi="Courier New"/>
    </w:rPr>
  </w:style>
  <w:style w:styleId="Style_85_ch" w:type="character">
    <w:name w:val="WW8Num19z1"/>
    <w:link w:val="Style_85"/>
    <w:rPr>
      <w:rFonts w:ascii="Courier New" w:hAnsi="Courier New"/>
    </w:rPr>
  </w:style>
  <w:style w:styleId="Style_86" w:type="paragraph">
    <w:name w:val="Font Style49"/>
    <w:link w:val="Style_86_ch"/>
    <w:rPr>
      <w:rFonts w:ascii="Consolas" w:hAnsi="Consolas"/>
      <w:sz w:val="92"/>
    </w:rPr>
  </w:style>
  <w:style w:styleId="Style_86_ch" w:type="character">
    <w:name w:val="Font Style49"/>
    <w:link w:val="Style_86"/>
    <w:rPr>
      <w:rFonts w:ascii="Consolas" w:hAnsi="Consolas"/>
      <w:sz w:val="92"/>
    </w:rPr>
  </w:style>
  <w:style w:styleId="Style_87" w:type="paragraph">
    <w:name w:val="WW8Num46z1"/>
    <w:link w:val="Style_87_ch"/>
    <w:rPr>
      <w:rFonts w:ascii="Courier New" w:hAnsi="Courier New"/>
    </w:rPr>
  </w:style>
  <w:style w:styleId="Style_87_ch" w:type="character">
    <w:name w:val="WW8Num46z1"/>
    <w:link w:val="Style_87"/>
    <w:rPr>
      <w:rFonts w:ascii="Courier New" w:hAnsi="Courier New"/>
    </w:rPr>
  </w:style>
  <w:style w:styleId="Style_88" w:type="paragraph">
    <w:name w:val="xl110"/>
    <w:basedOn w:val="Style_10"/>
    <w:link w:val="Style_88_ch"/>
    <w:pPr>
      <w:spacing w:afterAutospacing="on" w:beforeAutospacing="on" w:line="240" w:lineRule="auto"/>
      <w:ind/>
    </w:pPr>
    <w:rPr>
      <w:sz w:val="24"/>
    </w:rPr>
  </w:style>
  <w:style w:styleId="Style_88_ch" w:type="character">
    <w:name w:val="xl110"/>
    <w:basedOn w:val="Style_10_ch"/>
    <w:link w:val="Style_88"/>
    <w:rPr>
      <w:sz w:val="24"/>
    </w:rPr>
  </w:style>
  <w:style w:styleId="Style_89" w:type="paragraph">
    <w:name w:val="Знак сноски2"/>
    <w:link w:val="Style_89_ch"/>
    <w:rPr>
      <w:vertAlign w:val="superscript"/>
    </w:rPr>
  </w:style>
  <w:style w:styleId="Style_89_ch" w:type="character">
    <w:name w:val="Знак сноски2"/>
    <w:link w:val="Style_89"/>
    <w:rPr>
      <w:vertAlign w:val="superscript"/>
    </w:rPr>
  </w:style>
  <w:style w:styleId="Style_90" w:type="paragraph">
    <w:name w:val="WW8Num5z1"/>
    <w:link w:val="Style_90_ch"/>
    <w:rPr>
      <w:rFonts w:ascii="Courier New" w:hAnsi="Courier New"/>
    </w:rPr>
  </w:style>
  <w:style w:styleId="Style_90_ch" w:type="character">
    <w:name w:val="WW8Num5z1"/>
    <w:link w:val="Style_90"/>
    <w:rPr>
      <w:rFonts w:ascii="Courier New" w:hAnsi="Courier New"/>
    </w:rPr>
  </w:style>
  <w:style w:styleId="Style_91" w:type="paragraph">
    <w:name w:val="ConsNormal Знак"/>
    <w:link w:val="Style_91_ch"/>
    <w:rPr>
      <w:rFonts w:ascii="Arial" w:hAnsi="Arial"/>
    </w:rPr>
  </w:style>
  <w:style w:styleId="Style_91_ch" w:type="character">
    <w:name w:val="ConsNormal Знак"/>
    <w:link w:val="Style_91"/>
    <w:rPr>
      <w:rFonts w:ascii="Arial" w:hAnsi="Arial"/>
    </w:rPr>
  </w:style>
  <w:style w:styleId="Style_92" w:type="paragraph">
    <w:name w:val="WW8Num8z2"/>
    <w:link w:val="Style_92_ch"/>
    <w:rPr>
      <w:rFonts w:ascii="Wingdings" w:hAnsi="Wingdings"/>
    </w:rPr>
  </w:style>
  <w:style w:styleId="Style_92_ch" w:type="character">
    <w:name w:val="WW8Num8z2"/>
    <w:link w:val="Style_92"/>
    <w:rPr>
      <w:rFonts w:ascii="Wingdings" w:hAnsi="Wingdings"/>
    </w:rPr>
  </w:style>
  <w:style w:styleId="Style_93" w:type="paragraph">
    <w:name w:val="WW-Символы концевой сноски"/>
    <w:link w:val="Style_93_ch"/>
    <w:rPr>
      <w:vertAlign w:val="superscript"/>
    </w:rPr>
  </w:style>
  <w:style w:styleId="Style_93_ch" w:type="character">
    <w:name w:val="WW-Символы концевой сноски"/>
    <w:link w:val="Style_93"/>
    <w:rPr>
      <w:vertAlign w:val="superscript"/>
    </w:rPr>
  </w:style>
  <w:style w:styleId="Style_94" w:type="paragraph">
    <w:name w:val="основной текст Знак Знак"/>
    <w:basedOn w:val="Style_10"/>
    <w:link w:val="Style_94_ch"/>
    <w:pPr>
      <w:spacing w:after="120" w:line="360" w:lineRule="atLeast"/>
      <w:ind w:firstLine="851" w:left="0"/>
      <w:jc w:val="both"/>
    </w:pPr>
    <w:rPr>
      <w:rFonts w:ascii="Arial" w:hAnsi="Arial"/>
      <w:sz w:val="28"/>
    </w:rPr>
  </w:style>
  <w:style w:styleId="Style_94_ch" w:type="character">
    <w:name w:val="основной текст Знак Знак"/>
    <w:basedOn w:val="Style_10_ch"/>
    <w:link w:val="Style_94"/>
    <w:rPr>
      <w:rFonts w:ascii="Arial" w:hAnsi="Arial"/>
      <w:sz w:val="28"/>
    </w:rPr>
  </w:style>
  <w:style w:styleId="Style_95" w:type="paragraph">
    <w:name w:val="Font Style176"/>
    <w:link w:val="Style_95_ch"/>
    <w:rPr>
      <w:rFonts w:ascii="Candara" w:hAnsi="Candara"/>
      <w:i w:val="1"/>
      <w:sz w:val="40"/>
    </w:rPr>
  </w:style>
  <w:style w:styleId="Style_95_ch" w:type="character">
    <w:name w:val="Font Style176"/>
    <w:link w:val="Style_95"/>
    <w:rPr>
      <w:rFonts w:ascii="Candara" w:hAnsi="Candara"/>
      <w:i w:val="1"/>
      <w:sz w:val="40"/>
    </w:rPr>
  </w:style>
  <w:style w:styleId="Style_96" w:type="paragraph">
    <w:name w:val="WW8Num19z4"/>
    <w:link w:val="Style_96_ch"/>
    <w:rPr>
      <w:rFonts w:ascii="Courier New" w:hAnsi="Courier New"/>
    </w:rPr>
  </w:style>
  <w:style w:styleId="Style_96_ch" w:type="character">
    <w:name w:val="WW8Num19z4"/>
    <w:link w:val="Style_96"/>
    <w:rPr>
      <w:rFonts w:ascii="Courier New" w:hAnsi="Courier New"/>
    </w:rPr>
  </w:style>
  <w:style w:styleId="Style_97" w:type="paragraph">
    <w:name w:val="Style15"/>
    <w:basedOn w:val="Style_10"/>
    <w:link w:val="Style_97_ch"/>
    <w:pPr>
      <w:widowControl w:val="0"/>
      <w:spacing w:after="0" w:line="240" w:lineRule="auto"/>
      <w:ind/>
    </w:pPr>
    <w:rPr>
      <w:sz w:val="24"/>
    </w:rPr>
  </w:style>
  <w:style w:styleId="Style_97_ch" w:type="character">
    <w:name w:val="Style15"/>
    <w:basedOn w:val="Style_10_ch"/>
    <w:link w:val="Style_97"/>
    <w:rPr>
      <w:sz w:val="24"/>
    </w:rPr>
  </w:style>
  <w:style w:styleId="Style_98" w:type="paragraph">
    <w:name w:val="xl180"/>
    <w:basedOn w:val="Style_10"/>
    <w:link w:val="Style_98_ch"/>
    <w:pPr>
      <w:spacing w:after="280" w:before="280" w:line="240" w:lineRule="auto"/>
      <w:ind/>
      <w:jc w:val="center"/>
    </w:pPr>
    <w:rPr>
      <w:sz w:val="24"/>
    </w:rPr>
  </w:style>
  <w:style w:styleId="Style_98_ch" w:type="character">
    <w:name w:val="xl180"/>
    <w:basedOn w:val="Style_10_ch"/>
    <w:link w:val="Style_98"/>
    <w:rPr>
      <w:sz w:val="24"/>
    </w:rPr>
  </w:style>
  <w:style w:styleId="Style_99" w:type="paragraph">
    <w:name w:val="WW8Num60z0"/>
    <w:link w:val="Style_99_ch"/>
    <w:rPr>
      <w:rFonts w:ascii="Symbol" w:hAnsi="Symbol"/>
    </w:rPr>
  </w:style>
  <w:style w:styleId="Style_99_ch" w:type="character">
    <w:name w:val="WW8Num60z0"/>
    <w:link w:val="Style_99"/>
    <w:rPr>
      <w:rFonts w:ascii="Symbol" w:hAnsi="Symbol"/>
    </w:rPr>
  </w:style>
  <w:style w:styleId="Style_100" w:type="paragraph">
    <w:name w:val="rvps59"/>
    <w:basedOn w:val="Style_10"/>
    <w:link w:val="Style_100_ch"/>
    <w:pPr>
      <w:spacing w:after="0" w:line="360" w:lineRule="atLeast"/>
      <w:ind w:firstLine="705" w:left="0"/>
      <w:jc w:val="both"/>
    </w:pPr>
    <w:rPr>
      <w:sz w:val="24"/>
    </w:rPr>
  </w:style>
  <w:style w:styleId="Style_100_ch" w:type="character">
    <w:name w:val="rvps59"/>
    <w:basedOn w:val="Style_10_ch"/>
    <w:link w:val="Style_100"/>
    <w:rPr>
      <w:sz w:val="24"/>
    </w:rPr>
  </w:style>
  <w:style w:styleId="Style_101" w:type="paragraph">
    <w:name w:val="WW8Num40z2"/>
    <w:link w:val="Style_101_ch"/>
    <w:rPr>
      <w:rFonts w:ascii="Wingdings" w:hAnsi="Wingdings"/>
    </w:rPr>
  </w:style>
  <w:style w:styleId="Style_101_ch" w:type="character">
    <w:name w:val="WW8Num40z2"/>
    <w:link w:val="Style_101"/>
    <w:rPr>
      <w:rFonts w:ascii="Wingdings" w:hAnsi="Wingdings"/>
    </w:rPr>
  </w:style>
  <w:style w:styleId="Style_102" w:type="paragraph">
    <w:name w:val="WW8Num3z3"/>
    <w:link w:val="Style_102_ch"/>
    <w:rPr>
      <w:rFonts w:ascii="Symbol" w:hAnsi="Symbol"/>
    </w:rPr>
  </w:style>
  <w:style w:styleId="Style_102_ch" w:type="character">
    <w:name w:val="WW8Num3z3"/>
    <w:link w:val="Style_102"/>
    <w:rPr>
      <w:rFonts w:ascii="Symbol" w:hAnsi="Symbol"/>
    </w:rPr>
  </w:style>
  <w:style w:styleId="Style_103" w:type="paragraph">
    <w:name w:val="xl32"/>
    <w:basedOn w:val="Style_10"/>
    <w:link w:val="Style_103_ch"/>
    <w:pPr>
      <w:spacing w:after="280" w:before="280" w:line="360" w:lineRule="atLeast"/>
      <w:ind w:firstLine="709" w:left="0"/>
      <w:jc w:val="center"/>
    </w:pPr>
    <w:rPr>
      <w:rFonts w:ascii="Arial Narrow" w:hAnsi="Arial Narrow"/>
      <w:b w:val="1"/>
      <w:sz w:val="24"/>
    </w:rPr>
  </w:style>
  <w:style w:styleId="Style_103_ch" w:type="character">
    <w:name w:val="xl32"/>
    <w:basedOn w:val="Style_10_ch"/>
    <w:link w:val="Style_103"/>
    <w:rPr>
      <w:rFonts w:ascii="Arial Narrow" w:hAnsi="Arial Narrow"/>
      <w:b w:val="1"/>
      <w:sz w:val="24"/>
    </w:rPr>
  </w:style>
  <w:style w:styleId="Style_104" w:type="paragraph">
    <w:name w:val="geo-lat1"/>
    <w:link w:val="Style_104_ch"/>
  </w:style>
  <w:style w:styleId="Style_104_ch" w:type="character">
    <w:name w:val="geo-lat1"/>
    <w:link w:val="Style_104"/>
  </w:style>
  <w:style w:styleId="Style_105" w:type="paragraph">
    <w:name w:val="Название4"/>
    <w:basedOn w:val="Style_10"/>
    <w:link w:val="Style_105_ch"/>
    <w:pPr>
      <w:spacing w:after="120" w:before="120" w:line="240" w:lineRule="auto"/>
      <w:ind/>
    </w:pPr>
    <w:rPr>
      <w:i w:val="1"/>
      <w:sz w:val="24"/>
    </w:rPr>
  </w:style>
  <w:style w:styleId="Style_105_ch" w:type="character">
    <w:name w:val="Название4"/>
    <w:basedOn w:val="Style_10_ch"/>
    <w:link w:val="Style_105"/>
    <w:rPr>
      <w:i w:val="1"/>
      <w:sz w:val="24"/>
    </w:rPr>
  </w:style>
  <w:style w:styleId="Style_106" w:type="paragraph">
    <w:name w:val="toc 6"/>
    <w:basedOn w:val="Style_10"/>
    <w:next w:val="Style_10"/>
    <w:link w:val="Style_106_ch"/>
    <w:uiPriority w:val="39"/>
    <w:pPr>
      <w:spacing w:after="100"/>
      <w:ind w:firstLine="0" w:left="1100"/>
    </w:pPr>
  </w:style>
  <w:style w:styleId="Style_106_ch" w:type="character">
    <w:name w:val="toc 6"/>
    <w:basedOn w:val="Style_10_ch"/>
    <w:link w:val="Style_106"/>
  </w:style>
  <w:style w:styleId="Style_107" w:type="paragraph">
    <w:name w:val="Plain Text"/>
    <w:basedOn w:val="Style_10"/>
    <w:link w:val="Style_107_ch"/>
    <w:pPr>
      <w:spacing w:after="0" w:line="240" w:lineRule="auto"/>
      <w:ind/>
    </w:pPr>
    <w:rPr>
      <w:rFonts w:ascii="Courier New" w:hAnsi="Courier New"/>
      <w:sz w:val="20"/>
    </w:rPr>
  </w:style>
  <w:style w:styleId="Style_107_ch" w:type="character">
    <w:name w:val="Plain Text"/>
    <w:basedOn w:val="Style_10_ch"/>
    <w:link w:val="Style_107"/>
    <w:rPr>
      <w:rFonts w:ascii="Courier New" w:hAnsi="Courier New"/>
      <w:sz w:val="20"/>
    </w:rPr>
  </w:style>
  <w:style w:styleId="Style_108" w:type="paragraph">
    <w:name w:val="Стандартный HTML Знак1"/>
    <w:link w:val="Style_108_ch"/>
    <w:rPr>
      <w:rFonts w:ascii="Courier New" w:hAnsi="Courier New"/>
    </w:rPr>
  </w:style>
  <w:style w:styleId="Style_108_ch" w:type="character">
    <w:name w:val="Стандартный HTML Знак1"/>
    <w:link w:val="Style_108"/>
    <w:rPr>
      <w:rFonts w:ascii="Courier New" w:hAnsi="Courier New"/>
    </w:rPr>
  </w:style>
  <w:style w:styleId="Style_109" w:type="paragraph">
    <w:name w:val="Style113"/>
    <w:basedOn w:val="Style_10"/>
    <w:link w:val="Style_109_ch"/>
    <w:pPr>
      <w:widowControl w:val="0"/>
      <w:spacing w:after="0" w:line="240" w:lineRule="auto"/>
      <w:ind/>
    </w:pPr>
    <w:rPr>
      <w:sz w:val="24"/>
    </w:rPr>
  </w:style>
  <w:style w:styleId="Style_109_ch" w:type="character">
    <w:name w:val="Style113"/>
    <w:basedOn w:val="Style_10_ch"/>
    <w:link w:val="Style_109"/>
    <w:rPr>
      <w:sz w:val="24"/>
    </w:rPr>
  </w:style>
  <w:style w:styleId="Style_110" w:type="paragraph">
    <w:name w:val="mw-headline"/>
    <w:link w:val="Style_110_ch"/>
  </w:style>
  <w:style w:styleId="Style_110_ch" w:type="character">
    <w:name w:val="mw-headline"/>
    <w:link w:val="Style_110"/>
  </w:style>
  <w:style w:styleId="Style_111" w:type="paragraph">
    <w:name w:val="Body Text 2"/>
    <w:basedOn w:val="Style_10"/>
    <w:link w:val="Style_111_ch"/>
    <w:pPr>
      <w:spacing w:after="0" w:line="240" w:lineRule="auto"/>
      <w:ind/>
      <w:jc w:val="both"/>
    </w:pPr>
    <w:rPr>
      <w:sz w:val="24"/>
    </w:rPr>
  </w:style>
  <w:style w:styleId="Style_111_ch" w:type="character">
    <w:name w:val="Body Text 2"/>
    <w:basedOn w:val="Style_10_ch"/>
    <w:link w:val="Style_111"/>
    <w:rPr>
      <w:sz w:val="24"/>
    </w:rPr>
  </w:style>
  <w:style w:styleId="Style_112" w:type="paragraph">
    <w:name w:val="xl71"/>
    <w:basedOn w:val="Style_10"/>
    <w:link w:val="Style_112_ch"/>
    <w:pPr>
      <w:spacing w:after="280" w:before="280" w:line="240" w:lineRule="auto"/>
      <w:ind/>
    </w:pPr>
    <w:rPr>
      <w:sz w:val="24"/>
    </w:rPr>
  </w:style>
  <w:style w:styleId="Style_112_ch" w:type="character">
    <w:name w:val="xl71"/>
    <w:basedOn w:val="Style_10_ch"/>
    <w:link w:val="Style_112"/>
    <w:rPr>
      <w:sz w:val="24"/>
    </w:rPr>
  </w:style>
  <w:style w:styleId="Style_113" w:type="paragraph">
    <w:name w:val="WW8Num43z2"/>
    <w:link w:val="Style_113_ch"/>
    <w:rPr>
      <w:rFonts w:ascii="Wingdings" w:hAnsi="Wingdings"/>
    </w:rPr>
  </w:style>
  <w:style w:styleId="Style_113_ch" w:type="character">
    <w:name w:val="WW8Num43z2"/>
    <w:link w:val="Style_113"/>
    <w:rPr>
      <w:rFonts w:ascii="Wingdings" w:hAnsi="Wingdings"/>
    </w:rPr>
  </w:style>
  <w:style w:styleId="Style_114" w:type="paragraph">
    <w:name w:val="Font Style26"/>
    <w:link w:val="Style_114_ch"/>
    <w:rPr>
      <w:b w:val="1"/>
      <w:sz w:val="14"/>
    </w:rPr>
  </w:style>
  <w:style w:styleId="Style_114_ch" w:type="character">
    <w:name w:val="Font Style26"/>
    <w:link w:val="Style_114"/>
    <w:rPr>
      <w:b w:val="1"/>
      <w:sz w:val="14"/>
    </w:rPr>
  </w:style>
  <w:style w:styleId="Style_115" w:type="paragraph">
    <w:name w:val="????????"/>
    <w:basedOn w:val="Style_10"/>
    <w:link w:val="Style_115_ch"/>
    <w:pPr>
      <w:widowControl w:val="0"/>
      <w:spacing w:after="120" w:before="120" w:line="240" w:lineRule="auto"/>
      <w:ind/>
    </w:pPr>
    <w:rPr>
      <w:i w:val="1"/>
      <w:sz w:val="20"/>
    </w:rPr>
  </w:style>
  <w:style w:styleId="Style_115_ch" w:type="character">
    <w:name w:val="????????"/>
    <w:basedOn w:val="Style_10_ch"/>
    <w:link w:val="Style_115"/>
    <w:rPr>
      <w:i w:val="1"/>
      <w:sz w:val="20"/>
    </w:rPr>
  </w:style>
  <w:style w:styleId="Style_116" w:type="paragraph">
    <w:name w:val="xl61"/>
    <w:basedOn w:val="Style_10"/>
    <w:link w:val="Style_116_ch"/>
    <w:pPr>
      <w:spacing w:after="280" w:before="280" w:line="360" w:lineRule="atLeast"/>
      <w:ind w:firstLine="709" w:left="0"/>
      <w:jc w:val="center"/>
    </w:pPr>
    <w:rPr>
      <w:rFonts w:ascii="Arial Narrow" w:hAnsi="Arial Narrow"/>
      <w:sz w:val="24"/>
    </w:rPr>
  </w:style>
  <w:style w:styleId="Style_116_ch" w:type="character">
    <w:name w:val="xl61"/>
    <w:basedOn w:val="Style_10_ch"/>
    <w:link w:val="Style_116"/>
    <w:rPr>
      <w:rFonts w:ascii="Arial Narrow" w:hAnsi="Arial Narrow"/>
      <w:sz w:val="24"/>
    </w:rPr>
  </w:style>
  <w:style w:styleId="Style_117" w:type="paragraph">
    <w:name w:val="xl147"/>
    <w:basedOn w:val="Style_10"/>
    <w:link w:val="Style_117_ch"/>
    <w:pPr>
      <w:spacing w:after="280" w:before="280" w:line="240" w:lineRule="auto"/>
      <w:ind/>
      <w:jc w:val="center"/>
    </w:pPr>
    <w:rPr>
      <w:b w:val="1"/>
      <w:sz w:val="24"/>
    </w:rPr>
  </w:style>
  <w:style w:styleId="Style_117_ch" w:type="character">
    <w:name w:val="xl147"/>
    <w:basedOn w:val="Style_10_ch"/>
    <w:link w:val="Style_117"/>
    <w:rPr>
      <w:b w:val="1"/>
      <w:sz w:val="24"/>
    </w:rPr>
  </w:style>
  <w:style w:styleId="Style_118" w:type="paragraph">
    <w:name w:val="WW8Num22z1"/>
    <w:link w:val="Style_118_ch"/>
    <w:rPr>
      <w:rFonts w:ascii="Courier New" w:hAnsi="Courier New"/>
    </w:rPr>
  </w:style>
  <w:style w:styleId="Style_118_ch" w:type="character">
    <w:name w:val="WW8Num22z1"/>
    <w:link w:val="Style_118"/>
    <w:rPr>
      <w:rFonts w:ascii="Courier New" w:hAnsi="Courier New"/>
    </w:rPr>
  </w:style>
  <w:style w:styleId="Style_119" w:type="paragraph">
    <w:name w:val="WW-WW8Num34z0"/>
    <w:link w:val="Style_119_ch"/>
    <w:rPr>
      <w:rFonts w:ascii="Courier New" w:hAnsi="Courier New"/>
    </w:rPr>
  </w:style>
  <w:style w:styleId="Style_119_ch" w:type="character">
    <w:name w:val="WW-WW8Num34z0"/>
    <w:link w:val="Style_119"/>
    <w:rPr>
      <w:rFonts w:ascii="Courier New" w:hAnsi="Courier New"/>
    </w:rPr>
  </w:style>
  <w:style w:styleId="Style_120" w:type="paragraph">
    <w:name w:val="WW8Num45z0"/>
    <w:link w:val="Style_120_ch"/>
    <w:rPr>
      <w:rFonts w:ascii="Symbol" w:hAnsi="Symbol"/>
    </w:rPr>
  </w:style>
  <w:style w:styleId="Style_120_ch" w:type="character">
    <w:name w:val="WW8Num45z0"/>
    <w:link w:val="Style_120"/>
    <w:rPr>
      <w:rFonts w:ascii="Symbol" w:hAnsi="Symbol"/>
    </w:rPr>
  </w:style>
  <w:style w:styleId="Style_121" w:type="paragraph">
    <w:name w:val="toc 7"/>
    <w:basedOn w:val="Style_10"/>
    <w:next w:val="Style_10"/>
    <w:link w:val="Style_121_ch"/>
    <w:uiPriority w:val="39"/>
    <w:pPr>
      <w:spacing w:after="100"/>
      <w:ind w:firstLine="0" w:left="1320"/>
    </w:pPr>
  </w:style>
  <w:style w:styleId="Style_121_ch" w:type="character">
    <w:name w:val="toc 7"/>
    <w:basedOn w:val="Style_10_ch"/>
    <w:link w:val="Style_121"/>
  </w:style>
  <w:style w:styleId="Style_122" w:type="paragraph">
    <w:name w:val="xl103"/>
    <w:basedOn w:val="Style_10"/>
    <w:link w:val="Style_122_ch"/>
    <w:pPr>
      <w:spacing w:afterAutospacing="on" w:beforeAutospacing="on" w:line="240" w:lineRule="auto"/>
      <w:ind/>
      <w:jc w:val="center"/>
    </w:pPr>
    <w:rPr>
      <w:sz w:val="18"/>
    </w:rPr>
  </w:style>
  <w:style w:styleId="Style_122_ch" w:type="character">
    <w:name w:val="xl103"/>
    <w:basedOn w:val="Style_10_ch"/>
    <w:link w:val="Style_122"/>
    <w:rPr>
      <w:sz w:val="18"/>
    </w:rPr>
  </w:style>
  <w:style w:styleId="Style_123" w:type="paragraph">
    <w:name w:val="WW8Num35z0"/>
    <w:link w:val="Style_123_ch"/>
  </w:style>
  <w:style w:styleId="Style_123_ch" w:type="character">
    <w:name w:val="WW8Num35z0"/>
    <w:link w:val="Style_123"/>
  </w:style>
  <w:style w:styleId="Style_124" w:type="paragraph">
    <w:name w:val="Style73"/>
    <w:basedOn w:val="Style_10"/>
    <w:link w:val="Style_124_ch"/>
    <w:pPr>
      <w:widowControl w:val="0"/>
      <w:spacing w:after="0" w:line="275" w:lineRule="exact"/>
      <w:ind/>
      <w:jc w:val="both"/>
    </w:pPr>
    <w:rPr>
      <w:sz w:val="24"/>
    </w:rPr>
  </w:style>
  <w:style w:styleId="Style_124_ch" w:type="character">
    <w:name w:val="Style73"/>
    <w:basedOn w:val="Style_10_ch"/>
    <w:link w:val="Style_124"/>
    <w:rPr>
      <w:sz w:val="24"/>
    </w:rPr>
  </w:style>
  <w:style w:styleId="Style_125" w:type="paragraph">
    <w:name w:val="WW-WW8Num4z0"/>
    <w:link w:val="Style_125_ch"/>
    <w:rPr>
      <w:rFonts w:ascii="Courier New" w:hAnsi="Courier New"/>
    </w:rPr>
  </w:style>
  <w:style w:styleId="Style_125_ch" w:type="character">
    <w:name w:val="WW-WW8Num4z0"/>
    <w:link w:val="Style_125"/>
    <w:rPr>
      <w:rFonts w:ascii="Courier New" w:hAnsi="Courier New"/>
    </w:rPr>
  </w:style>
  <w:style w:styleId="Style_126" w:type="paragraph">
    <w:name w:val="УГТП-Стадия"/>
    <w:basedOn w:val="Style_1"/>
    <w:link w:val="Style_126_ch"/>
    <w:pPr>
      <w:spacing w:after="0" w:line="240" w:lineRule="auto"/>
      <w:ind/>
      <w:jc w:val="center"/>
    </w:pPr>
    <w:rPr>
      <w:rFonts w:ascii="Arial" w:hAnsi="Arial"/>
      <w:color w:val="0000FF"/>
      <w:sz w:val="20"/>
    </w:rPr>
  </w:style>
  <w:style w:styleId="Style_126_ch" w:type="character">
    <w:name w:val="УГТП-Стадия"/>
    <w:basedOn w:val="Style_1_ch"/>
    <w:link w:val="Style_126"/>
    <w:rPr>
      <w:rFonts w:ascii="Arial" w:hAnsi="Arial"/>
      <w:color w:val="0000FF"/>
      <w:sz w:val="20"/>
    </w:rPr>
  </w:style>
  <w:style w:styleId="Style_127" w:type="paragraph">
    <w:name w:val="righttext1"/>
    <w:basedOn w:val="Style_10"/>
    <w:link w:val="Style_127_ch"/>
    <w:pPr>
      <w:spacing w:after="0" w:line="360" w:lineRule="atLeast"/>
      <w:ind w:firstLine="709" w:left="0" w:right="480"/>
      <w:jc w:val="right"/>
    </w:pPr>
    <w:rPr>
      <w:rFonts w:ascii="Arial" w:hAnsi="Arial"/>
      <w:color w:val="202020"/>
      <w:sz w:val="20"/>
    </w:rPr>
  </w:style>
  <w:style w:styleId="Style_127_ch" w:type="character">
    <w:name w:val="righttext1"/>
    <w:basedOn w:val="Style_10_ch"/>
    <w:link w:val="Style_127"/>
    <w:rPr>
      <w:rFonts w:ascii="Arial" w:hAnsi="Arial"/>
      <w:color w:val="202020"/>
      <w:sz w:val="20"/>
    </w:rPr>
  </w:style>
  <w:style w:styleId="Style_128" w:type="paragraph">
    <w:name w:val="WW8Num66z0"/>
    <w:link w:val="Style_128_ch"/>
    <w:rPr>
      <w:rFonts w:ascii="Symbol" w:hAnsi="Symbol"/>
    </w:rPr>
  </w:style>
  <w:style w:styleId="Style_128_ch" w:type="character">
    <w:name w:val="WW8Num66z0"/>
    <w:link w:val="Style_128"/>
    <w:rPr>
      <w:rFonts w:ascii="Symbol" w:hAnsi="Symbol"/>
    </w:rPr>
  </w:style>
  <w:style w:styleId="Style_129" w:type="paragraph">
    <w:name w:val="WW-WW8Num37z1"/>
    <w:link w:val="Style_129_ch"/>
    <w:rPr>
      <w:rFonts w:ascii="Wingdings 2" w:hAnsi="Wingdings 2"/>
      <w:sz w:val="18"/>
    </w:rPr>
  </w:style>
  <w:style w:styleId="Style_129_ch" w:type="character">
    <w:name w:val="WW-WW8Num37z1"/>
    <w:link w:val="Style_129"/>
    <w:rPr>
      <w:rFonts w:ascii="Wingdings 2" w:hAnsi="Wingdings 2"/>
      <w:sz w:val="18"/>
    </w:rPr>
  </w:style>
  <w:style w:styleId="Style_130" w:type="paragraph">
    <w:name w:val="xl29"/>
    <w:basedOn w:val="Style_10"/>
    <w:link w:val="Style_130_ch"/>
    <w:pPr>
      <w:spacing w:after="280" w:before="280" w:line="360" w:lineRule="atLeast"/>
      <w:ind w:firstLine="709" w:left="0"/>
      <w:jc w:val="center"/>
    </w:pPr>
    <w:rPr>
      <w:rFonts w:ascii="Arial Narrow" w:hAnsi="Arial Narrow"/>
      <w:sz w:val="24"/>
    </w:rPr>
  </w:style>
  <w:style w:styleId="Style_130_ch" w:type="character">
    <w:name w:val="xl29"/>
    <w:basedOn w:val="Style_10_ch"/>
    <w:link w:val="Style_130"/>
    <w:rPr>
      <w:rFonts w:ascii="Arial Narrow" w:hAnsi="Arial Narrow"/>
      <w:sz w:val="24"/>
    </w:rPr>
  </w:style>
  <w:style w:styleId="Style_131" w:type="paragraph">
    <w:name w:val="Красная строка1"/>
    <w:basedOn w:val="Style_74"/>
    <w:link w:val="Style_131_ch"/>
    <w:pPr>
      <w:widowControl w:val="0"/>
      <w:ind w:firstLine="283" w:left="0"/>
    </w:pPr>
    <w:rPr>
      <w:rFonts w:ascii="Courier New" w:hAnsi="Courier New"/>
    </w:rPr>
  </w:style>
  <w:style w:styleId="Style_131_ch" w:type="character">
    <w:name w:val="Красная строка1"/>
    <w:basedOn w:val="Style_74_ch"/>
    <w:link w:val="Style_131"/>
    <w:rPr>
      <w:rFonts w:ascii="Courier New" w:hAnsi="Courier New"/>
    </w:rPr>
  </w:style>
  <w:style w:styleId="Style_132" w:type="paragraph">
    <w:name w:val="WW-WW8Num20z0"/>
    <w:link w:val="Style_132_ch"/>
    <w:rPr>
      <w:rFonts w:ascii="Courier New" w:hAnsi="Courier New"/>
    </w:rPr>
  </w:style>
  <w:style w:styleId="Style_132_ch" w:type="character">
    <w:name w:val="WW-WW8Num20z0"/>
    <w:link w:val="Style_132"/>
    <w:rPr>
      <w:rFonts w:ascii="Courier New" w:hAnsi="Courier New"/>
    </w:rPr>
  </w:style>
  <w:style w:styleId="Style_133" w:type="paragraph">
    <w:name w:val="WW8Num46z0"/>
    <w:link w:val="Style_133_ch"/>
    <w:rPr>
      <w:rFonts w:ascii="Wingdings" w:hAnsi="Wingdings"/>
    </w:rPr>
  </w:style>
  <w:style w:styleId="Style_133_ch" w:type="character">
    <w:name w:val="WW8Num46z0"/>
    <w:link w:val="Style_133"/>
    <w:rPr>
      <w:rFonts w:ascii="Wingdings" w:hAnsi="Wingdings"/>
    </w:rPr>
  </w:style>
  <w:style w:styleId="Style_134" w:type="paragraph">
    <w:name w:val="WW8Num41z1"/>
    <w:link w:val="Style_134_ch"/>
    <w:rPr>
      <w:rFonts w:ascii="Courier New" w:hAnsi="Courier New"/>
    </w:rPr>
  </w:style>
  <w:style w:styleId="Style_134_ch" w:type="character">
    <w:name w:val="WW8Num41z1"/>
    <w:link w:val="Style_134"/>
    <w:rPr>
      <w:rFonts w:ascii="Courier New" w:hAnsi="Courier New"/>
    </w:rPr>
  </w:style>
  <w:style w:styleId="Style_135" w:type="paragraph">
    <w:name w:val="Style7"/>
    <w:basedOn w:val="Style_10"/>
    <w:link w:val="Style_135_ch"/>
    <w:pPr>
      <w:widowControl w:val="0"/>
      <w:spacing w:after="0" w:line="240" w:lineRule="auto"/>
      <w:ind/>
    </w:pPr>
    <w:rPr>
      <w:sz w:val="24"/>
    </w:rPr>
  </w:style>
  <w:style w:styleId="Style_135_ch" w:type="character">
    <w:name w:val="Style7"/>
    <w:basedOn w:val="Style_10_ch"/>
    <w:link w:val="Style_135"/>
    <w:rPr>
      <w:sz w:val="24"/>
    </w:rPr>
  </w:style>
  <w:style w:styleId="Style_136" w:type="paragraph">
    <w:name w:val="WW8Num57z1"/>
    <w:link w:val="Style_136_ch"/>
    <w:rPr>
      <w:rFonts w:ascii="Courier New" w:hAnsi="Courier New"/>
    </w:rPr>
  </w:style>
  <w:style w:styleId="Style_136_ch" w:type="character">
    <w:name w:val="WW8Num57z1"/>
    <w:link w:val="Style_136"/>
    <w:rPr>
      <w:rFonts w:ascii="Courier New" w:hAnsi="Courier New"/>
    </w:rPr>
  </w:style>
  <w:style w:styleId="Style_137" w:type="paragraph">
    <w:name w:val="WW8Num63z1"/>
    <w:link w:val="Style_137_ch"/>
    <w:rPr>
      <w:rFonts w:ascii="Courier New" w:hAnsi="Courier New"/>
    </w:rPr>
  </w:style>
  <w:style w:styleId="Style_137_ch" w:type="character">
    <w:name w:val="WW8Num63z1"/>
    <w:link w:val="Style_137"/>
    <w:rPr>
      <w:rFonts w:ascii="Courier New" w:hAnsi="Courier New"/>
    </w:rPr>
  </w:style>
  <w:style w:styleId="Style_138" w:type="paragraph">
    <w:name w:val="font91"/>
    <w:link w:val="Style_138_ch"/>
  </w:style>
  <w:style w:styleId="Style_138_ch" w:type="character">
    <w:name w:val="font91"/>
    <w:link w:val="Style_138"/>
  </w:style>
  <w:style w:styleId="Style_139" w:type="paragraph">
    <w:name w:val="WW8Num54z2"/>
    <w:link w:val="Style_139_ch"/>
    <w:rPr>
      <w:rFonts w:ascii="Wingdings" w:hAnsi="Wingdings"/>
    </w:rPr>
  </w:style>
  <w:style w:styleId="Style_139_ch" w:type="character">
    <w:name w:val="WW8Num54z2"/>
    <w:link w:val="Style_139"/>
    <w:rPr>
      <w:rFonts w:ascii="Wingdings" w:hAnsi="Wingdings"/>
    </w:rPr>
  </w:style>
  <w:style w:styleId="Style_140" w:type="paragraph">
    <w:name w:val="xl161"/>
    <w:basedOn w:val="Style_10"/>
    <w:link w:val="Style_140_ch"/>
    <w:pPr>
      <w:spacing w:after="280" w:before="280" w:line="240" w:lineRule="auto"/>
      <w:ind/>
      <w:jc w:val="center"/>
    </w:pPr>
    <w:rPr>
      <w:b w:val="1"/>
    </w:rPr>
  </w:style>
  <w:style w:styleId="Style_140_ch" w:type="character">
    <w:name w:val="xl161"/>
    <w:basedOn w:val="Style_10_ch"/>
    <w:link w:val="Style_140"/>
    <w:rPr>
      <w:b w:val="1"/>
    </w:rPr>
  </w:style>
  <w:style w:styleId="Style_141" w:type="paragraph">
    <w:name w:val="Заголовок1"/>
    <w:basedOn w:val="Style_10"/>
    <w:next w:val="Style_74"/>
    <w:link w:val="Style_141_ch"/>
    <w:pPr>
      <w:keepNext w:val="1"/>
      <w:widowControl w:val="0"/>
      <w:spacing w:after="120" w:before="240" w:line="360" w:lineRule="atLeast"/>
      <w:ind w:firstLine="709" w:left="0"/>
      <w:jc w:val="both"/>
    </w:pPr>
    <w:rPr>
      <w:rFonts w:ascii="Arial" w:hAnsi="Arial"/>
      <w:sz w:val="28"/>
    </w:rPr>
  </w:style>
  <w:style w:styleId="Style_141_ch" w:type="character">
    <w:name w:val="Заголовок1"/>
    <w:basedOn w:val="Style_10_ch"/>
    <w:link w:val="Style_141"/>
    <w:rPr>
      <w:rFonts w:ascii="Arial" w:hAnsi="Arial"/>
      <w:sz w:val="28"/>
    </w:rPr>
  </w:style>
  <w:style w:styleId="Style_142" w:type="paragraph">
    <w:name w:val="xl102"/>
    <w:basedOn w:val="Style_10"/>
    <w:link w:val="Style_142_ch"/>
    <w:pPr>
      <w:spacing w:afterAutospacing="on" w:beforeAutospacing="on" w:line="240" w:lineRule="auto"/>
      <w:ind/>
      <w:jc w:val="center"/>
    </w:pPr>
    <w:rPr>
      <w:sz w:val="24"/>
    </w:rPr>
  </w:style>
  <w:style w:styleId="Style_142_ch" w:type="character">
    <w:name w:val="xl102"/>
    <w:basedOn w:val="Style_10_ch"/>
    <w:link w:val="Style_142"/>
    <w:rPr>
      <w:sz w:val="24"/>
    </w:rPr>
  </w:style>
  <w:style w:styleId="Style_143" w:type="paragraph">
    <w:name w:val="Style115"/>
    <w:basedOn w:val="Style_10"/>
    <w:link w:val="Style_143_ch"/>
    <w:pPr>
      <w:widowControl w:val="0"/>
      <w:spacing w:after="0" w:line="326" w:lineRule="exact"/>
      <w:ind w:firstLine="1646" w:left="0"/>
    </w:pPr>
    <w:rPr>
      <w:sz w:val="24"/>
    </w:rPr>
  </w:style>
  <w:style w:styleId="Style_143_ch" w:type="character">
    <w:name w:val="Style115"/>
    <w:basedOn w:val="Style_10_ch"/>
    <w:link w:val="Style_143"/>
    <w:rPr>
      <w:sz w:val="24"/>
    </w:rPr>
  </w:style>
  <w:style w:styleId="Style_144" w:type="paragraph">
    <w:name w:val="Style41"/>
    <w:basedOn w:val="Style_10"/>
    <w:link w:val="Style_144_ch"/>
    <w:pPr>
      <w:widowControl w:val="0"/>
      <w:spacing w:after="0" w:line="254" w:lineRule="exact"/>
      <w:ind w:firstLine="288" w:left="0"/>
      <w:jc w:val="both"/>
    </w:pPr>
    <w:rPr>
      <w:sz w:val="24"/>
    </w:rPr>
  </w:style>
  <w:style w:styleId="Style_144_ch" w:type="character">
    <w:name w:val="Style41"/>
    <w:basedOn w:val="Style_10_ch"/>
    <w:link w:val="Style_144"/>
    <w:rPr>
      <w:sz w:val="24"/>
    </w:rPr>
  </w:style>
  <w:style w:styleId="Style_145" w:type="paragraph">
    <w:name w:val="WW8Num15z1"/>
    <w:link w:val="Style_145_ch"/>
    <w:rPr>
      <w:rFonts w:ascii="Wingdings" w:hAnsi="Wingdings"/>
    </w:rPr>
  </w:style>
  <w:style w:styleId="Style_145_ch" w:type="character">
    <w:name w:val="WW8Num15z1"/>
    <w:link w:val="Style_145"/>
    <w:rPr>
      <w:rFonts w:ascii="Wingdings" w:hAnsi="Wingdings"/>
    </w:rPr>
  </w:style>
  <w:style w:styleId="Style_146" w:type="paragraph">
    <w:name w:val="xl98"/>
    <w:basedOn w:val="Style_10"/>
    <w:link w:val="Style_146_ch"/>
    <w:pPr>
      <w:spacing w:afterAutospacing="on" w:beforeAutospacing="on" w:line="240" w:lineRule="auto"/>
      <w:ind/>
      <w:jc w:val="center"/>
    </w:pPr>
    <w:rPr>
      <w:sz w:val="24"/>
    </w:rPr>
  </w:style>
  <w:style w:styleId="Style_146_ch" w:type="character">
    <w:name w:val="xl98"/>
    <w:basedOn w:val="Style_10_ch"/>
    <w:link w:val="Style_146"/>
    <w:rPr>
      <w:sz w:val="24"/>
    </w:rPr>
  </w:style>
  <w:style w:styleId="Style_147" w:type="paragraph">
    <w:name w:val="Основной текст с отступом + 12 pt"/>
    <w:basedOn w:val="Style_148"/>
    <w:link w:val="Style_147_ch"/>
    <w:pPr>
      <w:spacing w:line="240" w:lineRule="auto"/>
      <w:ind w:firstLine="0" w:left="0"/>
    </w:pPr>
    <w:rPr>
      <w:rFonts w:ascii="Times New Roman" w:hAnsi="Times New Roman"/>
      <w:b w:val="1"/>
      <w:sz w:val="24"/>
    </w:rPr>
  </w:style>
  <w:style w:styleId="Style_147_ch" w:type="character">
    <w:name w:val="Основной текст с отступом + 12 pt"/>
    <w:basedOn w:val="Style_148_ch"/>
    <w:link w:val="Style_147"/>
    <w:rPr>
      <w:rFonts w:ascii="Times New Roman" w:hAnsi="Times New Roman"/>
      <w:b w:val="1"/>
      <w:sz w:val="24"/>
    </w:rPr>
  </w:style>
  <w:style w:styleId="Style_149" w:type="paragraph">
    <w:name w:val="WW8Num2z2"/>
    <w:link w:val="Style_149_ch"/>
    <w:rPr>
      <w:rFonts w:ascii="Wingdings" w:hAnsi="Wingdings"/>
    </w:rPr>
  </w:style>
  <w:style w:styleId="Style_149_ch" w:type="character">
    <w:name w:val="WW8Num2z2"/>
    <w:link w:val="Style_149"/>
    <w:rPr>
      <w:rFonts w:ascii="Wingdings" w:hAnsi="Wingdings"/>
    </w:rPr>
  </w:style>
  <w:style w:styleId="Style_150" w:type="paragraph">
    <w:name w:val="WW8Num18z4"/>
    <w:link w:val="Style_150_ch"/>
    <w:rPr>
      <w:rFonts w:ascii="Courier New" w:hAnsi="Courier New"/>
    </w:rPr>
  </w:style>
  <w:style w:styleId="Style_150_ch" w:type="character">
    <w:name w:val="WW8Num18z4"/>
    <w:link w:val="Style_150"/>
    <w:rPr>
      <w:rFonts w:ascii="Courier New" w:hAnsi="Courier New"/>
    </w:rPr>
  </w:style>
  <w:style w:styleId="Style_151" w:type="paragraph">
    <w:name w:val="WW-Absatz-Standardschriftart1111111111111111111111111111"/>
    <w:link w:val="Style_151_ch"/>
  </w:style>
  <w:style w:styleId="Style_151_ch" w:type="character">
    <w:name w:val="WW-Absatz-Standardschriftart1111111111111111111111111111"/>
    <w:link w:val="Style_151"/>
  </w:style>
  <w:style w:styleId="Style_152" w:type="paragraph">
    <w:name w:val="Основной текст 34"/>
    <w:basedOn w:val="Style_10"/>
    <w:link w:val="Style_152_ch"/>
    <w:pPr>
      <w:spacing w:after="120" w:line="240" w:lineRule="auto"/>
      <w:ind/>
    </w:pPr>
    <w:rPr>
      <w:sz w:val="16"/>
    </w:rPr>
  </w:style>
  <w:style w:styleId="Style_152_ch" w:type="character">
    <w:name w:val="Основной текст 34"/>
    <w:basedOn w:val="Style_10_ch"/>
    <w:link w:val="Style_152"/>
    <w:rPr>
      <w:sz w:val="16"/>
    </w:rPr>
  </w:style>
  <w:style w:styleId="Style_153" w:type="paragraph">
    <w:name w:val="WW8Num21z0"/>
    <w:link w:val="Style_153_ch"/>
    <w:rPr>
      <w:rFonts w:ascii="Courier New" w:hAnsi="Courier New"/>
    </w:rPr>
  </w:style>
  <w:style w:styleId="Style_153_ch" w:type="character">
    <w:name w:val="WW8Num21z0"/>
    <w:link w:val="Style_153"/>
    <w:rPr>
      <w:rFonts w:ascii="Courier New" w:hAnsi="Courier New"/>
    </w:rPr>
  </w:style>
  <w:style w:styleId="Style_154" w:type="paragraph">
    <w:name w:val="Style36"/>
    <w:basedOn w:val="Style_10"/>
    <w:link w:val="Style_154_ch"/>
    <w:pPr>
      <w:widowControl w:val="0"/>
      <w:spacing w:after="0" w:line="312" w:lineRule="exact"/>
      <w:ind w:hanging="274" w:left="274"/>
    </w:pPr>
    <w:rPr>
      <w:sz w:val="24"/>
    </w:rPr>
  </w:style>
  <w:style w:styleId="Style_154_ch" w:type="character">
    <w:name w:val="Style36"/>
    <w:basedOn w:val="Style_10_ch"/>
    <w:link w:val="Style_154"/>
    <w:rPr>
      <w:sz w:val="24"/>
    </w:rPr>
  </w:style>
  <w:style w:styleId="Style_155" w:type="paragraph">
    <w:name w:val="СПИСОК Знак"/>
    <w:link w:val="Style_155_ch"/>
    <w:rPr>
      <w:sz w:val="26"/>
    </w:rPr>
  </w:style>
  <w:style w:styleId="Style_155_ch" w:type="character">
    <w:name w:val="СПИСОК Знак"/>
    <w:link w:val="Style_155"/>
    <w:rPr>
      <w:sz w:val="26"/>
    </w:rPr>
  </w:style>
  <w:style w:styleId="Style_156" w:type="paragraph">
    <w:name w:val="Обычный_IG Знак Знак Знак Знак Знак"/>
    <w:link w:val="Style_156_ch"/>
    <w:rPr>
      <w:rFonts w:ascii="Arial" w:hAnsi="Arial"/>
      <w:sz w:val="28"/>
    </w:rPr>
  </w:style>
  <w:style w:styleId="Style_156_ch" w:type="character">
    <w:name w:val="Обычный_IG Знак Знак Знак Знак Знак"/>
    <w:link w:val="Style_156"/>
    <w:rPr>
      <w:rFonts w:ascii="Arial" w:hAnsi="Arial"/>
      <w:sz w:val="28"/>
    </w:rPr>
  </w:style>
  <w:style w:styleId="Style_157" w:type="paragraph">
    <w:name w:val="p6"/>
    <w:basedOn w:val="Style_10"/>
    <w:link w:val="Style_157_ch"/>
    <w:pPr>
      <w:spacing w:afterAutospacing="on" w:beforeAutospacing="on" w:line="240" w:lineRule="auto"/>
      <w:ind/>
    </w:pPr>
    <w:rPr>
      <w:sz w:val="24"/>
    </w:rPr>
  </w:style>
  <w:style w:styleId="Style_157_ch" w:type="character">
    <w:name w:val="p6"/>
    <w:basedOn w:val="Style_10_ch"/>
    <w:link w:val="Style_157"/>
    <w:rPr>
      <w:sz w:val="24"/>
    </w:rPr>
  </w:style>
  <w:style w:styleId="Style_158" w:type="paragraph">
    <w:name w:val="WW8Num32z1"/>
    <w:link w:val="Style_158_ch"/>
    <w:rPr>
      <w:rFonts w:ascii="Courier New" w:hAnsi="Courier New"/>
    </w:rPr>
  </w:style>
  <w:style w:styleId="Style_158_ch" w:type="character">
    <w:name w:val="WW8Num32z1"/>
    <w:link w:val="Style_158"/>
    <w:rPr>
      <w:rFonts w:ascii="Courier New" w:hAnsi="Courier New"/>
    </w:rPr>
  </w:style>
  <w:style w:styleId="Style_159" w:type="paragraph">
    <w:name w:val="Font Style39"/>
    <w:link w:val="Style_159_ch"/>
    <w:rPr>
      <w:b w:val="1"/>
      <w:sz w:val="28"/>
    </w:rPr>
  </w:style>
  <w:style w:styleId="Style_159_ch" w:type="character">
    <w:name w:val="Font Style39"/>
    <w:link w:val="Style_159"/>
    <w:rPr>
      <w:b w:val="1"/>
      <w:sz w:val="28"/>
    </w:rPr>
  </w:style>
  <w:style w:styleId="Style_160" w:type="paragraph">
    <w:name w:val="Заголовок 21"/>
    <w:basedOn w:val="Style_161"/>
    <w:next w:val="Style_161"/>
    <w:link w:val="Style_160_ch"/>
    <w:pPr>
      <w:keepNext w:val="1"/>
      <w:widowControl w:val="1"/>
      <w:spacing w:line="360" w:lineRule="auto"/>
      <w:ind w:hanging="425" w:left="1276"/>
      <w:outlineLvl w:val="1"/>
    </w:pPr>
    <w:rPr>
      <w:rFonts w:ascii="Times New Roman" w:hAnsi="Times New Roman"/>
      <w:sz w:val="28"/>
    </w:rPr>
  </w:style>
  <w:style w:styleId="Style_160_ch" w:type="character">
    <w:name w:val="Заголовок 21"/>
    <w:basedOn w:val="Style_161_ch"/>
    <w:link w:val="Style_160"/>
    <w:rPr>
      <w:rFonts w:ascii="Times New Roman" w:hAnsi="Times New Roman"/>
      <w:sz w:val="28"/>
    </w:rPr>
  </w:style>
  <w:style w:styleId="Style_162" w:type="paragraph">
    <w:name w:val="WW8NumSt14z0"/>
    <w:link w:val="Style_162_ch"/>
    <w:rPr>
      <w:rFonts w:ascii="Courier New" w:hAnsi="Courier New"/>
    </w:rPr>
  </w:style>
  <w:style w:styleId="Style_162_ch" w:type="character">
    <w:name w:val="WW8NumSt14z0"/>
    <w:link w:val="Style_162"/>
    <w:rPr>
      <w:rFonts w:ascii="Courier New" w:hAnsi="Courier New"/>
    </w:rPr>
  </w:style>
  <w:style w:styleId="Style_163" w:type="paragraph">
    <w:name w:val="???? ???????? ??????"/>
    <w:link w:val="Style_163_ch"/>
    <w:rPr>
      <w:vertAlign w:val="superscript"/>
    </w:rPr>
  </w:style>
  <w:style w:styleId="Style_163_ch" w:type="character">
    <w:name w:val="???? ???????? ??????"/>
    <w:link w:val="Style_163"/>
    <w:rPr>
      <w:vertAlign w:val="superscript"/>
    </w:rPr>
  </w:style>
  <w:style w:styleId="Style_164" w:type="paragraph">
    <w:name w:val="WW-Символ нумерации1"/>
    <w:link w:val="Style_164_ch"/>
    <w:rPr>
      <w:b w:val="1"/>
    </w:rPr>
  </w:style>
  <w:style w:styleId="Style_164_ch" w:type="character">
    <w:name w:val="WW-Символ нумерации1"/>
    <w:link w:val="Style_164"/>
    <w:rPr>
      <w:b w:val="1"/>
    </w:rPr>
  </w:style>
  <w:style w:styleId="Style_165" w:type="paragraph">
    <w:name w:val="Font Style136"/>
    <w:link w:val="Style_165_ch"/>
    <w:rPr>
      <w:rFonts w:ascii="Arial" w:hAnsi="Arial"/>
      <w:b w:val="1"/>
      <w:sz w:val="22"/>
    </w:rPr>
  </w:style>
  <w:style w:styleId="Style_165_ch" w:type="character">
    <w:name w:val="Font Style136"/>
    <w:link w:val="Style_165"/>
    <w:rPr>
      <w:rFonts w:ascii="Arial" w:hAnsi="Arial"/>
      <w:b w:val="1"/>
      <w:sz w:val="22"/>
    </w:rPr>
  </w:style>
  <w:style w:styleId="Style_166" w:type="paragraph">
    <w:name w:val="xl85"/>
    <w:basedOn w:val="Style_10"/>
    <w:link w:val="Style_166_ch"/>
    <w:pPr>
      <w:spacing w:afterAutospacing="on" w:beforeAutospacing="on" w:line="240" w:lineRule="auto"/>
      <w:ind/>
      <w:jc w:val="center"/>
    </w:pPr>
    <w:rPr>
      <w:sz w:val="18"/>
    </w:rPr>
  </w:style>
  <w:style w:styleId="Style_166_ch" w:type="character">
    <w:name w:val="xl85"/>
    <w:basedOn w:val="Style_10_ch"/>
    <w:link w:val="Style_166"/>
    <w:rPr>
      <w:sz w:val="18"/>
    </w:rPr>
  </w:style>
  <w:style w:styleId="Style_167" w:type="paragraph">
    <w:name w:val="endnote text"/>
    <w:basedOn w:val="Style_10"/>
    <w:link w:val="Style_167_ch"/>
    <w:pPr>
      <w:widowControl w:val="0"/>
      <w:spacing w:after="0" w:line="240" w:lineRule="auto"/>
      <w:ind w:hanging="283" w:left="283"/>
    </w:pPr>
    <w:rPr>
      <w:sz w:val="20"/>
    </w:rPr>
  </w:style>
  <w:style w:styleId="Style_167_ch" w:type="character">
    <w:name w:val="endnote text"/>
    <w:basedOn w:val="Style_10_ch"/>
    <w:link w:val="Style_167"/>
    <w:rPr>
      <w:sz w:val="20"/>
    </w:rPr>
  </w:style>
  <w:style w:styleId="Style_168" w:type="paragraph">
    <w:name w:val="font18"/>
    <w:basedOn w:val="Style_10"/>
    <w:link w:val="Style_168_ch"/>
    <w:pPr>
      <w:spacing w:afterAutospacing="on" w:beforeAutospacing="on" w:line="240" w:lineRule="auto"/>
      <w:ind/>
    </w:pPr>
    <w:rPr>
      <w:sz w:val="20"/>
    </w:rPr>
  </w:style>
  <w:style w:styleId="Style_168_ch" w:type="character">
    <w:name w:val="font18"/>
    <w:basedOn w:val="Style_10_ch"/>
    <w:link w:val="Style_168"/>
    <w:rPr>
      <w:sz w:val="20"/>
    </w:rPr>
  </w:style>
  <w:style w:styleId="Style_169" w:type="paragraph">
    <w:name w:val="Style70"/>
    <w:basedOn w:val="Style_10"/>
    <w:link w:val="Style_169_ch"/>
    <w:pPr>
      <w:widowControl w:val="0"/>
      <w:spacing w:after="0" w:line="240" w:lineRule="auto"/>
      <w:ind/>
    </w:pPr>
    <w:rPr>
      <w:sz w:val="24"/>
    </w:rPr>
  </w:style>
  <w:style w:styleId="Style_169_ch" w:type="character">
    <w:name w:val="Style70"/>
    <w:basedOn w:val="Style_10_ch"/>
    <w:link w:val="Style_169"/>
    <w:rPr>
      <w:sz w:val="24"/>
    </w:rPr>
  </w:style>
  <w:style w:styleId="Style_170" w:type="paragraph">
    <w:name w:val="font11"/>
    <w:basedOn w:val="Style_10"/>
    <w:link w:val="Style_170_ch"/>
    <w:pPr>
      <w:spacing w:afterAutospacing="on" w:beforeAutospacing="on" w:line="240" w:lineRule="auto"/>
      <w:ind/>
    </w:pPr>
    <w:rPr>
      <w:sz w:val="20"/>
    </w:rPr>
  </w:style>
  <w:style w:styleId="Style_170_ch" w:type="character">
    <w:name w:val="font11"/>
    <w:basedOn w:val="Style_10_ch"/>
    <w:link w:val="Style_170"/>
    <w:rPr>
      <w:sz w:val="20"/>
    </w:rPr>
  </w:style>
  <w:style w:styleId="Style_171" w:type="paragraph">
    <w:name w:val="Font Style192"/>
    <w:link w:val="Style_171_ch"/>
    <w:rPr>
      <w:sz w:val="32"/>
    </w:rPr>
  </w:style>
  <w:style w:styleId="Style_171_ch" w:type="character">
    <w:name w:val="Font Style192"/>
    <w:link w:val="Style_171"/>
    <w:rPr>
      <w:sz w:val="32"/>
    </w:rPr>
  </w:style>
  <w:style w:styleId="Style_172" w:type="paragraph">
    <w:name w:val="Знак концевой сноски1"/>
    <w:link w:val="Style_172_ch"/>
    <w:rPr>
      <w:vertAlign w:val="superscript"/>
    </w:rPr>
  </w:style>
  <w:style w:styleId="Style_172_ch" w:type="character">
    <w:name w:val="Знак концевой сноски1"/>
    <w:link w:val="Style_172"/>
    <w:rPr>
      <w:vertAlign w:val="superscript"/>
    </w:rPr>
  </w:style>
  <w:style w:styleId="Style_173" w:type="paragraph">
    <w:name w:val="apple-converted-space"/>
    <w:link w:val="Style_173_ch"/>
  </w:style>
  <w:style w:styleId="Style_173_ch" w:type="character">
    <w:name w:val="apple-converted-space"/>
    <w:link w:val="Style_173"/>
  </w:style>
  <w:style w:styleId="Style_174" w:type="paragraph">
    <w:name w:val="Font Style116"/>
    <w:link w:val="Style_174_ch"/>
    <w:rPr>
      <w:rFonts w:ascii="Arial" w:hAnsi="Arial"/>
      <w:sz w:val="26"/>
    </w:rPr>
  </w:style>
  <w:style w:styleId="Style_174_ch" w:type="character">
    <w:name w:val="Font Style116"/>
    <w:link w:val="Style_174"/>
    <w:rPr>
      <w:rFonts w:ascii="Arial" w:hAnsi="Arial"/>
      <w:sz w:val="26"/>
    </w:rPr>
  </w:style>
  <w:style w:styleId="Style_175" w:type="paragraph">
    <w:name w:val="WW-Схема документа"/>
    <w:basedOn w:val="Style_10"/>
    <w:link w:val="Style_175_ch"/>
    <w:pPr>
      <w:spacing w:after="0" w:line="240" w:lineRule="auto"/>
      <w:ind/>
    </w:pPr>
    <w:rPr>
      <w:rFonts w:ascii="Tahoma" w:hAnsi="Tahoma"/>
      <w:sz w:val="20"/>
    </w:rPr>
  </w:style>
  <w:style w:styleId="Style_175_ch" w:type="character">
    <w:name w:val="WW-Схема документа"/>
    <w:basedOn w:val="Style_10_ch"/>
    <w:link w:val="Style_175"/>
    <w:rPr>
      <w:rFonts w:ascii="Tahoma" w:hAnsi="Tahoma"/>
      <w:sz w:val="20"/>
    </w:rPr>
  </w:style>
  <w:style w:styleId="Style_176" w:type="paragraph">
    <w:name w:val="WW8Num16z2"/>
    <w:link w:val="Style_176_ch"/>
    <w:rPr>
      <w:rFonts w:ascii="Wingdings" w:hAnsi="Wingdings"/>
    </w:rPr>
  </w:style>
  <w:style w:styleId="Style_176_ch" w:type="character">
    <w:name w:val="WW8Num16z2"/>
    <w:link w:val="Style_176"/>
    <w:rPr>
      <w:rFonts w:ascii="Wingdings" w:hAnsi="Wingdings"/>
    </w:rPr>
  </w:style>
  <w:style w:styleId="Style_177" w:type="paragraph">
    <w:name w:val="WW8Num18z1"/>
    <w:link w:val="Style_177_ch"/>
    <w:rPr>
      <w:rFonts w:ascii="Courier New" w:hAnsi="Courier New"/>
    </w:rPr>
  </w:style>
  <w:style w:styleId="Style_177_ch" w:type="character">
    <w:name w:val="WW8Num18z1"/>
    <w:link w:val="Style_177"/>
    <w:rPr>
      <w:rFonts w:ascii="Courier New" w:hAnsi="Courier New"/>
    </w:rPr>
  </w:style>
  <w:style w:styleId="Style_178" w:type="paragraph">
    <w:name w:val="Заголовок2"/>
    <w:basedOn w:val="Style_10"/>
    <w:next w:val="Style_74"/>
    <w:link w:val="Style_178_ch"/>
    <w:pPr>
      <w:keepNext w:val="1"/>
      <w:spacing w:after="120" w:before="240" w:line="240" w:lineRule="auto"/>
      <w:ind/>
    </w:pPr>
    <w:rPr>
      <w:rFonts w:ascii="Tahoma" w:hAnsi="Tahoma"/>
      <w:sz w:val="28"/>
    </w:rPr>
  </w:style>
  <w:style w:styleId="Style_178_ch" w:type="character">
    <w:name w:val="Заголовок2"/>
    <w:basedOn w:val="Style_10_ch"/>
    <w:link w:val="Style_178"/>
    <w:rPr>
      <w:rFonts w:ascii="Tahoma" w:hAnsi="Tahoma"/>
      <w:sz w:val="28"/>
    </w:rPr>
  </w:style>
  <w:style w:styleId="Style_179" w:type="paragraph">
    <w:name w:val="xl52"/>
    <w:basedOn w:val="Style_10"/>
    <w:link w:val="Style_179_ch"/>
    <w:pPr>
      <w:spacing w:after="280" w:before="280" w:line="360" w:lineRule="atLeast"/>
      <w:ind w:firstLine="709" w:left="0"/>
      <w:jc w:val="both"/>
    </w:pPr>
    <w:rPr>
      <w:rFonts w:ascii="Arial CYR" w:hAnsi="Arial CYR"/>
      <w:sz w:val="24"/>
    </w:rPr>
  </w:style>
  <w:style w:styleId="Style_179_ch" w:type="character">
    <w:name w:val="xl52"/>
    <w:basedOn w:val="Style_10_ch"/>
    <w:link w:val="Style_179"/>
    <w:rPr>
      <w:rFonts w:ascii="Arial CYR" w:hAnsi="Arial CYR"/>
      <w:sz w:val="24"/>
    </w:rPr>
  </w:style>
  <w:style w:styleId="Style_180" w:type="paragraph">
    <w:name w:val="Style122"/>
    <w:basedOn w:val="Style_10"/>
    <w:link w:val="Style_180_ch"/>
    <w:pPr>
      <w:widowControl w:val="0"/>
      <w:spacing w:after="0" w:line="240" w:lineRule="auto"/>
      <w:ind/>
    </w:pPr>
    <w:rPr>
      <w:sz w:val="24"/>
    </w:rPr>
  </w:style>
  <w:style w:styleId="Style_180_ch" w:type="character">
    <w:name w:val="Style122"/>
    <w:basedOn w:val="Style_10_ch"/>
    <w:link w:val="Style_180"/>
    <w:rPr>
      <w:sz w:val="24"/>
    </w:rPr>
  </w:style>
  <w:style w:styleId="Style_181" w:type="paragraph">
    <w:name w:val="caption"/>
    <w:basedOn w:val="Style_10"/>
    <w:next w:val="Style_10"/>
    <w:link w:val="Style_181_ch"/>
    <w:pPr>
      <w:spacing w:after="0" w:line="240" w:lineRule="auto"/>
      <w:ind/>
    </w:pPr>
    <w:rPr>
      <w:b w:val="1"/>
      <w:sz w:val="20"/>
    </w:rPr>
  </w:style>
  <w:style w:styleId="Style_181_ch" w:type="character">
    <w:name w:val="caption"/>
    <w:basedOn w:val="Style_10_ch"/>
    <w:link w:val="Style_181"/>
    <w:rPr>
      <w:b w:val="1"/>
      <w:sz w:val="20"/>
    </w:rPr>
  </w:style>
  <w:style w:styleId="Style_182" w:type="paragraph">
    <w:name w:val="Знак сноски1"/>
    <w:link w:val="Style_182_ch"/>
    <w:rPr>
      <w:vertAlign w:val="superscript"/>
    </w:rPr>
  </w:style>
  <w:style w:styleId="Style_182_ch" w:type="character">
    <w:name w:val="Знак сноски1"/>
    <w:link w:val="Style_182"/>
    <w:rPr>
      <w:vertAlign w:val="superscript"/>
    </w:rPr>
  </w:style>
  <w:style w:styleId="Style_183" w:type="paragraph">
    <w:name w:val="Style92"/>
    <w:basedOn w:val="Style_10"/>
    <w:link w:val="Style_183_ch"/>
    <w:pPr>
      <w:widowControl w:val="0"/>
      <w:spacing w:after="0" w:line="240" w:lineRule="auto"/>
      <w:ind/>
    </w:pPr>
    <w:rPr>
      <w:sz w:val="24"/>
    </w:rPr>
  </w:style>
  <w:style w:styleId="Style_183_ch" w:type="character">
    <w:name w:val="Style92"/>
    <w:basedOn w:val="Style_10_ch"/>
    <w:link w:val="Style_183"/>
    <w:rPr>
      <w:sz w:val="24"/>
    </w:rPr>
  </w:style>
  <w:style w:styleId="Style_184" w:type="paragraph">
    <w:name w:val="xl142"/>
    <w:basedOn w:val="Style_10"/>
    <w:link w:val="Style_184_ch"/>
    <w:pPr>
      <w:spacing w:after="280" w:before="280" w:line="240" w:lineRule="auto"/>
      <w:ind/>
      <w:jc w:val="center"/>
    </w:pPr>
    <w:rPr>
      <w:sz w:val="18"/>
    </w:rPr>
  </w:style>
  <w:style w:styleId="Style_184_ch" w:type="character">
    <w:name w:val="xl142"/>
    <w:basedOn w:val="Style_10_ch"/>
    <w:link w:val="Style_184"/>
    <w:rPr>
      <w:sz w:val="18"/>
    </w:rPr>
  </w:style>
  <w:style w:styleId="Style_185" w:type="paragraph">
    <w:name w:val="Цитата1"/>
    <w:basedOn w:val="Style_10"/>
    <w:link w:val="Style_185_ch"/>
    <w:pPr>
      <w:widowControl w:val="0"/>
      <w:spacing w:after="0" w:line="240" w:lineRule="auto"/>
      <w:ind w:firstLine="709" w:left="180" w:right="75"/>
      <w:jc w:val="both"/>
    </w:pPr>
    <w:rPr>
      <w:rFonts w:ascii="Arial" w:hAnsi="Arial"/>
      <w:sz w:val="24"/>
    </w:rPr>
  </w:style>
  <w:style w:styleId="Style_185_ch" w:type="character">
    <w:name w:val="Цитата1"/>
    <w:basedOn w:val="Style_10_ch"/>
    <w:link w:val="Style_185"/>
    <w:rPr>
      <w:rFonts w:ascii="Arial" w:hAnsi="Arial"/>
      <w:sz w:val="24"/>
    </w:rPr>
  </w:style>
  <w:style w:styleId="Style_186" w:type="paragraph">
    <w:name w:val="УГТП-Наименование"/>
    <w:basedOn w:val="Style_10"/>
    <w:link w:val="Style_186_ch"/>
    <w:pPr>
      <w:spacing w:after="0" w:line="240" w:lineRule="auto"/>
      <w:ind/>
    </w:pPr>
    <w:rPr>
      <w:rFonts w:ascii="Arial" w:hAnsi="Arial"/>
      <w:sz w:val="20"/>
    </w:rPr>
  </w:style>
  <w:style w:styleId="Style_186_ch" w:type="character">
    <w:name w:val="УГТП-Наименование"/>
    <w:basedOn w:val="Style_10_ch"/>
    <w:link w:val="Style_186"/>
    <w:rPr>
      <w:rFonts w:ascii="Arial" w:hAnsi="Arial"/>
      <w:sz w:val="20"/>
    </w:rPr>
  </w:style>
  <w:style w:styleId="Style_187" w:type="paragraph">
    <w:name w:val="Цветовое выделение"/>
    <w:link w:val="Style_187_ch"/>
    <w:rPr>
      <w:b w:val="1"/>
      <w:color w:val="000080"/>
    </w:rPr>
  </w:style>
  <w:style w:styleId="Style_187_ch" w:type="character">
    <w:name w:val="Цветовое выделение"/>
    <w:link w:val="Style_187"/>
    <w:rPr>
      <w:b w:val="1"/>
      <w:color w:val="000080"/>
    </w:rPr>
  </w:style>
  <w:style w:styleId="Style_188" w:type="paragraph">
    <w:name w:val="rvts97"/>
    <w:link w:val="Style_188_ch"/>
    <w:rPr>
      <w:sz w:val="24"/>
    </w:rPr>
  </w:style>
  <w:style w:styleId="Style_188_ch" w:type="character">
    <w:name w:val="rvts97"/>
    <w:link w:val="Style_188"/>
    <w:rPr>
      <w:sz w:val="24"/>
    </w:rPr>
  </w:style>
  <w:style w:styleId="Style_189" w:type="paragraph">
    <w:name w:val="WW8Num1z3"/>
    <w:link w:val="Style_189_ch"/>
    <w:rPr>
      <w:rFonts w:ascii="Symbol" w:hAnsi="Symbol"/>
    </w:rPr>
  </w:style>
  <w:style w:styleId="Style_189_ch" w:type="character">
    <w:name w:val="WW8Num1z3"/>
    <w:link w:val="Style_189"/>
    <w:rPr>
      <w:rFonts w:ascii="Symbol" w:hAnsi="Symbol"/>
    </w:rPr>
  </w:style>
  <w:style w:styleId="Style_190" w:type="paragraph">
    <w:name w:val="WW-WW8Num38z0"/>
    <w:link w:val="Style_190_ch"/>
    <w:rPr>
      <w:rFonts w:ascii="StarSymbol" w:hAnsi="StarSymbol"/>
      <w:sz w:val="18"/>
    </w:rPr>
  </w:style>
  <w:style w:styleId="Style_190_ch" w:type="character">
    <w:name w:val="WW-WW8Num38z0"/>
    <w:link w:val="Style_190"/>
    <w:rPr>
      <w:rFonts w:ascii="StarSymbol" w:hAnsi="StarSymbol"/>
      <w:sz w:val="18"/>
    </w:rPr>
  </w:style>
  <w:style w:styleId="Style_191" w:type="paragraph">
    <w:name w:val="Font Style171"/>
    <w:link w:val="Style_191_ch"/>
    <w:rPr>
      <w:rFonts w:ascii="Arial Unicode MS" w:hAnsi="Arial Unicode MS"/>
      <w:b w:val="1"/>
      <w:spacing w:val="-20"/>
      <w:sz w:val="24"/>
    </w:rPr>
  </w:style>
  <w:style w:styleId="Style_191_ch" w:type="character">
    <w:name w:val="Font Style171"/>
    <w:link w:val="Style_191"/>
    <w:rPr>
      <w:rFonts w:ascii="Arial Unicode MS" w:hAnsi="Arial Unicode MS"/>
      <w:b w:val="1"/>
      <w:spacing w:val="-20"/>
      <w:sz w:val="24"/>
    </w:rPr>
  </w:style>
  <w:style w:styleId="Style_192" w:type="paragraph">
    <w:name w:val="xl144"/>
    <w:basedOn w:val="Style_10"/>
    <w:link w:val="Style_192_ch"/>
    <w:pPr>
      <w:spacing w:after="280" w:before="280" w:line="240" w:lineRule="auto"/>
      <w:ind/>
      <w:jc w:val="center"/>
    </w:pPr>
    <w:rPr>
      <w:sz w:val="18"/>
    </w:rPr>
  </w:style>
  <w:style w:styleId="Style_192_ch" w:type="character">
    <w:name w:val="xl144"/>
    <w:basedOn w:val="Style_10_ch"/>
    <w:link w:val="Style_192"/>
    <w:rPr>
      <w:sz w:val="18"/>
    </w:rPr>
  </w:style>
  <w:style w:styleId="Style_193" w:type="paragraph">
    <w:name w:val="WW8Num20z1"/>
    <w:link w:val="Style_193_ch"/>
    <w:rPr>
      <w:rFonts w:ascii="Courier New" w:hAnsi="Courier New"/>
    </w:rPr>
  </w:style>
  <w:style w:styleId="Style_193_ch" w:type="character">
    <w:name w:val="WW8Num20z1"/>
    <w:link w:val="Style_193"/>
    <w:rPr>
      <w:rFonts w:ascii="Courier New" w:hAnsi="Courier New"/>
    </w:rPr>
  </w:style>
  <w:style w:styleId="Style_194" w:type="paragraph">
    <w:name w:val="WW8Num51z2"/>
    <w:link w:val="Style_194_ch"/>
    <w:rPr>
      <w:rFonts w:ascii="Wingdings" w:hAnsi="Wingdings"/>
    </w:rPr>
  </w:style>
  <w:style w:styleId="Style_194_ch" w:type="character">
    <w:name w:val="WW8Num51z2"/>
    <w:link w:val="Style_194"/>
    <w:rPr>
      <w:rFonts w:ascii="Wingdings" w:hAnsi="Wingdings"/>
    </w:rPr>
  </w:style>
  <w:style w:styleId="Style_195" w:type="paragraph">
    <w:name w:val="font16"/>
    <w:basedOn w:val="Style_10"/>
    <w:link w:val="Style_195_ch"/>
    <w:pPr>
      <w:spacing w:afterAutospacing="on" w:beforeAutospacing="on" w:line="240" w:lineRule="auto"/>
      <w:ind/>
    </w:pPr>
    <w:rPr>
      <w:sz w:val="18"/>
    </w:rPr>
  </w:style>
  <w:style w:styleId="Style_195_ch" w:type="character">
    <w:name w:val="font16"/>
    <w:basedOn w:val="Style_10_ch"/>
    <w:link w:val="Style_195"/>
    <w:rPr>
      <w:sz w:val="18"/>
    </w:rPr>
  </w:style>
  <w:style w:styleId="Style_196" w:type="paragraph">
    <w:name w:val="xl168"/>
    <w:basedOn w:val="Style_10"/>
    <w:link w:val="Style_196_ch"/>
    <w:pPr>
      <w:spacing w:after="280" w:before="280" w:line="240" w:lineRule="auto"/>
      <w:ind/>
      <w:jc w:val="center"/>
    </w:pPr>
    <w:rPr>
      <w:b w:val="1"/>
      <w:sz w:val="24"/>
    </w:rPr>
  </w:style>
  <w:style w:styleId="Style_196_ch" w:type="character">
    <w:name w:val="xl168"/>
    <w:basedOn w:val="Style_10_ch"/>
    <w:link w:val="Style_196"/>
    <w:rPr>
      <w:b w:val="1"/>
      <w:sz w:val="24"/>
    </w:rPr>
  </w:style>
  <w:style w:styleId="Style_197" w:type="paragraph">
    <w:name w:val="Font Style114"/>
    <w:link w:val="Style_197_ch"/>
    <w:rPr>
      <w:b w:val="1"/>
      <w:sz w:val="12"/>
    </w:rPr>
  </w:style>
  <w:style w:styleId="Style_197_ch" w:type="character">
    <w:name w:val="Font Style114"/>
    <w:link w:val="Style_197"/>
    <w:rPr>
      <w:b w:val="1"/>
      <w:sz w:val="12"/>
    </w:rPr>
  </w:style>
  <w:style w:styleId="Style_198" w:type="paragraph">
    <w:name w:val="Основной текст 331"/>
    <w:basedOn w:val="Style_10"/>
    <w:link w:val="Style_198_ch"/>
    <w:pPr>
      <w:spacing w:after="0" w:line="240" w:lineRule="auto"/>
      <w:ind/>
    </w:pPr>
    <w:rPr>
      <w:sz w:val="28"/>
    </w:rPr>
  </w:style>
  <w:style w:styleId="Style_198_ch" w:type="character">
    <w:name w:val="Основной текст 331"/>
    <w:basedOn w:val="Style_10_ch"/>
    <w:link w:val="Style_198"/>
    <w:rPr>
      <w:sz w:val="28"/>
    </w:rPr>
  </w:style>
  <w:style w:styleId="Style_199" w:type="paragraph">
    <w:name w:val="WW8Num569z1"/>
    <w:link w:val="Style_199_ch"/>
    <w:rPr>
      <w:rFonts w:ascii="Courier New" w:hAnsi="Courier New"/>
    </w:rPr>
  </w:style>
  <w:style w:styleId="Style_199_ch" w:type="character">
    <w:name w:val="WW8Num569z1"/>
    <w:link w:val="Style_199"/>
    <w:rPr>
      <w:rFonts w:ascii="Courier New" w:hAnsi="Courier New"/>
    </w:rPr>
  </w:style>
  <w:style w:styleId="Style_200" w:type="paragraph">
    <w:name w:val="WW8Num20z0"/>
    <w:link w:val="Style_200_ch"/>
    <w:rPr>
      <w:rFonts w:ascii="Courier New" w:hAnsi="Courier New"/>
    </w:rPr>
  </w:style>
  <w:style w:styleId="Style_200_ch" w:type="character">
    <w:name w:val="WW8Num20z0"/>
    <w:link w:val="Style_200"/>
    <w:rPr>
      <w:rFonts w:ascii="Courier New" w:hAnsi="Courier New"/>
    </w:rPr>
  </w:style>
  <w:style w:styleId="Style_201" w:type="paragraph">
    <w:name w:val="Font Style143"/>
    <w:link w:val="Style_201_ch"/>
    <w:rPr>
      <w:rFonts w:ascii="Arial" w:hAnsi="Arial"/>
      <w:b w:val="1"/>
      <w:sz w:val="12"/>
    </w:rPr>
  </w:style>
  <w:style w:styleId="Style_201_ch" w:type="character">
    <w:name w:val="Font Style143"/>
    <w:link w:val="Style_201"/>
    <w:rPr>
      <w:rFonts w:ascii="Arial" w:hAnsi="Arial"/>
      <w:b w:val="1"/>
      <w:sz w:val="12"/>
    </w:rPr>
  </w:style>
  <w:style w:styleId="Style_202" w:type="paragraph">
    <w:name w:val="Style125"/>
    <w:basedOn w:val="Style_10"/>
    <w:link w:val="Style_202_ch"/>
    <w:pPr>
      <w:widowControl w:val="0"/>
      <w:spacing w:after="0" w:line="240" w:lineRule="auto"/>
      <w:ind/>
    </w:pPr>
    <w:rPr>
      <w:sz w:val="24"/>
    </w:rPr>
  </w:style>
  <w:style w:styleId="Style_202_ch" w:type="character">
    <w:name w:val="Style125"/>
    <w:basedOn w:val="Style_10_ch"/>
    <w:link w:val="Style_202"/>
    <w:rPr>
      <w:sz w:val="24"/>
    </w:rPr>
  </w:style>
  <w:style w:styleId="Style_203" w:type="paragraph">
    <w:name w:val="Style88"/>
    <w:basedOn w:val="Style_10"/>
    <w:link w:val="Style_203_ch"/>
    <w:pPr>
      <w:widowControl w:val="0"/>
      <w:spacing w:after="0" w:line="240" w:lineRule="auto"/>
      <w:ind/>
    </w:pPr>
    <w:rPr>
      <w:sz w:val="24"/>
    </w:rPr>
  </w:style>
  <w:style w:styleId="Style_203_ch" w:type="character">
    <w:name w:val="Style88"/>
    <w:basedOn w:val="Style_10_ch"/>
    <w:link w:val="Style_203"/>
    <w:rPr>
      <w:sz w:val="24"/>
    </w:rPr>
  </w:style>
  <w:style w:styleId="Style_204" w:type="paragraph">
    <w:name w:val="WW8Num52z1"/>
    <w:link w:val="Style_204_ch"/>
    <w:rPr>
      <w:rFonts w:ascii="Courier New" w:hAnsi="Courier New"/>
    </w:rPr>
  </w:style>
  <w:style w:styleId="Style_204_ch" w:type="character">
    <w:name w:val="WW8Num52z1"/>
    <w:link w:val="Style_204"/>
    <w:rPr>
      <w:rFonts w:ascii="Courier New" w:hAnsi="Courier New"/>
    </w:rPr>
  </w:style>
  <w:style w:styleId="Style_205" w:type="paragraph">
    <w:name w:val="font9"/>
    <w:basedOn w:val="Style_10"/>
    <w:link w:val="Style_205_ch"/>
    <w:pPr>
      <w:spacing w:after="280" w:before="280" w:line="240" w:lineRule="auto"/>
      <w:ind/>
    </w:pPr>
    <w:rPr>
      <w:rFonts w:ascii="Tahoma" w:hAnsi="Tahoma"/>
      <w:sz w:val="16"/>
    </w:rPr>
  </w:style>
  <w:style w:styleId="Style_205_ch" w:type="character">
    <w:name w:val="font9"/>
    <w:basedOn w:val="Style_10_ch"/>
    <w:link w:val="Style_205"/>
    <w:rPr>
      <w:rFonts w:ascii="Tahoma" w:hAnsi="Tahoma"/>
      <w:sz w:val="16"/>
    </w:rPr>
  </w:style>
  <w:style w:styleId="Style_206" w:type="paragraph">
    <w:name w:val="Style28"/>
    <w:basedOn w:val="Style_10"/>
    <w:link w:val="Style_206_ch"/>
    <w:pPr>
      <w:widowControl w:val="0"/>
      <w:spacing w:after="0" w:line="278" w:lineRule="exact"/>
      <w:ind w:firstLine="442" w:left="0"/>
    </w:pPr>
    <w:rPr>
      <w:sz w:val="24"/>
    </w:rPr>
  </w:style>
  <w:style w:styleId="Style_206_ch" w:type="character">
    <w:name w:val="Style28"/>
    <w:basedOn w:val="Style_10_ch"/>
    <w:link w:val="Style_206"/>
    <w:rPr>
      <w:sz w:val="24"/>
    </w:rPr>
  </w:style>
  <w:style w:styleId="Style_207" w:type="paragraph">
    <w:name w:val="Таблица-текст"/>
    <w:basedOn w:val="Style_10"/>
    <w:link w:val="Style_207_ch"/>
    <w:pPr>
      <w:spacing w:after="40" w:line="360" w:lineRule="atLeast"/>
      <w:ind w:firstLine="709" w:left="0"/>
      <w:jc w:val="both"/>
    </w:pPr>
  </w:style>
  <w:style w:styleId="Style_207_ch" w:type="character">
    <w:name w:val="Таблица-текст"/>
    <w:basedOn w:val="Style_10_ch"/>
    <w:link w:val="Style_207"/>
  </w:style>
  <w:style w:styleId="Style_208" w:type="paragraph">
    <w:name w:val="WW8Num28z2"/>
    <w:link w:val="Style_208_ch"/>
    <w:rPr>
      <w:rFonts w:ascii="Wingdings" w:hAnsi="Wingdings"/>
    </w:rPr>
  </w:style>
  <w:style w:styleId="Style_208_ch" w:type="character">
    <w:name w:val="WW8Num28z2"/>
    <w:link w:val="Style_208"/>
    <w:rPr>
      <w:rFonts w:ascii="Wingdings" w:hAnsi="Wingdings"/>
    </w:rPr>
  </w:style>
  <w:style w:styleId="Style_209" w:type="paragraph">
    <w:name w:val="WW-Absatz-Standardschriftart11111111111111111111111111111111111"/>
    <w:link w:val="Style_209_ch"/>
  </w:style>
  <w:style w:styleId="Style_209_ch" w:type="character">
    <w:name w:val="WW-Absatz-Standardschriftart11111111111111111111111111111111111"/>
    <w:link w:val="Style_209"/>
  </w:style>
  <w:style w:styleId="Style_210" w:type="paragraph">
    <w:name w:val="Style16"/>
    <w:basedOn w:val="Style_10"/>
    <w:link w:val="Style_210_ch"/>
    <w:pPr>
      <w:widowControl w:val="0"/>
      <w:spacing w:after="0" w:line="240" w:lineRule="auto"/>
      <w:ind/>
    </w:pPr>
    <w:rPr>
      <w:sz w:val="24"/>
    </w:rPr>
  </w:style>
  <w:style w:styleId="Style_210_ch" w:type="character">
    <w:name w:val="Style16"/>
    <w:basedOn w:val="Style_10_ch"/>
    <w:link w:val="Style_210"/>
    <w:rPr>
      <w:sz w:val="24"/>
    </w:rPr>
  </w:style>
  <w:style w:styleId="Style_211" w:type="paragraph">
    <w:name w:val="WW8Num14z3"/>
    <w:link w:val="Style_211_ch"/>
    <w:rPr>
      <w:rFonts w:ascii="Symbol" w:hAnsi="Symbol"/>
    </w:rPr>
  </w:style>
  <w:style w:styleId="Style_211_ch" w:type="character">
    <w:name w:val="WW8Num14z3"/>
    <w:link w:val="Style_211"/>
    <w:rPr>
      <w:rFonts w:ascii="Symbol" w:hAnsi="Symbol"/>
    </w:rPr>
  </w:style>
  <w:style w:styleId="Style_212" w:type="paragraph">
    <w:name w:val="ПодПОДраздел"/>
    <w:basedOn w:val="Style_107"/>
    <w:link w:val="Style_212_ch"/>
    <w:pPr>
      <w:spacing w:line="360" w:lineRule="atLeast"/>
      <w:ind w:firstLine="550" w:left="0"/>
      <w:jc w:val="both"/>
    </w:pPr>
    <w:rPr>
      <w:rFonts w:ascii="Times New Roman" w:hAnsi="Times New Roman"/>
      <w:b w:val="1"/>
      <w:sz w:val="28"/>
    </w:rPr>
  </w:style>
  <w:style w:styleId="Style_212_ch" w:type="character">
    <w:name w:val="ПодПОДраздел"/>
    <w:basedOn w:val="Style_107_ch"/>
    <w:link w:val="Style_212"/>
    <w:rPr>
      <w:rFonts w:ascii="Times New Roman" w:hAnsi="Times New Roman"/>
      <w:b w:val="1"/>
      <w:sz w:val="28"/>
    </w:rPr>
  </w:style>
  <w:style w:styleId="Style_213" w:type="paragraph">
    <w:name w:val="сноска Знак"/>
    <w:link w:val="Style_213_ch"/>
    <w:rPr>
      <w:b w:val="1"/>
      <w:sz w:val="24"/>
    </w:rPr>
  </w:style>
  <w:style w:styleId="Style_213_ch" w:type="character">
    <w:name w:val="сноска Знак"/>
    <w:link w:val="Style_213"/>
    <w:rPr>
      <w:b w:val="1"/>
      <w:sz w:val="24"/>
    </w:rPr>
  </w:style>
  <w:style w:styleId="Style_214" w:type="paragraph">
    <w:name w:val="Body Text Indent 3"/>
    <w:basedOn w:val="Style_10"/>
    <w:link w:val="Style_214_ch"/>
    <w:pPr>
      <w:spacing w:after="120" w:line="240" w:lineRule="auto"/>
      <w:ind w:firstLine="0" w:left="283"/>
    </w:pPr>
    <w:rPr>
      <w:sz w:val="16"/>
    </w:rPr>
  </w:style>
  <w:style w:styleId="Style_214_ch" w:type="character">
    <w:name w:val="Body Text Indent 3"/>
    <w:basedOn w:val="Style_10_ch"/>
    <w:link w:val="Style_214"/>
    <w:rPr>
      <w:sz w:val="16"/>
    </w:rPr>
  </w:style>
  <w:style w:styleId="Style_215" w:type="paragraph">
    <w:name w:val="WW8Num21z1"/>
    <w:link w:val="Style_215_ch"/>
    <w:rPr>
      <w:rFonts w:ascii="Courier New" w:hAnsi="Courier New"/>
    </w:rPr>
  </w:style>
  <w:style w:styleId="Style_215_ch" w:type="character">
    <w:name w:val="WW8Num21z1"/>
    <w:link w:val="Style_215"/>
    <w:rPr>
      <w:rFonts w:ascii="Courier New" w:hAnsi="Courier New"/>
    </w:rPr>
  </w:style>
  <w:style w:styleId="Style_216" w:type="paragraph">
    <w:name w:val="heading 3"/>
    <w:basedOn w:val="Style_10"/>
    <w:next w:val="Style_10"/>
    <w:link w:val="Style_216_ch"/>
    <w:uiPriority w:val="9"/>
    <w:qFormat/>
    <w:pPr>
      <w:keepNext w:val="1"/>
      <w:tabs>
        <w:tab w:leader="none" w:pos="0" w:val="left"/>
      </w:tabs>
      <w:spacing w:after="60" w:before="240" w:line="240" w:lineRule="auto"/>
      <w:ind/>
      <w:outlineLvl w:val="2"/>
    </w:pPr>
    <w:rPr>
      <w:rFonts w:ascii="Arial" w:hAnsi="Arial"/>
      <w:b w:val="1"/>
      <w:sz w:val="26"/>
    </w:rPr>
  </w:style>
  <w:style w:styleId="Style_216_ch" w:type="character">
    <w:name w:val="heading 3"/>
    <w:basedOn w:val="Style_10_ch"/>
    <w:link w:val="Style_216"/>
    <w:rPr>
      <w:rFonts w:ascii="Arial" w:hAnsi="Arial"/>
      <w:b w:val="1"/>
      <w:sz w:val="26"/>
    </w:rPr>
  </w:style>
  <w:style w:styleId="Style_217" w:type="paragraph">
    <w:name w:val="WW8Num53z3"/>
    <w:link w:val="Style_217_ch"/>
    <w:rPr>
      <w:rFonts w:ascii="Symbol" w:hAnsi="Symbol"/>
    </w:rPr>
  </w:style>
  <w:style w:styleId="Style_217_ch" w:type="character">
    <w:name w:val="WW8Num53z3"/>
    <w:link w:val="Style_217"/>
    <w:rPr>
      <w:rFonts w:ascii="Symbol" w:hAnsi="Symbol"/>
    </w:rPr>
  </w:style>
  <w:style w:styleId="Style_218" w:type="paragraph">
    <w:name w:val="Текст1"/>
    <w:basedOn w:val="Style_10"/>
    <w:link w:val="Style_218_ch"/>
    <w:pPr>
      <w:spacing w:after="0" w:line="240" w:lineRule="auto"/>
      <w:ind/>
    </w:pPr>
    <w:rPr>
      <w:rFonts w:ascii="Courier New" w:hAnsi="Courier New"/>
      <w:sz w:val="20"/>
    </w:rPr>
  </w:style>
  <w:style w:styleId="Style_218_ch" w:type="character">
    <w:name w:val="Текст1"/>
    <w:basedOn w:val="Style_10_ch"/>
    <w:link w:val="Style_218"/>
    <w:rPr>
      <w:rFonts w:ascii="Courier New" w:hAnsi="Courier New"/>
      <w:sz w:val="20"/>
    </w:rPr>
  </w:style>
  <w:style w:styleId="Style_219" w:type="paragraph">
    <w:name w:val="Font Style169"/>
    <w:link w:val="Style_219_ch"/>
    <w:rPr>
      <w:rFonts w:ascii="Candara" w:hAnsi="Candara"/>
      <w:b w:val="1"/>
      <w:spacing w:val="-30"/>
      <w:sz w:val="28"/>
    </w:rPr>
  </w:style>
  <w:style w:styleId="Style_219_ch" w:type="character">
    <w:name w:val="Font Style169"/>
    <w:link w:val="Style_219"/>
    <w:rPr>
      <w:rFonts w:ascii="Candara" w:hAnsi="Candara"/>
      <w:b w:val="1"/>
      <w:spacing w:val="-30"/>
      <w:sz w:val="28"/>
    </w:rPr>
  </w:style>
  <w:style w:styleId="Style_220" w:type="paragraph">
    <w:name w:val="WW8Num29z3"/>
    <w:link w:val="Style_220_ch"/>
    <w:rPr>
      <w:rFonts w:ascii="Symbol" w:hAnsi="Symbol"/>
    </w:rPr>
  </w:style>
  <w:style w:styleId="Style_220_ch" w:type="character">
    <w:name w:val="WW8Num29z3"/>
    <w:link w:val="Style_220"/>
    <w:rPr>
      <w:rFonts w:ascii="Symbol" w:hAnsi="Symbol"/>
    </w:rPr>
  </w:style>
  <w:style w:styleId="Style_221" w:type="paragraph">
    <w:name w:val="WW8Num1z1"/>
    <w:link w:val="Style_221_ch"/>
    <w:rPr>
      <w:rFonts w:ascii="Wingdings" w:hAnsi="Wingdings"/>
    </w:rPr>
  </w:style>
  <w:style w:styleId="Style_221_ch" w:type="character">
    <w:name w:val="WW8Num1z1"/>
    <w:link w:val="Style_221"/>
    <w:rPr>
      <w:rFonts w:ascii="Wingdings" w:hAnsi="Wingdings"/>
    </w:rPr>
  </w:style>
  <w:style w:styleId="Style_222" w:type="paragraph">
    <w:name w:val="Знак примечания2"/>
    <w:link w:val="Style_222_ch"/>
    <w:rPr>
      <w:sz w:val="16"/>
    </w:rPr>
  </w:style>
  <w:style w:styleId="Style_222_ch" w:type="character">
    <w:name w:val="Знак примечания2"/>
    <w:link w:val="Style_222"/>
    <w:rPr>
      <w:sz w:val="16"/>
    </w:rPr>
  </w:style>
  <w:style w:styleId="Style_223" w:type="paragraph">
    <w:name w:val="WW-Absatz-Standardschriftart1111111"/>
    <w:link w:val="Style_223_ch"/>
  </w:style>
  <w:style w:styleId="Style_223_ch" w:type="character">
    <w:name w:val="WW-Absatz-Standardschriftart1111111"/>
    <w:link w:val="Style_223"/>
  </w:style>
  <w:style w:styleId="Style_224" w:type="paragraph">
    <w:name w:val="????????1"/>
    <w:basedOn w:val="Style_10"/>
    <w:link w:val="Style_224_ch"/>
    <w:pPr>
      <w:widowControl w:val="0"/>
      <w:spacing w:after="120" w:before="120" w:line="240" w:lineRule="auto"/>
      <w:ind/>
    </w:pPr>
    <w:rPr>
      <w:i w:val="1"/>
      <w:sz w:val="20"/>
    </w:rPr>
  </w:style>
  <w:style w:styleId="Style_224_ch" w:type="character">
    <w:name w:val="????????1"/>
    <w:basedOn w:val="Style_10_ch"/>
    <w:link w:val="Style_224"/>
    <w:rPr>
      <w:i w:val="1"/>
      <w:sz w:val="20"/>
    </w:rPr>
  </w:style>
  <w:style w:styleId="Style_225" w:type="paragraph">
    <w:name w:val="WW8Num6z1"/>
    <w:link w:val="Style_225_ch"/>
    <w:rPr>
      <w:rFonts w:ascii="Courier New" w:hAnsi="Courier New"/>
    </w:rPr>
  </w:style>
  <w:style w:styleId="Style_225_ch" w:type="character">
    <w:name w:val="WW8Num6z1"/>
    <w:link w:val="Style_225"/>
    <w:rPr>
      <w:rFonts w:ascii="Courier New" w:hAnsi="Courier New"/>
    </w:rPr>
  </w:style>
  <w:style w:styleId="Style_226" w:type="paragraph">
    <w:name w:val="WW8Num55z1"/>
    <w:link w:val="Style_226_ch"/>
    <w:rPr>
      <w:rFonts w:ascii="Courier New" w:hAnsi="Courier New"/>
    </w:rPr>
  </w:style>
  <w:style w:styleId="Style_226_ch" w:type="character">
    <w:name w:val="WW8Num55z1"/>
    <w:link w:val="Style_226"/>
    <w:rPr>
      <w:rFonts w:ascii="Courier New" w:hAnsi="Courier New"/>
    </w:rPr>
  </w:style>
  <w:style w:styleId="Style_227" w:type="paragraph">
    <w:name w:val="Font Style47"/>
    <w:link w:val="Style_227_ch"/>
    <w:rPr>
      <w:rFonts w:ascii="Trebuchet MS" w:hAnsi="Trebuchet MS"/>
      <w:b w:val="1"/>
      <w:sz w:val="16"/>
    </w:rPr>
  </w:style>
  <w:style w:styleId="Style_227_ch" w:type="character">
    <w:name w:val="Font Style47"/>
    <w:link w:val="Style_227"/>
    <w:rPr>
      <w:rFonts w:ascii="Trebuchet MS" w:hAnsi="Trebuchet MS"/>
      <w:b w:val="1"/>
      <w:sz w:val="16"/>
    </w:rPr>
  </w:style>
  <w:style w:styleId="Style_228" w:type="paragraph">
    <w:name w:val="style2721"/>
    <w:link w:val="Style_228_ch"/>
    <w:rPr>
      <w:rFonts w:ascii="Tahoma" w:hAnsi="Tahoma"/>
      <w:color w:val="333333"/>
      <w:sz w:val="18"/>
    </w:rPr>
  </w:style>
  <w:style w:styleId="Style_228_ch" w:type="character">
    <w:name w:val="style2721"/>
    <w:link w:val="Style_228"/>
    <w:rPr>
      <w:rFonts w:ascii="Tahoma" w:hAnsi="Tahoma"/>
      <w:color w:val="333333"/>
      <w:sz w:val="18"/>
    </w:rPr>
  </w:style>
  <w:style w:styleId="Style_229" w:type="paragraph">
    <w:name w:val="WW8Num18z3"/>
    <w:link w:val="Style_229_ch"/>
    <w:rPr>
      <w:rFonts w:ascii="Symbol" w:hAnsi="Symbol"/>
    </w:rPr>
  </w:style>
  <w:style w:styleId="Style_229_ch" w:type="character">
    <w:name w:val="WW8Num18z3"/>
    <w:link w:val="Style_229"/>
    <w:rPr>
      <w:rFonts w:ascii="Symbol" w:hAnsi="Symbol"/>
    </w:rPr>
  </w:style>
  <w:style w:styleId="Style_230" w:type="paragraph">
    <w:name w:val="link"/>
    <w:link w:val="Style_230_ch"/>
  </w:style>
  <w:style w:styleId="Style_230_ch" w:type="character">
    <w:name w:val="link"/>
    <w:link w:val="Style_230"/>
  </w:style>
  <w:style w:styleId="Style_231" w:type="paragraph">
    <w:name w:val="xl67"/>
    <w:basedOn w:val="Style_10"/>
    <w:link w:val="Style_231_ch"/>
    <w:pPr>
      <w:spacing w:after="280" w:before="280" w:line="240" w:lineRule="auto"/>
      <w:ind/>
      <w:jc w:val="right"/>
    </w:pPr>
    <w:rPr>
      <w:b w:val="1"/>
      <w:sz w:val="24"/>
    </w:rPr>
  </w:style>
  <w:style w:styleId="Style_231_ch" w:type="character">
    <w:name w:val="xl67"/>
    <w:basedOn w:val="Style_10_ch"/>
    <w:link w:val="Style_231"/>
    <w:rPr>
      <w:b w:val="1"/>
      <w:sz w:val="24"/>
    </w:rPr>
  </w:style>
  <w:style w:styleId="Style_232" w:type="paragraph">
    <w:name w:val="Заголовок 31"/>
    <w:basedOn w:val="Style_161"/>
    <w:next w:val="Style_161"/>
    <w:link w:val="Style_232_ch"/>
    <w:pPr>
      <w:keepNext w:val="1"/>
      <w:widowControl w:val="1"/>
      <w:tabs>
        <w:tab w:leader="none" w:pos="0" w:val="left"/>
        <w:tab w:leader="none" w:pos="10206" w:val="right"/>
      </w:tabs>
      <w:spacing w:line="360" w:lineRule="auto"/>
      <w:ind w:firstLine="851" w:left="200"/>
      <w:outlineLvl w:val="2"/>
    </w:pPr>
    <w:rPr>
      <w:rFonts w:ascii="Times New Roman" w:hAnsi="Times New Roman"/>
      <w:sz w:val="28"/>
    </w:rPr>
  </w:style>
  <w:style w:styleId="Style_232_ch" w:type="character">
    <w:name w:val="Заголовок 31"/>
    <w:basedOn w:val="Style_161_ch"/>
    <w:link w:val="Style_232"/>
    <w:rPr>
      <w:rFonts w:ascii="Times New Roman" w:hAnsi="Times New Roman"/>
      <w:sz w:val="28"/>
    </w:rPr>
  </w:style>
  <w:style w:styleId="Style_233" w:type="paragraph">
    <w:name w:val="Список-1 Знак"/>
    <w:link w:val="Style_233_ch"/>
    <w:rPr>
      <w:rFonts w:ascii="Arial" w:hAnsi="Arial"/>
      <w:sz w:val="24"/>
    </w:rPr>
  </w:style>
  <w:style w:styleId="Style_233_ch" w:type="character">
    <w:name w:val="Список-1 Знак"/>
    <w:link w:val="Style_233"/>
    <w:rPr>
      <w:rFonts w:ascii="Arial" w:hAnsi="Arial"/>
      <w:sz w:val="24"/>
    </w:rPr>
  </w:style>
  <w:style w:styleId="Style_234" w:type="paragraph">
    <w:name w:val="xl51"/>
    <w:basedOn w:val="Style_10"/>
    <w:link w:val="Style_234_ch"/>
    <w:pPr>
      <w:spacing w:after="280" w:before="280" w:line="360" w:lineRule="atLeast"/>
      <w:ind w:firstLine="709" w:left="0"/>
      <w:jc w:val="both"/>
    </w:pPr>
    <w:rPr>
      <w:sz w:val="24"/>
    </w:rPr>
  </w:style>
  <w:style w:styleId="Style_234_ch" w:type="character">
    <w:name w:val="xl51"/>
    <w:basedOn w:val="Style_10_ch"/>
    <w:link w:val="Style_234"/>
    <w:rPr>
      <w:sz w:val="24"/>
    </w:rPr>
  </w:style>
  <w:style w:styleId="Style_235" w:type="paragraph">
    <w:name w:val="WW8Num45z1"/>
    <w:link w:val="Style_235_ch"/>
    <w:rPr>
      <w:rFonts w:ascii="Courier New" w:hAnsi="Courier New"/>
    </w:rPr>
  </w:style>
  <w:style w:styleId="Style_235_ch" w:type="character">
    <w:name w:val="WW8Num45z1"/>
    <w:link w:val="Style_235"/>
    <w:rPr>
      <w:rFonts w:ascii="Courier New" w:hAnsi="Courier New"/>
    </w:rPr>
  </w:style>
  <w:style w:styleId="Style_236" w:type="paragraph">
    <w:name w:val="WW-WW8Num13z0"/>
    <w:link w:val="Style_236_ch"/>
    <w:rPr>
      <w:rFonts w:ascii="Courier New" w:hAnsi="Courier New"/>
    </w:rPr>
  </w:style>
  <w:style w:styleId="Style_236_ch" w:type="character">
    <w:name w:val="WW-WW8Num13z0"/>
    <w:link w:val="Style_236"/>
    <w:rPr>
      <w:rFonts w:ascii="Courier New" w:hAnsi="Courier New"/>
    </w:rPr>
  </w:style>
  <w:style w:styleId="Style_237" w:type="paragraph">
    <w:name w:val="Пояснительная Знак"/>
    <w:link w:val="Style_237_ch"/>
    <w:rPr>
      <w:sz w:val="28"/>
    </w:rPr>
  </w:style>
  <w:style w:styleId="Style_237_ch" w:type="character">
    <w:name w:val="Пояснительная Знак"/>
    <w:link w:val="Style_237"/>
    <w:rPr>
      <w:sz w:val="28"/>
    </w:rPr>
  </w:style>
  <w:style w:styleId="Style_238" w:type="paragraph">
    <w:name w:val="xl167"/>
    <w:basedOn w:val="Style_10"/>
    <w:link w:val="Style_238_ch"/>
    <w:pPr>
      <w:spacing w:after="280" w:before="280" w:line="240" w:lineRule="auto"/>
      <w:ind/>
      <w:jc w:val="center"/>
    </w:pPr>
    <w:rPr>
      <w:b w:val="1"/>
      <w:sz w:val="24"/>
    </w:rPr>
  </w:style>
  <w:style w:styleId="Style_238_ch" w:type="character">
    <w:name w:val="xl167"/>
    <w:basedOn w:val="Style_10_ch"/>
    <w:link w:val="Style_238"/>
    <w:rPr>
      <w:b w:val="1"/>
      <w:sz w:val="24"/>
    </w:rPr>
  </w:style>
  <w:style w:styleId="Style_239" w:type="paragraph">
    <w:name w:val="font61"/>
    <w:link w:val="Style_239_ch"/>
    <w:rPr>
      <w:b w:val="1"/>
    </w:rPr>
  </w:style>
  <w:style w:styleId="Style_239_ch" w:type="character">
    <w:name w:val="font61"/>
    <w:link w:val="Style_239"/>
    <w:rPr>
      <w:b w:val="1"/>
    </w:rPr>
  </w:style>
  <w:style w:styleId="Style_240" w:type="paragraph">
    <w:name w:val="Обычный (ПЗ)"/>
    <w:basedOn w:val="Style_10"/>
    <w:link w:val="Style_240_ch"/>
    <w:pPr>
      <w:spacing w:after="0" w:line="240" w:lineRule="auto"/>
      <w:ind w:firstLine="720" w:left="0"/>
      <w:jc w:val="both"/>
    </w:pPr>
    <w:rPr>
      <w:rFonts w:ascii="Arial" w:hAnsi="Arial"/>
      <w:sz w:val="24"/>
    </w:rPr>
  </w:style>
  <w:style w:styleId="Style_240_ch" w:type="character">
    <w:name w:val="Обычный (ПЗ)"/>
    <w:basedOn w:val="Style_10_ch"/>
    <w:link w:val="Style_240"/>
    <w:rPr>
      <w:rFonts w:ascii="Arial" w:hAnsi="Arial"/>
      <w:sz w:val="24"/>
    </w:rPr>
  </w:style>
  <w:style w:styleId="Style_241" w:type="paragraph">
    <w:name w:val="annotation text"/>
    <w:basedOn w:val="Style_10"/>
    <w:link w:val="Style_241_ch"/>
    <w:rPr>
      <w:sz w:val="20"/>
    </w:rPr>
  </w:style>
  <w:style w:styleId="Style_241_ch" w:type="character">
    <w:name w:val="annotation text"/>
    <w:basedOn w:val="Style_10_ch"/>
    <w:link w:val="Style_241"/>
    <w:rPr>
      <w:sz w:val="20"/>
    </w:rPr>
  </w:style>
  <w:style w:styleId="Style_242" w:type="paragraph">
    <w:name w:val="Font Style103"/>
    <w:link w:val="Style_242_ch"/>
    <w:rPr>
      <w:b w:val="1"/>
      <w:spacing w:val="-10"/>
      <w:sz w:val="8"/>
    </w:rPr>
  </w:style>
  <w:style w:styleId="Style_242_ch" w:type="character">
    <w:name w:val="Font Style103"/>
    <w:link w:val="Style_242"/>
    <w:rPr>
      <w:b w:val="1"/>
      <w:spacing w:val="-10"/>
      <w:sz w:val="8"/>
    </w:rPr>
  </w:style>
  <w:style w:styleId="Style_243" w:type="paragraph">
    <w:name w:val="Font Style30"/>
    <w:link w:val="Style_243_ch"/>
    <w:rPr>
      <w:b w:val="1"/>
      <w:sz w:val="14"/>
    </w:rPr>
  </w:style>
  <w:style w:styleId="Style_243_ch" w:type="character">
    <w:name w:val="Font Style30"/>
    <w:link w:val="Style_243"/>
    <w:rPr>
      <w:b w:val="1"/>
      <w:sz w:val="14"/>
    </w:rPr>
  </w:style>
  <w:style w:styleId="Style_244" w:type="paragraph">
    <w:name w:val="Style67"/>
    <w:basedOn w:val="Style_10"/>
    <w:link w:val="Style_244_ch"/>
    <w:pPr>
      <w:widowControl w:val="0"/>
      <w:spacing w:after="0" w:line="240" w:lineRule="auto"/>
      <w:ind/>
    </w:pPr>
    <w:rPr>
      <w:sz w:val="24"/>
    </w:rPr>
  </w:style>
  <w:style w:styleId="Style_244_ch" w:type="character">
    <w:name w:val="Style67"/>
    <w:basedOn w:val="Style_10_ch"/>
    <w:link w:val="Style_244"/>
    <w:rPr>
      <w:sz w:val="24"/>
    </w:rPr>
  </w:style>
  <w:style w:styleId="Style_245" w:type="paragraph">
    <w:name w:val="xl118"/>
    <w:basedOn w:val="Style_10"/>
    <w:link w:val="Style_245_ch"/>
    <w:pPr>
      <w:spacing w:afterAutospacing="on" w:beforeAutospacing="on" w:line="240" w:lineRule="auto"/>
      <w:ind/>
      <w:jc w:val="center"/>
    </w:pPr>
    <w:rPr>
      <w:sz w:val="16"/>
    </w:rPr>
  </w:style>
  <w:style w:styleId="Style_245_ch" w:type="character">
    <w:name w:val="xl118"/>
    <w:basedOn w:val="Style_10_ch"/>
    <w:link w:val="Style_245"/>
    <w:rPr>
      <w:sz w:val="16"/>
    </w:rPr>
  </w:style>
  <w:style w:styleId="Style_246" w:type="paragraph">
    <w:name w:val="Font Style141"/>
    <w:link w:val="Style_246_ch"/>
    <w:rPr>
      <w:rFonts w:ascii="Candara" w:hAnsi="Candara"/>
      <w:b w:val="1"/>
      <w:i w:val="1"/>
      <w:sz w:val="14"/>
    </w:rPr>
  </w:style>
  <w:style w:styleId="Style_246_ch" w:type="character">
    <w:name w:val="Font Style141"/>
    <w:link w:val="Style_246"/>
    <w:rPr>
      <w:rFonts w:ascii="Candara" w:hAnsi="Candara"/>
      <w:b w:val="1"/>
      <w:i w:val="1"/>
      <w:sz w:val="14"/>
    </w:rPr>
  </w:style>
  <w:style w:styleId="Style_247" w:type="paragraph">
    <w:name w:val="Font Style18"/>
    <w:link w:val="Style_247_ch"/>
    <w:rPr>
      <w:rFonts w:ascii="Century Gothic" w:hAnsi="Century Gothic"/>
      <w:b w:val="1"/>
      <w:sz w:val="26"/>
    </w:rPr>
  </w:style>
  <w:style w:styleId="Style_247_ch" w:type="character">
    <w:name w:val="Font Style18"/>
    <w:link w:val="Style_247"/>
    <w:rPr>
      <w:rFonts w:ascii="Century Gothic" w:hAnsi="Century Gothic"/>
      <w:b w:val="1"/>
      <w:sz w:val="26"/>
    </w:rPr>
  </w:style>
  <w:style w:styleId="Style_248" w:type="paragraph">
    <w:name w:val="???????? ????? 22"/>
    <w:basedOn w:val="Style_10"/>
    <w:link w:val="Style_248_ch"/>
    <w:pPr>
      <w:widowControl w:val="0"/>
      <w:spacing w:after="120" w:line="480" w:lineRule="auto"/>
      <w:ind/>
    </w:pPr>
    <w:rPr>
      <w:sz w:val="24"/>
    </w:rPr>
  </w:style>
  <w:style w:styleId="Style_248_ch" w:type="character">
    <w:name w:val="???????? ????? 22"/>
    <w:basedOn w:val="Style_10_ch"/>
    <w:link w:val="Style_248"/>
    <w:rPr>
      <w:sz w:val="24"/>
    </w:rPr>
  </w:style>
  <w:style w:styleId="Style_249" w:type="paragraph">
    <w:name w:val="Маркированный список 1"/>
    <w:basedOn w:val="Style_74"/>
    <w:next w:val="Style_250"/>
    <w:link w:val="Style_249_ch"/>
    <w:pPr>
      <w:widowControl w:val="0"/>
      <w:spacing w:after="0" w:line="360" w:lineRule="atLeast"/>
      <w:ind w:firstLine="851" w:left="0"/>
      <w:jc w:val="both"/>
    </w:pPr>
    <w:rPr>
      <w:i w:val="1"/>
      <w:sz w:val="24"/>
    </w:rPr>
  </w:style>
  <w:style w:styleId="Style_249_ch" w:type="character">
    <w:name w:val="Маркированный список 1"/>
    <w:basedOn w:val="Style_74_ch"/>
    <w:link w:val="Style_249"/>
    <w:rPr>
      <w:i w:val="1"/>
      <w:sz w:val="24"/>
    </w:rPr>
  </w:style>
  <w:style w:styleId="Style_251" w:type="paragraph">
    <w:name w:val="WW8Num9z0"/>
    <w:link w:val="Style_251_ch"/>
    <w:rPr>
      <w:rFonts w:ascii="Courier New" w:hAnsi="Courier New"/>
    </w:rPr>
  </w:style>
  <w:style w:styleId="Style_251_ch" w:type="character">
    <w:name w:val="WW8Num9z0"/>
    <w:link w:val="Style_251"/>
    <w:rPr>
      <w:rFonts w:ascii="Courier New" w:hAnsi="Courier New"/>
    </w:rPr>
  </w:style>
  <w:style w:styleId="Style_252" w:type="paragraph">
    <w:name w:val="WW8NumSt9z0"/>
    <w:link w:val="Style_252_ch"/>
    <w:rPr>
      <w:rFonts w:ascii="Courier New" w:hAnsi="Courier New"/>
    </w:rPr>
  </w:style>
  <w:style w:styleId="Style_252_ch" w:type="character">
    <w:name w:val="WW8NumSt9z0"/>
    <w:link w:val="Style_252"/>
    <w:rPr>
      <w:rFonts w:ascii="Courier New" w:hAnsi="Courier New"/>
    </w:rPr>
  </w:style>
  <w:style w:styleId="Style_253" w:type="paragraph">
    <w:name w:val="Font Style163"/>
    <w:link w:val="Style_253_ch"/>
    <w:rPr>
      <w:i w:val="1"/>
      <w:sz w:val="8"/>
    </w:rPr>
  </w:style>
  <w:style w:styleId="Style_253_ch" w:type="character">
    <w:name w:val="Font Style163"/>
    <w:link w:val="Style_253"/>
    <w:rPr>
      <w:i w:val="1"/>
      <w:sz w:val="8"/>
    </w:rPr>
  </w:style>
  <w:style w:styleId="Style_254" w:type="paragraph">
    <w:name w:val="Font Style89"/>
    <w:link w:val="Style_254_ch"/>
    <w:rPr>
      <w:sz w:val="16"/>
    </w:rPr>
  </w:style>
  <w:style w:styleId="Style_254_ch" w:type="character">
    <w:name w:val="Font Style89"/>
    <w:link w:val="Style_254"/>
    <w:rPr>
      <w:sz w:val="16"/>
    </w:rPr>
  </w:style>
  <w:style w:styleId="Style_255" w:type="paragraph">
    <w:name w:val="WW8Num18z0"/>
    <w:link w:val="Style_255_ch"/>
    <w:rPr>
      <w:rFonts w:ascii="Courier New" w:hAnsi="Courier New"/>
    </w:rPr>
  </w:style>
  <w:style w:styleId="Style_255_ch" w:type="character">
    <w:name w:val="WW8Num18z0"/>
    <w:link w:val="Style_255"/>
    <w:rPr>
      <w:rFonts w:ascii="Courier New" w:hAnsi="Courier New"/>
    </w:rPr>
  </w:style>
  <w:style w:styleId="Style_256" w:type="paragraph">
    <w:name w:val="Style29"/>
    <w:basedOn w:val="Style_10"/>
    <w:link w:val="Style_256_ch"/>
    <w:pPr>
      <w:widowControl w:val="0"/>
      <w:spacing w:after="0" w:line="115" w:lineRule="exact"/>
      <w:ind w:firstLine="53" w:left="0"/>
      <w:jc w:val="both"/>
    </w:pPr>
    <w:rPr>
      <w:sz w:val="24"/>
    </w:rPr>
  </w:style>
  <w:style w:styleId="Style_256_ch" w:type="character">
    <w:name w:val="Style29"/>
    <w:basedOn w:val="Style_10_ch"/>
    <w:link w:val="Style_256"/>
    <w:rPr>
      <w:sz w:val="24"/>
    </w:rPr>
  </w:style>
  <w:style w:styleId="Style_257" w:type="paragraph">
    <w:name w:val="Style57"/>
    <w:basedOn w:val="Style_10"/>
    <w:link w:val="Style_257_ch"/>
    <w:pPr>
      <w:widowControl w:val="0"/>
      <w:spacing w:after="0" w:line="240" w:lineRule="auto"/>
      <w:ind/>
    </w:pPr>
    <w:rPr>
      <w:sz w:val="24"/>
    </w:rPr>
  </w:style>
  <w:style w:styleId="Style_257_ch" w:type="character">
    <w:name w:val="Style57"/>
    <w:basedOn w:val="Style_10_ch"/>
    <w:link w:val="Style_257"/>
    <w:rPr>
      <w:sz w:val="24"/>
    </w:rPr>
  </w:style>
  <w:style w:styleId="Style_258" w:type="paragraph">
    <w:name w:val="WW8Num62z2"/>
    <w:link w:val="Style_258_ch"/>
    <w:rPr>
      <w:rFonts w:ascii="Wingdings" w:hAnsi="Wingdings"/>
    </w:rPr>
  </w:style>
  <w:style w:styleId="Style_258_ch" w:type="character">
    <w:name w:val="WW8Num62z2"/>
    <w:link w:val="Style_258"/>
    <w:rPr>
      <w:rFonts w:ascii="Wingdings" w:hAnsi="Wingdings"/>
    </w:rPr>
  </w:style>
  <w:style w:styleId="Style_259" w:type="paragraph">
    <w:name w:val="Style86"/>
    <w:basedOn w:val="Style_10"/>
    <w:link w:val="Style_259_ch"/>
    <w:pPr>
      <w:widowControl w:val="0"/>
      <w:spacing w:after="0" w:line="240" w:lineRule="auto"/>
      <w:ind/>
    </w:pPr>
    <w:rPr>
      <w:sz w:val="24"/>
    </w:rPr>
  </w:style>
  <w:style w:styleId="Style_259_ch" w:type="character">
    <w:name w:val="Style86"/>
    <w:basedOn w:val="Style_10_ch"/>
    <w:link w:val="Style_259"/>
    <w:rPr>
      <w:sz w:val="24"/>
    </w:rPr>
  </w:style>
  <w:style w:styleId="Style_260" w:type="paragraph">
    <w:name w:val="Char Char"/>
    <w:basedOn w:val="Style_10"/>
    <w:link w:val="Style_260_ch"/>
    <w:pPr>
      <w:spacing w:after="280" w:before="280" w:line="240" w:lineRule="auto"/>
      <w:ind/>
    </w:pPr>
    <w:rPr>
      <w:rFonts w:ascii="Tahoma" w:hAnsi="Tahoma"/>
      <w:sz w:val="20"/>
    </w:rPr>
  </w:style>
  <w:style w:styleId="Style_260_ch" w:type="character">
    <w:name w:val="Char Char"/>
    <w:basedOn w:val="Style_10_ch"/>
    <w:link w:val="Style_260"/>
    <w:rPr>
      <w:rFonts w:ascii="Tahoma" w:hAnsi="Tahoma"/>
      <w:sz w:val="20"/>
    </w:rPr>
  </w:style>
  <w:style w:styleId="Style_261" w:type="paragraph">
    <w:name w:val="Знак примечания1"/>
    <w:link w:val="Style_261_ch"/>
    <w:rPr>
      <w:sz w:val="16"/>
    </w:rPr>
  </w:style>
  <w:style w:styleId="Style_261_ch" w:type="character">
    <w:name w:val="Знак примечания1"/>
    <w:link w:val="Style_261"/>
    <w:rPr>
      <w:sz w:val="16"/>
    </w:rPr>
  </w:style>
  <w:style w:styleId="Style_262" w:type="paragraph">
    <w:name w:val="WW8Num34z2"/>
    <w:link w:val="Style_262_ch"/>
    <w:rPr>
      <w:rFonts w:ascii="Wingdings" w:hAnsi="Wingdings"/>
    </w:rPr>
  </w:style>
  <w:style w:styleId="Style_262_ch" w:type="character">
    <w:name w:val="WW8Num34z2"/>
    <w:link w:val="Style_262"/>
    <w:rPr>
      <w:rFonts w:ascii="Wingdings" w:hAnsi="Wingdings"/>
    </w:rPr>
  </w:style>
  <w:style w:styleId="Style_263" w:type="paragraph">
    <w:name w:val="Концепция-спис-стрелки"/>
    <w:basedOn w:val="Style_264"/>
    <w:link w:val="Style_263_ch"/>
  </w:style>
  <w:style w:styleId="Style_263_ch" w:type="character">
    <w:name w:val="Концепция-спис-стрелки"/>
    <w:basedOn w:val="Style_264_ch"/>
    <w:link w:val="Style_263"/>
  </w:style>
  <w:style w:styleId="Style_265" w:type="paragraph">
    <w:name w:val="WW8Num58z0"/>
    <w:link w:val="Style_265_ch"/>
    <w:rPr>
      <w:rFonts w:ascii="Symbol" w:hAnsi="Symbol"/>
    </w:rPr>
  </w:style>
  <w:style w:styleId="Style_265_ch" w:type="character">
    <w:name w:val="WW8Num58z0"/>
    <w:link w:val="Style_265"/>
    <w:rPr>
      <w:rFonts w:ascii="Symbol" w:hAnsi="Symbol"/>
    </w:rPr>
  </w:style>
  <w:style w:styleId="Style_266" w:type="paragraph">
    <w:name w:val="font81"/>
    <w:link w:val="Style_266_ch"/>
    <w:rPr>
      <w:b w:val="1"/>
    </w:rPr>
  </w:style>
  <w:style w:styleId="Style_266_ch" w:type="character">
    <w:name w:val="font81"/>
    <w:link w:val="Style_266"/>
    <w:rPr>
      <w:b w:val="1"/>
    </w:rPr>
  </w:style>
  <w:style w:styleId="Style_267" w:type="paragraph">
    <w:name w:val="WW-z-Конец формы"/>
    <w:basedOn w:val="Style_10"/>
    <w:next w:val="Style_10"/>
    <w:link w:val="Style_267_ch"/>
    <w:pPr>
      <w:spacing w:after="0" w:line="240" w:lineRule="auto"/>
      <w:ind/>
      <w:jc w:val="center"/>
    </w:pPr>
    <w:rPr>
      <w:rFonts w:ascii="Arial" w:hAnsi="Arial"/>
      <w:sz w:val="16"/>
    </w:rPr>
  </w:style>
  <w:style w:styleId="Style_267_ch" w:type="character">
    <w:name w:val="WW-z-Конец формы"/>
    <w:basedOn w:val="Style_10_ch"/>
    <w:link w:val="Style_267"/>
    <w:rPr>
      <w:rFonts w:ascii="Arial" w:hAnsi="Arial"/>
      <w:sz w:val="16"/>
    </w:rPr>
  </w:style>
  <w:style w:styleId="Style_2" w:type="paragraph">
    <w:name w:val="footer"/>
    <w:basedOn w:val="Style_10"/>
    <w:link w:val="Style_2_ch"/>
    <w:pPr>
      <w:tabs>
        <w:tab w:leader="none" w:pos="4677" w:val="center"/>
        <w:tab w:leader="none" w:pos="9355" w:val="right"/>
      </w:tabs>
      <w:ind/>
    </w:pPr>
  </w:style>
  <w:style w:styleId="Style_2_ch" w:type="character">
    <w:name w:val="footer"/>
    <w:basedOn w:val="Style_10_ch"/>
    <w:link w:val="Style_2"/>
  </w:style>
  <w:style w:styleId="Style_268" w:type="paragraph">
    <w:name w:val="List 2"/>
    <w:basedOn w:val="Style_10"/>
    <w:link w:val="Style_268_ch"/>
    <w:pPr>
      <w:spacing w:after="0" w:line="240" w:lineRule="auto"/>
      <w:ind w:hanging="283" w:left="566"/>
    </w:pPr>
    <w:rPr>
      <w:sz w:val="20"/>
    </w:rPr>
  </w:style>
  <w:style w:styleId="Style_268_ch" w:type="character">
    <w:name w:val="List 2"/>
    <w:basedOn w:val="Style_10_ch"/>
    <w:link w:val="Style_268"/>
    <w:rPr>
      <w:sz w:val="20"/>
    </w:rPr>
  </w:style>
  <w:style w:styleId="Style_269" w:type="paragraph">
    <w:name w:val="WW8Num61z2"/>
    <w:link w:val="Style_269_ch"/>
    <w:rPr>
      <w:rFonts w:ascii="Wingdings" w:hAnsi="Wingdings"/>
    </w:rPr>
  </w:style>
  <w:style w:styleId="Style_269_ch" w:type="character">
    <w:name w:val="WW8Num61z2"/>
    <w:link w:val="Style_269"/>
    <w:rPr>
      <w:rFonts w:ascii="Wingdings" w:hAnsi="Wingdings"/>
    </w:rPr>
  </w:style>
  <w:style w:styleId="Style_270" w:type="paragraph">
    <w:name w:val="Основной текст с отступом 23"/>
    <w:basedOn w:val="Style_10"/>
    <w:link w:val="Style_270_ch"/>
    <w:pPr>
      <w:spacing w:after="0" w:line="240" w:lineRule="auto"/>
      <w:ind w:firstLine="720" w:left="0"/>
      <w:jc w:val="center"/>
    </w:pPr>
    <w:rPr>
      <w:sz w:val="36"/>
    </w:rPr>
  </w:style>
  <w:style w:styleId="Style_270_ch" w:type="character">
    <w:name w:val="Основной текст с отступом 23"/>
    <w:basedOn w:val="Style_10_ch"/>
    <w:link w:val="Style_270"/>
    <w:rPr>
      <w:sz w:val="36"/>
    </w:rPr>
  </w:style>
  <w:style w:styleId="Style_271" w:type="paragraph">
    <w:name w:val="font261"/>
    <w:link w:val="Style_271_ch"/>
    <w:rPr>
      <w:b w:val="1"/>
      <w:vertAlign w:val="subscript"/>
    </w:rPr>
  </w:style>
  <w:style w:styleId="Style_271_ch" w:type="character">
    <w:name w:val="font261"/>
    <w:link w:val="Style_271"/>
    <w:rPr>
      <w:b w:val="1"/>
      <w:vertAlign w:val="subscript"/>
    </w:rPr>
  </w:style>
  <w:style w:styleId="Style_272" w:type="paragraph">
    <w:name w:val="WW8Num14z0"/>
    <w:link w:val="Style_272_ch"/>
    <w:rPr>
      <w:rFonts w:ascii="Courier New" w:hAnsi="Courier New"/>
    </w:rPr>
  </w:style>
  <w:style w:styleId="Style_272_ch" w:type="character">
    <w:name w:val="WW8Num14z0"/>
    <w:link w:val="Style_272"/>
    <w:rPr>
      <w:rFonts w:ascii="Courier New" w:hAnsi="Courier New"/>
    </w:rPr>
  </w:style>
  <w:style w:styleId="Style_273" w:type="paragraph">
    <w:name w:val="Style112"/>
    <w:basedOn w:val="Style_10"/>
    <w:link w:val="Style_273_ch"/>
    <w:pPr>
      <w:widowControl w:val="0"/>
      <w:spacing w:after="0" w:line="178" w:lineRule="exact"/>
      <w:ind/>
    </w:pPr>
    <w:rPr>
      <w:sz w:val="24"/>
    </w:rPr>
  </w:style>
  <w:style w:styleId="Style_273_ch" w:type="character">
    <w:name w:val="Style112"/>
    <w:basedOn w:val="Style_10_ch"/>
    <w:link w:val="Style_273"/>
    <w:rPr>
      <w:sz w:val="24"/>
    </w:rPr>
  </w:style>
  <w:style w:styleId="Style_274" w:type="paragraph">
    <w:name w:val="Style33"/>
    <w:basedOn w:val="Style_10"/>
    <w:link w:val="Style_274_ch"/>
    <w:pPr>
      <w:widowControl w:val="0"/>
      <w:spacing w:after="0" w:line="240" w:lineRule="auto"/>
      <w:ind/>
    </w:pPr>
    <w:rPr>
      <w:sz w:val="24"/>
    </w:rPr>
  </w:style>
  <w:style w:styleId="Style_274_ch" w:type="character">
    <w:name w:val="Style33"/>
    <w:basedOn w:val="Style_10_ch"/>
    <w:link w:val="Style_274"/>
    <w:rPr>
      <w:sz w:val="24"/>
    </w:rPr>
  </w:style>
  <w:style w:styleId="Style_275" w:type="paragraph">
    <w:name w:val="xl65"/>
    <w:basedOn w:val="Style_10"/>
    <w:link w:val="Style_275_ch"/>
    <w:pPr>
      <w:spacing w:after="280" w:before="280" w:line="240" w:lineRule="auto"/>
      <w:ind/>
    </w:pPr>
    <w:rPr>
      <w:b w:val="1"/>
      <w:sz w:val="24"/>
    </w:rPr>
  </w:style>
  <w:style w:styleId="Style_275_ch" w:type="character">
    <w:name w:val="xl65"/>
    <w:basedOn w:val="Style_10_ch"/>
    <w:link w:val="Style_275"/>
    <w:rPr>
      <w:b w:val="1"/>
      <w:sz w:val="24"/>
    </w:rPr>
  </w:style>
  <w:style w:styleId="Style_276" w:type="paragraph">
    <w:name w:val="Font Style150"/>
    <w:link w:val="Style_276_ch"/>
    <w:rPr>
      <w:rFonts w:ascii="Arial" w:hAnsi="Arial"/>
      <w:sz w:val="10"/>
    </w:rPr>
  </w:style>
  <w:style w:styleId="Style_276_ch" w:type="character">
    <w:name w:val="Font Style150"/>
    <w:link w:val="Style_276"/>
    <w:rPr>
      <w:rFonts w:ascii="Arial" w:hAnsi="Arial"/>
      <w:sz w:val="10"/>
    </w:rPr>
  </w:style>
  <w:style w:styleId="Style_277" w:type="paragraph">
    <w:name w:val="Буквица"/>
    <w:link w:val="Style_277_ch"/>
  </w:style>
  <w:style w:styleId="Style_277_ch" w:type="character">
    <w:name w:val="Буквица"/>
    <w:link w:val="Style_277"/>
  </w:style>
  <w:style w:styleId="Style_278" w:type="paragraph">
    <w:name w:val="Font Style35"/>
    <w:link w:val="Style_278_ch"/>
    <w:rPr>
      <w:b w:val="1"/>
    </w:rPr>
  </w:style>
  <w:style w:styleId="Style_278_ch" w:type="character">
    <w:name w:val="Font Style35"/>
    <w:link w:val="Style_278"/>
    <w:rPr>
      <w:b w:val="1"/>
    </w:rPr>
  </w:style>
  <w:style w:styleId="Style_279" w:type="paragraph">
    <w:name w:val="Font Style90"/>
    <w:link w:val="Style_279_ch"/>
    <w:rPr>
      <w:rFonts w:ascii="Garamond" w:hAnsi="Garamond"/>
      <w:b w:val="1"/>
      <w:i w:val="1"/>
      <w:spacing w:val="-10"/>
      <w:sz w:val="18"/>
    </w:rPr>
  </w:style>
  <w:style w:styleId="Style_279_ch" w:type="character">
    <w:name w:val="Font Style90"/>
    <w:link w:val="Style_279"/>
    <w:rPr>
      <w:rFonts w:ascii="Garamond" w:hAnsi="Garamond"/>
      <w:b w:val="1"/>
      <w:i w:val="1"/>
      <w:spacing w:val="-10"/>
      <w:sz w:val="18"/>
    </w:rPr>
  </w:style>
  <w:style w:styleId="Style_280" w:type="paragraph">
    <w:name w:val="font141"/>
    <w:link w:val="Style_280_ch"/>
    <w:rPr>
      <w:b w:val="1"/>
    </w:rPr>
  </w:style>
  <w:style w:styleId="Style_280_ch" w:type="character">
    <w:name w:val="font141"/>
    <w:link w:val="Style_280"/>
    <w:rPr>
      <w:b w:val="1"/>
    </w:rPr>
  </w:style>
  <w:style w:styleId="Style_281" w:type="paragraph">
    <w:name w:val="WW8Num40z0"/>
    <w:link w:val="Style_281_ch"/>
    <w:rPr>
      <w:rFonts w:ascii="Symbol" w:hAnsi="Symbol"/>
    </w:rPr>
  </w:style>
  <w:style w:styleId="Style_281_ch" w:type="character">
    <w:name w:val="WW8Num40z0"/>
    <w:link w:val="Style_281"/>
    <w:rPr>
      <w:rFonts w:ascii="Symbol" w:hAnsi="Symbol"/>
    </w:rPr>
  </w:style>
  <w:style w:styleId="Style_282" w:type="paragraph">
    <w:name w:val="Стиль1"/>
    <w:basedOn w:val="Style_10"/>
    <w:link w:val="Style_282_ch"/>
    <w:pPr>
      <w:spacing w:after="0" w:line="240" w:lineRule="auto"/>
      <w:ind w:firstLine="709" w:left="0"/>
      <w:jc w:val="both"/>
    </w:pPr>
    <w:rPr>
      <w:sz w:val="28"/>
    </w:rPr>
  </w:style>
  <w:style w:styleId="Style_282_ch" w:type="character">
    <w:name w:val="Стиль1"/>
    <w:basedOn w:val="Style_10_ch"/>
    <w:link w:val="Style_282"/>
    <w:rPr>
      <w:sz w:val="28"/>
    </w:rPr>
  </w:style>
  <w:style w:styleId="Style_283" w:type="paragraph">
    <w:name w:val="WW8Num11z3"/>
    <w:link w:val="Style_283_ch"/>
    <w:rPr>
      <w:rFonts w:ascii="Symbol" w:hAnsi="Symbol"/>
    </w:rPr>
  </w:style>
  <w:style w:styleId="Style_283_ch" w:type="character">
    <w:name w:val="WW8Num11z3"/>
    <w:link w:val="Style_283"/>
    <w:rPr>
      <w:rFonts w:ascii="Symbol" w:hAnsi="Symbol"/>
    </w:rPr>
  </w:style>
  <w:style w:styleId="Style_284" w:type="paragraph">
    <w:name w:val="citata"/>
    <w:basedOn w:val="Style_10"/>
    <w:link w:val="Style_284_ch"/>
    <w:pPr>
      <w:spacing w:afterAutospacing="on" w:beforeAutospacing="on" w:line="360" w:lineRule="atLeast"/>
      <w:ind/>
    </w:pPr>
    <w:rPr>
      <w:sz w:val="24"/>
    </w:rPr>
  </w:style>
  <w:style w:styleId="Style_284_ch" w:type="character">
    <w:name w:val="citata"/>
    <w:basedOn w:val="Style_10_ch"/>
    <w:link w:val="Style_284"/>
    <w:rPr>
      <w:sz w:val="24"/>
    </w:rPr>
  </w:style>
  <w:style w:styleId="Style_285" w:type="paragraph">
    <w:name w:val="WW8Num8z0"/>
    <w:link w:val="Style_285_ch"/>
    <w:rPr>
      <w:rFonts w:ascii="Courier New" w:hAnsi="Courier New"/>
    </w:rPr>
  </w:style>
  <w:style w:styleId="Style_285_ch" w:type="character">
    <w:name w:val="WW8Num8z0"/>
    <w:link w:val="Style_285"/>
    <w:rPr>
      <w:rFonts w:ascii="Courier New" w:hAnsi="Courier New"/>
    </w:rPr>
  </w:style>
  <w:style w:styleId="Style_286" w:type="paragraph">
    <w:name w:val="Схема документа1"/>
    <w:basedOn w:val="Style_10"/>
    <w:link w:val="Style_286_ch"/>
    <w:pPr>
      <w:spacing w:after="0" w:line="240" w:lineRule="auto"/>
      <w:ind/>
    </w:pPr>
    <w:rPr>
      <w:rFonts w:ascii="Tahoma" w:hAnsi="Tahoma"/>
      <w:sz w:val="20"/>
    </w:rPr>
  </w:style>
  <w:style w:styleId="Style_286_ch" w:type="character">
    <w:name w:val="Схема документа1"/>
    <w:basedOn w:val="Style_10_ch"/>
    <w:link w:val="Style_286"/>
    <w:rPr>
      <w:rFonts w:ascii="Tahoma" w:hAnsi="Tahoma"/>
      <w:sz w:val="20"/>
    </w:rPr>
  </w:style>
  <w:style w:styleId="Style_287" w:type="paragraph">
    <w:name w:val="Основной текст с отступом 33"/>
    <w:basedOn w:val="Style_10"/>
    <w:link w:val="Style_287_ch"/>
    <w:pPr>
      <w:spacing w:after="120" w:line="240" w:lineRule="auto"/>
      <w:ind w:firstLine="0" w:left="283"/>
    </w:pPr>
    <w:rPr>
      <w:sz w:val="16"/>
    </w:rPr>
  </w:style>
  <w:style w:styleId="Style_287_ch" w:type="character">
    <w:name w:val="Основной текст с отступом 33"/>
    <w:basedOn w:val="Style_10_ch"/>
    <w:link w:val="Style_287"/>
    <w:rPr>
      <w:sz w:val="16"/>
    </w:rPr>
  </w:style>
  <w:style w:styleId="Style_288" w:type="paragraph">
    <w:name w:val="Указатель2"/>
    <w:basedOn w:val="Style_10"/>
    <w:link w:val="Style_288_ch"/>
    <w:pPr>
      <w:widowControl w:val="0"/>
      <w:spacing w:after="0" w:line="240" w:lineRule="auto"/>
      <w:ind/>
    </w:pPr>
    <w:rPr>
      <w:rFonts w:ascii="Arial" w:hAnsi="Arial"/>
      <w:sz w:val="20"/>
    </w:rPr>
  </w:style>
  <w:style w:styleId="Style_288_ch" w:type="character">
    <w:name w:val="Указатель2"/>
    <w:basedOn w:val="Style_10_ch"/>
    <w:link w:val="Style_288"/>
    <w:rPr>
      <w:rFonts w:ascii="Arial" w:hAnsi="Arial"/>
      <w:sz w:val="20"/>
    </w:rPr>
  </w:style>
  <w:style w:styleId="Style_289" w:type="paragraph">
    <w:name w:val="Style9"/>
    <w:basedOn w:val="Style_10"/>
    <w:link w:val="Style_289_ch"/>
    <w:pPr>
      <w:widowControl w:val="0"/>
      <w:spacing w:after="0" w:line="113" w:lineRule="exact"/>
      <w:ind/>
      <w:jc w:val="right"/>
    </w:pPr>
    <w:rPr>
      <w:sz w:val="24"/>
    </w:rPr>
  </w:style>
  <w:style w:styleId="Style_289_ch" w:type="character">
    <w:name w:val="Style9"/>
    <w:basedOn w:val="Style_10_ch"/>
    <w:link w:val="Style_289"/>
    <w:rPr>
      <w:sz w:val="24"/>
    </w:rPr>
  </w:style>
  <w:style w:styleId="Style_290" w:type="paragraph">
    <w:name w:val="WW8NumSt20z0"/>
    <w:link w:val="Style_290_ch"/>
  </w:style>
  <w:style w:styleId="Style_290_ch" w:type="character">
    <w:name w:val="WW8NumSt20z0"/>
    <w:link w:val="Style_290"/>
  </w:style>
  <w:style w:styleId="Style_291" w:type="paragraph">
    <w:name w:val="main"/>
    <w:basedOn w:val="Style_10"/>
    <w:link w:val="Style_291_ch"/>
    <w:pPr>
      <w:spacing w:after="280" w:before="280" w:line="240" w:lineRule="auto"/>
      <w:ind/>
    </w:pPr>
    <w:rPr>
      <w:sz w:val="24"/>
    </w:rPr>
  </w:style>
  <w:style w:styleId="Style_291_ch" w:type="character">
    <w:name w:val="main"/>
    <w:basedOn w:val="Style_10_ch"/>
    <w:link w:val="Style_291"/>
    <w:rPr>
      <w:sz w:val="24"/>
    </w:rPr>
  </w:style>
  <w:style w:styleId="Style_292" w:type="paragraph">
    <w:name w:val="Пишущая машинка HTML1"/>
    <w:link w:val="Style_292_ch"/>
    <w:rPr>
      <w:rFonts w:ascii="Courier New" w:hAnsi="Courier New"/>
    </w:rPr>
  </w:style>
  <w:style w:styleId="Style_292_ch" w:type="character">
    <w:name w:val="Пишущая машинка HTML1"/>
    <w:link w:val="Style_292"/>
    <w:rPr>
      <w:rFonts w:ascii="Courier New" w:hAnsi="Courier New"/>
    </w:rPr>
  </w:style>
  <w:style w:styleId="Style_293" w:type="paragraph">
    <w:name w:val="WW8Num48z4"/>
    <w:link w:val="Style_293_ch"/>
    <w:rPr>
      <w:rFonts w:ascii="Courier New" w:hAnsi="Courier New"/>
    </w:rPr>
  </w:style>
  <w:style w:styleId="Style_293_ch" w:type="character">
    <w:name w:val="WW8Num48z4"/>
    <w:link w:val="Style_293"/>
    <w:rPr>
      <w:rFonts w:ascii="Courier New" w:hAnsi="Courier New"/>
    </w:rPr>
  </w:style>
  <w:style w:styleId="Style_294" w:type="paragraph">
    <w:name w:val="Указатель4"/>
    <w:basedOn w:val="Style_10"/>
    <w:link w:val="Style_294_ch"/>
    <w:pPr>
      <w:spacing w:after="0" w:line="240" w:lineRule="auto"/>
      <w:ind/>
    </w:pPr>
    <w:rPr>
      <w:sz w:val="20"/>
    </w:rPr>
  </w:style>
  <w:style w:styleId="Style_294_ch" w:type="character">
    <w:name w:val="Указатель4"/>
    <w:basedOn w:val="Style_10_ch"/>
    <w:link w:val="Style_294"/>
    <w:rPr>
      <w:sz w:val="20"/>
    </w:rPr>
  </w:style>
  <w:style w:styleId="Style_295" w:type="paragraph">
    <w:name w:val="Style110"/>
    <w:basedOn w:val="Style_10"/>
    <w:link w:val="Style_295_ch"/>
    <w:pPr>
      <w:widowControl w:val="0"/>
      <w:spacing w:after="0" w:line="240" w:lineRule="auto"/>
      <w:ind/>
    </w:pPr>
    <w:rPr>
      <w:sz w:val="24"/>
    </w:rPr>
  </w:style>
  <w:style w:styleId="Style_295_ch" w:type="character">
    <w:name w:val="Style110"/>
    <w:basedOn w:val="Style_10_ch"/>
    <w:link w:val="Style_295"/>
    <w:rPr>
      <w:sz w:val="24"/>
    </w:rPr>
  </w:style>
  <w:style w:styleId="Style_296" w:type="paragraph">
    <w:name w:val="xl123"/>
    <w:basedOn w:val="Style_10"/>
    <w:link w:val="Style_296_ch"/>
    <w:pPr>
      <w:spacing w:afterAutospacing="on" w:beforeAutospacing="on" w:line="240" w:lineRule="auto"/>
      <w:ind/>
      <w:jc w:val="center"/>
    </w:pPr>
    <w:rPr>
      <w:sz w:val="24"/>
    </w:rPr>
  </w:style>
  <w:style w:styleId="Style_296_ch" w:type="character">
    <w:name w:val="xl123"/>
    <w:basedOn w:val="Style_10_ch"/>
    <w:link w:val="Style_296"/>
    <w:rPr>
      <w:sz w:val="24"/>
    </w:rPr>
  </w:style>
  <w:style w:styleId="Style_297" w:type="paragraph">
    <w:name w:val="Style116"/>
    <w:basedOn w:val="Style_10"/>
    <w:link w:val="Style_297_ch"/>
    <w:pPr>
      <w:widowControl w:val="0"/>
      <w:spacing w:after="0" w:line="240" w:lineRule="auto"/>
      <w:ind/>
    </w:pPr>
    <w:rPr>
      <w:sz w:val="24"/>
    </w:rPr>
  </w:style>
  <w:style w:styleId="Style_297_ch" w:type="character">
    <w:name w:val="Style116"/>
    <w:basedOn w:val="Style_10_ch"/>
    <w:link w:val="Style_297"/>
    <w:rPr>
      <w:sz w:val="24"/>
    </w:rPr>
  </w:style>
  <w:style w:styleId="Style_298" w:type="paragraph">
    <w:name w:val="WW8Num37z1"/>
    <w:link w:val="Style_298_ch"/>
  </w:style>
  <w:style w:styleId="Style_298_ch" w:type="character">
    <w:name w:val="WW8Num37z1"/>
    <w:link w:val="Style_298"/>
  </w:style>
  <w:style w:styleId="Style_299" w:type="paragraph">
    <w:name w:val="Основной текст с отступом 31"/>
    <w:basedOn w:val="Style_10"/>
    <w:link w:val="Style_299_ch"/>
    <w:pPr>
      <w:widowControl w:val="0"/>
      <w:spacing w:after="0" w:line="240" w:lineRule="auto"/>
      <w:ind w:hanging="142" w:left="1276"/>
      <w:jc w:val="both"/>
    </w:pPr>
    <w:rPr>
      <w:sz w:val="28"/>
    </w:rPr>
  </w:style>
  <w:style w:styleId="Style_299_ch" w:type="character">
    <w:name w:val="Основной текст с отступом 31"/>
    <w:basedOn w:val="Style_10_ch"/>
    <w:link w:val="Style_299"/>
    <w:rPr>
      <w:sz w:val="28"/>
    </w:rPr>
  </w:style>
  <w:style w:styleId="Style_300" w:type="paragraph">
    <w:name w:val="Символ нумерации"/>
    <w:link w:val="Style_300_ch"/>
  </w:style>
  <w:style w:styleId="Style_300_ch" w:type="character">
    <w:name w:val="Символ нумерации"/>
    <w:link w:val="Style_300"/>
  </w:style>
  <w:style w:styleId="Style_301" w:type="paragraph">
    <w:name w:val="xl33"/>
    <w:basedOn w:val="Style_10"/>
    <w:link w:val="Style_301_ch"/>
    <w:pPr>
      <w:spacing w:after="280" w:before="280" w:line="360" w:lineRule="atLeast"/>
      <w:ind w:firstLine="709" w:left="0"/>
      <w:jc w:val="center"/>
    </w:pPr>
    <w:rPr>
      <w:rFonts w:ascii="Arial Narrow" w:hAnsi="Arial Narrow"/>
      <w:sz w:val="24"/>
    </w:rPr>
  </w:style>
  <w:style w:styleId="Style_301_ch" w:type="character">
    <w:name w:val="xl33"/>
    <w:basedOn w:val="Style_10_ch"/>
    <w:link w:val="Style_301"/>
    <w:rPr>
      <w:rFonts w:ascii="Arial Narrow" w:hAnsi="Arial Narrow"/>
      <w:sz w:val="24"/>
    </w:rPr>
  </w:style>
  <w:style w:styleId="Style_302" w:type="paragraph">
    <w:name w:val="Style107"/>
    <w:basedOn w:val="Style_10"/>
    <w:link w:val="Style_302_ch"/>
    <w:pPr>
      <w:widowControl w:val="0"/>
      <w:spacing w:after="0" w:line="240" w:lineRule="auto"/>
      <w:ind/>
    </w:pPr>
    <w:rPr>
      <w:sz w:val="24"/>
    </w:rPr>
  </w:style>
  <w:style w:styleId="Style_302_ch" w:type="character">
    <w:name w:val="Style107"/>
    <w:basedOn w:val="Style_10_ch"/>
    <w:link w:val="Style_302"/>
    <w:rPr>
      <w:sz w:val="24"/>
    </w:rPr>
  </w:style>
  <w:style w:styleId="Style_303" w:type="paragraph">
    <w:name w:val="Style6"/>
    <w:basedOn w:val="Style_10"/>
    <w:link w:val="Style_303_ch"/>
    <w:pPr>
      <w:widowControl w:val="0"/>
      <w:spacing w:after="0" w:line="240" w:lineRule="auto"/>
      <w:ind/>
      <w:jc w:val="both"/>
    </w:pPr>
    <w:rPr>
      <w:sz w:val="24"/>
    </w:rPr>
  </w:style>
  <w:style w:styleId="Style_303_ch" w:type="character">
    <w:name w:val="Style6"/>
    <w:basedOn w:val="Style_10_ch"/>
    <w:link w:val="Style_303"/>
    <w:rPr>
      <w:sz w:val="24"/>
    </w:rPr>
  </w:style>
  <w:style w:styleId="Style_304" w:type="paragraph">
    <w:name w:val="Style68"/>
    <w:basedOn w:val="Style_10"/>
    <w:link w:val="Style_304_ch"/>
    <w:pPr>
      <w:widowControl w:val="0"/>
      <w:spacing w:after="0" w:line="269" w:lineRule="exact"/>
      <w:ind/>
      <w:jc w:val="right"/>
    </w:pPr>
    <w:rPr>
      <w:sz w:val="24"/>
    </w:rPr>
  </w:style>
  <w:style w:styleId="Style_304_ch" w:type="character">
    <w:name w:val="Style68"/>
    <w:basedOn w:val="Style_10_ch"/>
    <w:link w:val="Style_304"/>
    <w:rPr>
      <w:sz w:val="24"/>
    </w:rPr>
  </w:style>
  <w:style w:styleId="Style_305" w:type="paragraph">
    <w:name w:val="xl54"/>
    <w:basedOn w:val="Style_10"/>
    <w:link w:val="Style_305_ch"/>
    <w:pPr>
      <w:spacing w:after="280" w:before="280" w:line="360" w:lineRule="atLeast"/>
      <w:ind w:firstLine="709" w:left="0"/>
      <w:jc w:val="both"/>
    </w:pPr>
    <w:rPr>
      <w:rFonts w:ascii="Arial" w:hAnsi="Arial"/>
      <w:sz w:val="24"/>
    </w:rPr>
  </w:style>
  <w:style w:styleId="Style_305_ch" w:type="character">
    <w:name w:val="xl54"/>
    <w:basedOn w:val="Style_10_ch"/>
    <w:link w:val="Style_305"/>
    <w:rPr>
      <w:rFonts w:ascii="Arial" w:hAnsi="Arial"/>
      <w:sz w:val="24"/>
    </w:rPr>
  </w:style>
  <w:style w:styleId="Style_306" w:type="paragraph">
    <w:name w:val="Style11"/>
    <w:basedOn w:val="Style_10"/>
    <w:link w:val="Style_306_ch"/>
    <w:pPr>
      <w:widowControl w:val="0"/>
      <w:spacing w:after="0" w:line="240" w:lineRule="auto"/>
      <w:ind/>
      <w:jc w:val="center"/>
    </w:pPr>
    <w:rPr>
      <w:sz w:val="24"/>
    </w:rPr>
  </w:style>
  <w:style w:styleId="Style_306_ch" w:type="character">
    <w:name w:val="Style11"/>
    <w:basedOn w:val="Style_10_ch"/>
    <w:link w:val="Style_306"/>
    <w:rPr>
      <w:sz w:val="24"/>
    </w:rPr>
  </w:style>
  <w:style w:styleId="Style_307" w:type="paragraph">
    <w:name w:val="WW-Absatz-Standardschriftart111111"/>
    <w:link w:val="Style_307_ch"/>
  </w:style>
  <w:style w:styleId="Style_307_ch" w:type="character">
    <w:name w:val="WW-Absatz-Standardschriftart111111"/>
    <w:link w:val="Style_307"/>
  </w:style>
  <w:style w:styleId="Style_308" w:type="paragraph">
    <w:name w:val="Style58"/>
    <w:basedOn w:val="Style_10"/>
    <w:link w:val="Style_308_ch"/>
    <w:pPr>
      <w:widowControl w:val="0"/>
      <w:spacing w:after="0" w:line="240" w:lineRule="auto"/>
      <w:ind/>
      <w:jc w:val="both"/>
    </w:pPr>
    <w:rPr>
      <w:sz w:val="24"/>
    </w:rPr>
  </w:style>
  <w:style w:styleId="Style_308_ch" w:type="character">
    <w:name w:val="Style58"/>
    <w:basedOn w:val="Style_10_ch"/>
    <w:link w:val="Style_308"/>
    <w:rPr>
      <w:sz w:val="24"/>
    </w:rPr>
  </w:style>
  <w:style w:styleId="Style_309" w:type="paragraph">
    <w:name w:val="Font Style126"/>
    <w:link w:val="Style_309_ch"/>
    <w:rPr>
      <w:b w:val="1"/>
      <w:sz w:val="12"/>
    </w:rPr>
  </w:style>
  <w:style w:styleId="Style_309_ch" w:type="character">
    <w:name w:val="Font Style126"/>
    <w:link w:val="Style_309"/>
    <w:rPr>
      <w:b w:val="1"/>
      <w:sz w:val="12"/>
    </w:rPr>
  </w:style>
  <w:style w:styleId="Style_310" w:type="paragraph">
    <w:name w:val="табл_строка"/>
    <w:basedOn w:val="Style_74"/>
    <w:link w:val="Style_310_ch"/>
    <w:pPr>
      <w:spacing w:after="0" w:before="120" w:line="360" w:lineRule="atLeast"/>
      <w:ind w:firstLine="709" w:left="0"/>
      <w:jc w:val="center"/>
    </w:pPr>
    <w:rPr>
      <w:sz w:val="24"/>
    </w:rPr>
  </w:style>
  <w:style w:styleId="Style_310_ch" w:type="character">
    <w:name w:val="табл_строка"/>
    <w:basedOn w:val="Style_74_ch"/>
    <w:link w:val="Style_310"/>
    <w:rPr>
      <w:sz w:val="24"/>
    </w:rPr>
  </w:style>
  <w:style w:styleId="Style_311" w:type="paragraph">
    <w:name w:val="style6"/>
    <w:basedOn w:val="Style_10"/>
    <w:link w:val="Style_311_ch"/>
    <w:pPr>
      <w:spacing w:afterAutospacing="on" w:beforeAutospacing="on" w:line="360" w:lineRule="atLeast"/>
      <w:ind/>
    </w:pPr>
    <w:rPr>
      <w:sz w:val="24"/>
    </w:rPr>
  </w:style>
  <w:style w:styleId="Style_311_ch" w:type="character">
    <w:name w:val="style6"/>
    <w:basedOn w:val="Style_10_ch"/>
    <w:link w:val="Style_311"/>
    <w:rPr>
      <w:sz w:val="24"/>
    </w:rPr>
  </w:style>
  <w:style w:styleId="Style_312" w:type="paragraph">
    <w:name w:val="xl177"/>
    <w:basedOn w:val="Style_10"/>
    <w:link w:val="Style_312_ch"/>
    <w:pPr>
      <w:spacing w:after="280" w:before="280" w:line="240" w:lineRule="auto"/>
      <w:ind/>
      <w:jc w:val="center"/>
    </w:pPr>
    <w:rPr>
      <w:b w:val="1"/>
      <w:sz w:val="24"/>
    </w:rPr>
  </w:style>
  <w:style w:styleId="Style_312_ch" w:type="character">
    <w:name w:val="xl177"/>
    <w:basedOn w:val="Style_10_ch"/>
    <w:link w:val="Style_312"/>
    <w:rPr>
      <w:b w:val="1"/>
      <w:sz w:val="24"/>
    </w:rPr>
  </w:style>
  <w:style w:styleId="Style_313" w:type="paragraph">
    <w:name w:val="WW8Num30z0"/>
    <w:link w:val="Style_313_ch"/>
    <w:rPr>
      <w:rFonts w:ascii="Symbol" w:hAnsi="Symbol"/>
    </w:rPr>
  </w:style>
  <w:style w:styleId="Style_313_ch" w:type="character">
    <w:name w:val="WW8Num30z0"/>
    <w:link w:val="Style_313"/>
    <w:rPr>
      <w:rFonts w:ascii="Symbol" w:hAnsi="Symbol"/>
    </w:rPr>
  </w:style>
  <w:style w:styleId="Style_314" w:type="paragraph">
    <w:name w:val="xl46"/>
    <w:basedOn w:val="Style_10"/>
    <w:link w:val="Style_314_ch"/>
    <w:pPr>
      <w:spacing w:after="280" w:before="280" w:line="360" w:lineRule="atLeast"/>
      <w:ind w:firstLine="709" w:left="0"/>
      <w:jc w:val="both"/>
    </w:pPr>
    <w:rPr>
      <w:rFonts w:ascii="Arial" w:hAnsi="Arial"/>
      <w:b w:val="1"/>
      <w:sz w:val="24"/>
    </w:rPr>
  </w:style>
  <w:style w:styleId="Style_314_ch" w:type="character">
    <w:name w:val="xl46"/>
    <w:basedOn w:val="Style_10_ch"/>
    <w:link w:val="Style_314"/>
    <w:rPr>
      <w:rFonts w:ascii="Arial" w:hAnsi="Arial"/>
      <w:b w:val="1"/>
      <w:sz w:val="24"/>
    </w:rPr>
  </w:style>
  <w:style w:styleId="Style_315" w:type="paragraph">
    <w:name w:val="WW8Num26z2"/>
    <w:link w:val="Style_315_ch"/>
    <w:rPr>
      <w:rFonts w:ascii="Wingdings" w:hAnsi="Wingdings"/>
    </w:rPr>
  </w:style>
  <w:style w:styleId="Style_315_ch" w:type="character">
    <w:name w:val="WW8Num26z2"/>
    <w:link w:val="Style_315"/>
    <w:rPr>
      <w:rFonts w:ascii="Wingdings" w:hAnsi="Wingdings"/>
    </w:rPr>
  </w:style>
  <w:style w:styleId="Style_316" w:type="paragraph">
    <w:name w:val="Font Style177"/>
    <w:link w:val="Style_316_ch"/>
    <w:rPr>
      <w:sz w:val="12"/>
    </w:rPr>
  </w:style>
  <w:style w:styleId="Style_316_ch" w:type="character">
    <w:name w:val="Font Style177"/>
    <w:link w:val="Style_316"/>
    <w:rPr>
      <w:sz w:val="12"/>
    </w:rPr>
  </w:style>
  <w:style w:styleId="Style_317" w:type="paragraph">
    <w:name w:val="S_Заголовок таблицы"/>
    <w:basedOn w:val="Style_10"/>
    <w:link w:val="Style_317_ch"/>
    <w:pPr>
      <w:spacing w:after="0" w:line="360" w:lineRule="auto"/>
      <w:ind w:firstLine="709" w:left="0"/>
      <w:jc w:val="center"/>
    </w:pPr>
    <w:rPr>
      <w:sz w:val="24"/>
      <w:u w:val="single"/>
    </w:rPr>
  </w:style>
  <w:style w:styleId="Style_317_ch" w:type="character">
    <w:name w:val="S_Заголовок таблицы"/>
    <w:basedOn w:val="Style_10_ch"/>
    <w:link w:val="Style_317"/>
    <w:rPr>
      <w:sz w:val="24"/>
      <w:u w:val="single"/>
    </w:rPr>
  </w:style>
  <w:style w:styleId="Style_318" w:type="paragraph">
    <w:name w:val="Маркированный список2"/>
    <w:basedOn w:val="Style_10"/>
    <w:link w:val="Style_318_ch"/>
    <w:pPr>
      <w:tabs>
        <w:tab w:leader="none" w:pos="1069" w:val="left"/>
      </w:tabs>
      <w:spacing w:after="0" w:line="240" w:lineRule="auto"/>
      <w:ind w:hanging="360" w:left="1069"/>
    </w:pPr>
    <w:rPr>
      <w:sz w:val="20"/>
    </w:rPr>
  </w:style>
  <w:style w:styleId="Style_318_ch" w:type="character">
    <w:name w:val="Маркированный список2"/>
    <w:basedOn w:val="Style_10_ch"/>
    <w:link w:val="Style_318"/>
    <w:rPr>
      <w:sz w:val="20"/>
    </w:rPr>
  </w:style>
  <w:style w:styleId="Style_319" w:type="paragraph">
    <w:name w:val="Основной текст Знак"/>
    <w:link w:val="Style_319_ch"/>
  </w:style>
  <w:style w:styleId="Style_319_ch" w:type="character">
    <w:name w:val="Основной текст Знак"/>
    <w:link w:val="Style_319"/>
  </w:style>
  <w:style w:styleId="Style_320" w:type="paragraph">
    <w:name w:val="Font Style125"/>
    <w:link w:val="Style_320_ch"/>
    <w:rPr>
      <w:sz w:val="22"/>
    </w:rPr>
  </w:style>
  <w:style w:styleId="Style_320_ch" w:type="character">
    <w:name w:val="Font Style125"/>
    <w:link w:val="Style_320"/>
    <w:rPr>
      <w:sz w:val="22"/>
    </w:rPr>
  </w:style>
  <w:style w:styleId="Style_321" w:type="paragraph">
    <w:name w:val="WW8Num11z1"/>
    <w:link w:val="Style_321_ch"/>
    <w:rPr>
      <w:rFonts w:ascii="Courier New" w:hAnsi="Courier New"/>
    </w:rPr>
  </w:style>
  <w:style w:styleId="Style_321_ch" w:type="character">
    <w:name w:val="WW8Num11z1"/>
    <w:link w:val="Style_321"/>
    <w:rPr>
      <w:rFonts w:ascii="Courier New" w:hAnsi="Courier New"/>
    </w:rPr>
  </w:style>
  <w:style w:styleId="Style_322" w:type="paragraph">
    <w:name w:val="Font Style182"/>
    <w:link w:val="Style_322_ch"/>
    <w:rPr>
      <w:rFonts w:ascii="Arial Black" w:hAnsi="Arial Black"/>
      <w:i w:val="1"/>
      <w:sz w:val="12"/>
    </w:rPr>
  </w:style>
  <w:style w:styleId="Style_322_ch" w:type="character">
    <w:name w:val="Font Style182"/>
    <w:link w:val="Style_322"/>
    <w:rPr>
      <w:rFonts w:ascii="Arial Black" w:hAnsi="Arial Black"/>
      <w:i w:val="1"/>
      <w:sz w:val="12"/>
    </w:rPr>
  </w:style>
  <w:style w:styleId="Style_323" w:type="paragraph">
    <w:name w:val="WW8Num63z0"/>
    <w:link w:val="Style_323_ch"/>
    <w:rPr>
      <w:rFonts w:ascii="Symbol" w:hAnsi="Symbol"/>
    </w:rPr>
  </w:style>
  <w:style w:styleId="Style_323_ch" w:type="character">
    <w:name w:val="WW8Num63z0"/>
    <w:link w:val="Style_323"/>
    <w:rPr>
      <w:rFonts w:ascii="Symbol" w:hAnsi="Symbol"/>
    </w:rPr>
  </w:style>
  <w:style w:styleId="Style_324" w:type="paragraph">
    <w:name w:val="Style117"/>
    <w:basedOn w:val="Style_10"/>
    <w:link w:val="Style_324_ch"/>
    <w:pPr>
      <w:widowControl w:val="0"/>
      <w:spacing w:after="0" w:line="240" w:lineRule="auto"/>
      <w:ind/>
    </w:pPr>
    <w:rPr>
      <w:sz w:val="24"/>
    </w:rPr>
  </w:style>
  <w:style w:styleId="Style_324_ch" w:type="character">
    <w:name w:val="Style117"/>
    <w:basedOn w:val="Style_10_ch"/>
    <w:link w:val="Style_324"/>
    <w:rPr>
      <w:sz w:val="24"/>
    </w:rPr>
  </w:style>
  <w:style w:styleId="Style_325" w:type="paragraph">
    <w:name w:val="???????? ????? ??????1"/>
    <w:link w:val="Style_325_ch"/>
  </w:style>
  <w:style w:styleId="Style_325_ch" w:type="character">
    <w:name w:val="???????? ????? ??????1"/>
    <w:link w:val="Style_325"/>
  </w:style>
  <w:style w:styleId="Style_326" w:type="paragraph">
    <w:name w:val="Список-2"/>
    <w:basedOn w:val="Style_10"/>
    <w:link w:val="Style_326_ch"/>
    <w:pPr>
      <w:spacing w:after="0" w:line="360" w:lineRule="atLeast"/>
      <w:ind w:firstLine="0" w:left="-720"/>
      <w:jc w:val="both"/>
    </w:pPr>
    <w:rPr>
      <w:sz w:val="24"/>
    </w:rPr>
  </w:style>
  <w:style w:styleId="Style_326_ch" w:type="character">
    <w:name w:val="Список-2"/>
    <w:basedOn w:val="Style_10_ch"/>
    <w:link w:val="Style_326"/>
    <w:rPr>
      <w:sz w:val="24"/>
    </w:rPr>
  </w:style>
  <w:style w:styleId="Style_327" w:type="paragraph">
    <w:name w:val="u"/>
    <w:basedOn w:val="Style_10"/>
    <w:link w:val="Style_327_ch"/>
    <w:pPr>
      <w:spacing w:after="280" w:before="280" w:line="360" w:lineRule="auto"/>
      <w:ind w:firstLine="709" w:left="0"/>
      <w:jc w:val="both"/>
    </w:pPr>
    <w:rPr>
      <w:sz w:val="28"/>
    </w:rPr>
  </w:style>
  <w:style w:styleId="Style_327_ch" w:type="character">
    <w:name w:val="u"/>
    <w:basedOn w:val="Style_10_ch"/>
    <w:link w:val="Style_327"/>
    <w:rPr>
      <w:sz w:val="28"/>
    </w:rPr>
  </w:style>
  <w:style w:styleId="Style_328" w:type="paragraph">
    <w:name w:val="Style126"/>
    <w:basedOn w:val="Style_10"/>
    <w:link w:val="Style_328_ch"/>
    <w:pPr>
      <w:widowControl w:val="0"/>
      <w:spacing w:after="0" w:line="311" w:lineRule="exact"/>
      <w:ind/>
      <w:jc w:val="both"/>
    </w:pPr>
    <w:rPr>
      <w:sz w:val="24"/>
    </w:rPr>
  </w:style>
  <w:style w:styleId="Style_328_ch" w:type="character">
    <w:name w:val="Style126"/>
    <w:basedOn w:val="Style_10_ch"/>
    <w:link w:val="Style_328"/>
    <w:rPr>
      <w:sz w:val="24"/>
    </w:rPr>
  </w:style>
  <w:style w:styleId="Style_329" w:type="paragraph">
    <w:name w:val="Body Text Char"/>
    <w:link w:val="Style_329_ch"/>
    <w:rPr>
      <w:sz w:val="24"/>
    </w:rPr>
  </w:style>
  <w:style w:styleId="Style_329_ch" w:type="character">
    <w:name w:val="Body Text Char"/>
    <w:link w:val="Style_329"/>
    <w:rPr>
      <w:sz w:val="24"/>
    </w:rPr>
  </w:style>
  <w:style w:styleId="Style_330" w:type="paragraph">
    <w:name w:val="WW8Num9z3"/>
    <w:link w:val="Style_330_ch"/>
    <w:rPr>
      <w:rFonts w:ascii="Symbol" w:hAnsi="Symbol"/>
    </w:rPr>
  </w:style>
  <w:style w:styleId="Style_330_ch" w:type="character">
    <w:name w:val="WW8Num9z3"/>
    <w:link w:val="Style_330"/>
    <w:rPr>
      <w:rFonts w:ascii="Symbol" w:hAnsi="Symbol"/>
    </w:rPr>
  </w:style>
  <w:style w:styleId="Style_331" w:type="paragraph">
    <w:name w:val="z-Начало формы Знак"/>
    <w:link w:val="Style_331_ch"/>
    <w:rPr>
      <w:rFonts w:ascii="Arial" w:hAnsi="Arial"/>
      <w:sz w:val="16"/>
    </w:rPr>
  </w:style>
  <w:style w:styleId="Style_331_ch" w:type="character">
    <w:name w:val="z-Начало формы Знак"/>
    <w:link w:val="Style_331"/>
    <w:rPr>
      <w:rFonts w:ascii="Arial" w:hAnsi="Arial"/>
      <w:sz w:val="16"/>
    </w:rPr>
  </w:style>
  <w:style w:styleId="Style_332" w:type="paragraph">
    <w:name w:val="heading 9"/>
    <w:basedOn w:val="Style_10"/>
    <w:next w:val="Style_10"/>
    <w:link w:val="Style_332_ch"/>
    <w:uiPriority w:val="9"/>
    <w:qFormat/>
    <w:pPr>
      <w:tabs>
        <w:tab w:leader="none" w:pos="0" w:val="left"/>
      </w:tabs>
      <w:spacing w:after="60" w:before="240" w:line="240" w:lineRule="auto"/>
      <w:ind/>
      <w:outlineLvl w:val="8"/>
    </w:pPr>
    <w:rPr>
      <w:rFonts w:ascii="Arial" w:hAnsi="Arial"/>
    </w:rPr>
  </w:style>
  <w:style w:styleId="Style_332_ch" w:type="character">
    <w:name w:val="heading 9"/>
    <w:basedOn w:val="Style_10_ch"/>
    <w:link w:val="Style_332"/>
    <w:rPr>
      <w:rFonts w:ascii="Arial" w:hAnsi="Arial"/>
    </w:rPr>
  </w:style>
  <w:style w:styleId="Style_333" w:type="paragraph">
    <w:name w:val="Ii?iaeuiue Знак"/>
    <w:link w:val="Style_333_ch"/>
    <w:rPr>
      <w:rFonts w:ascii="Baltica" w:hAnsi="Baltica"/>
      <w:sz w:val="24"/>
    </w:rPr>
  </w:style>
  <w:style w:styleId="Style_333_ch" w:type="character">
    <w:name w:val="Ii?iaeuiue Знак"/>
    <w:link w:val="Style_333"/>
    <w:rPr>
      <w:rFonts w:ascii="Baltica" w:hAnsi="Baltica"/>
      <w:sz w:val="24"/>
    </w:rPr>
  </w:style>
  <w:style w:styleId="Style_334" w:type="paragraph">
    <w:name w:val="Normal Знак Знак Знак"/>
    <w:link w:val="Style_334_ch"/>
    <w:pPr>
      <w:spacing w:after="100" w:before="100"/>
      <w:ind/>
      <w:jc w:val="both"/>
    </w:pPr>
    <w:rPr>
      <w:sz w:val="24"/>
    </w:rPr>
  </w:style>
  <w:style w:styleId="Style_334_ch" w:type="character">
    <w:name w:val="Normal Знак Знак Знак"/>
    <w:link w:val="Style_334"/>
    <w:rPr>
      <w:sz w:val="24"/>
    </w:rPr>
  </w:style>
  <w:style w:styleId="Style_335" w:type="paragraph">
    <w:name w:val="Маркированный список1"/>
    <w:basedOn w:val="Style_10"/>
    <w:link w:val="Style_335_ch"/>
    <w:pPr>
      <w:tabs>
        <w:tab w:leader="none" w:pos="0" w:val="left"/>
      </w:tabs>
      <w:spacing w:after="0" w:line="240" w:lineRule="auto"/>
      <w:ind/>
    </w:pPr>
    <w:rPr>
      <w:sz w:val="24"/>
    </w:rPr>
  </w:style>
  <w:style w:styleId="Style_335_ch" w:type="character">
    <w:name w:val="Маркированный список1"/>
    <w:basedOn w:val="Style_10_ch"/>
    <w:link w:val="Style_335"/>
    <w:rPr>
      <w:sz w:val="24"/>
    </w:rPr>
  </w:style>
  <w:style w:styleId="Style_336" w:type="paragraph">
    <w:name w:val="WW8Num4z0"/>
    <w:link w:val="Style_336_ch"/>
    <w:rPr>
      <w:rFonts w:ascii="Courier New" w:hAnsi="Courier New"/>
    </w:rPr>
  </w:style>
  <w:style w:styleId="Style_336_ch" w:type="character">
    <w:name w:val="WW8Num4z0"/>
    <w:link w:val="Style_336"/>
    <w:rPr>
      <w:rFonts w:ascii="Courier New" w:hAnsi="Courier New"/>
    </w:rPr>
  </w:style>
  <w:style w:styleId="Style_337" w:type="paragraph">
    <w:name w:val="WW8Num15z2"/>
    <w:link w:val="Style_337_ch"/>
    <w:rPr>
      <w:rFonts w:ascii="Wingdings" w:hAnsi="Wingdings"/>
      <w:sz w:val="24"/>
    </w:rPr>
  </w:style>
  <w:style w:styleId="Style_337_ch" w:type="character">
    <w:name w:val="WW8Num15z2"/>
    <w:link w:val="Style_337"/>
    <w:rPr>
      <w:rFonts w:ascii="Wingdings" w:hAnsi="Wingdings"/>
      <w:sz w:val="24"/>
    </w:rPr>
  </w:style>
  <w:style w:styleId="Style_338" w:type="paragraph">
    <w:name w:val="Font Style43"/>
    <w:link w:val="Style_338_ch"/>
    <w:rPr>
      <w:spacing w:val="10"/>
      <w:sz w:val="18"/>
    </w:rPr>
  </w:style>
  <w:style w:styleId="Style_338_ch" w:type="character">
    <w:name w:val="Font Style43"/>
    <w:link w:val="Style_338"/>
    <w:rPr>
      <w:spacing w:val="10"/>
      <w:sz w:val="18"/>
    </w:rPr>
  </w:style>
  <w:style w:styleId="Style_339" w:type="paragraph">
    <w:name w:val="Знак Знак"/>
    <w:link w:val="Style_339_ch"/>
  </w:style>
  <w:style w:styleId="Style_339_ch" w:type="character">
    <w:name w:val="Знак Знак"/>
    <w:link w:val="Style_339"/>
  </w:style>
  <w:style w:styleId="Style_340" w:type="paragraph">
    <w:name w:val="font15"/>
    <w:basedOn w:val="Style_10"/>
    <w:link w:val="Style_340_ch"/>
    <w:pPr>
      <w:spacing w:afterAutospacing="on" w:beforeAutospacing="on" w:line="240" w:lineRule="auto"/>
      <w:ind/>
    </w:pPr>
    <w:rPr>
      <w:b w:val="1"/>
      <w:sz w:val="14"/>
    </w:rPr>
  </w:style>
  <w:style w:styleId="Style_340_ch" w:type="character">
    <w:name w:val="font15"/>
    <w:basedOn w:val="Style_10_ch"/>
    <w:link w:val="Style_340"/>
    <w:rPr>
      <w:b w:val="1"/>
      <w:sz w:val="14"/>
    </w:rPr>
  </w:style>
  <w:style w:styleId="Style_341" w:type="paragraph">
    <w:name w:val="WW-Основной текст 211"/>
    <w:basedOn w:val="Style_10"/>
    <w:link w:val="Style_341_ch"/>
    <w:pPr>
      <w:spacing w:after="0" w:line="240" w:lineRule="auto"/>
      <w:ind/>
    </w:pPr>
    <w:rPr>
      <w:rFonts w:ascii="SchoolBook" w:hAnsi="SchoolBook"/>
      <w:sz w:val="24"/>
    </w:rPr>
  </w:style>
  <w:style w:styleId="Style_341_ch" w:type="character">
    <w:name w:val="WW-Основной текст 211"/>
    <w:basedOn w:val="Style_10_ch"/>
    <w:link w:val="Style_341"/>
    <w:rPr>
      <w:rFonts w:ascii="SchoolBook" w:hAnsi="SchoolBook"/>
      <w:sz w:val="24"/>
    </w:rPr>
  </w:style>
  <w:style w:styleId="Style_342" w:type="paragraph">
    <w:name w:val="WW8Num17z1"/>
    <w:link w:val="Style_342_ch"/>
    <w:rPr>
      <w:rFonts w:ascii="Courier New" w:hAnsi="Courier New"/>
    </w:rPr>
  </w:style>
  <w:style w:styleId="Style_342_ch" w:type="character">
    <w:name w:val="WW8Num17z1"/>
    <w:link w:val="Style_342"/>
    <w:rPr>
      <w:rFonts w:ascii="Courier New" w:hAnsi="Courier New"/>
    </w:rPr>
  </w:style>
  <w:style w:styleId="Style_343" w:type="paragraph">
    <w:name w:val="WW8Num36z1"/>
    <w:link w:val="Style_343_ch"/>
    <w:rPr>
      <w:rFonts w:ascii="Courier New" w:hAnsi="Courier New"/>
    </w:rPr>
  </w:style>
  <w:style w:styleId="Style_343_ch" w:type="character">
    <w:name w:val="WW8Num36z1"/>
    <w:link w:val="Style_343"/>
    <w:rPr>
      <w:rFonts w:ascii="Courier New" w:hAnsi="Courier New"/>
    </w:rPr>
  </w:style>
  <w:style w:styleId="Style_344" w:type="paragraph">
    <w:name w:val="WW8Num43z3"/>
    <w:link w:val="Style_344_ch"/>
    <w:rPr>
      <w:rFonts w:ascii="Symbol" w:hAnsi="Symbol"/>
    </w:rPr>
  </w:style>
  <w:style w:styleId="Style_344_ch" w:type="character">
    <w:name w:val="WW8Num43z3"/>
    <w:link w:val="Style_344"/>
    <w:rPr>
      <w:rFonts w:ascii="Symbol" w:hAnsi="Symbol"/>
    </w:rPr>
  </w:style>
  <w:style w:styleId="Style_345" w:type="paragraph">
    <w:name w:val="основной текст"/>
    <w:basedOn w:val="Style_10"/>
    <w:link w:val="Style_345_ch"/>
    <w:pPr>
      <w:spacing w:after="120" w:line="360" w:lineRule="atLeast"/>
      <w:ind w:firstLine="851" w:left="0"/>
      <w:jc w:val="both"/>
    </w:pPr>
    <w:rPr>
      <w:rFonts w:ascii="Arial" w:hAnsi="Arial"/>
      <w:sz w:val="28"/>
    </w:rPr>
  </w:style>
  <w:style w:styleId="Style_345_ch" w:type="character">
    <w:name w:val="основной текст"/>
    <w:basedOn w:val="Style_10_ch"/>
    <w:link w:val="Style_345"/>
    <w:rPr>
      <w:rFonts w:ascii="Arial" w:hAnsi="Arial"/>
      <w:sz w:val="28"/>
    </w:rPr>
  </w:style>
  <w:style w:styleId="Style_346" w:type="paragraph">
    <w:name w:val="WW8Num65z0"/>
    <w:link w:val="Style_346_ch"/>
    <w:rPr>
      <w:rFonts w:ascii="Symbol" w:hAnsi="Symbol"/>
    </w:rPr>
  </w:style>
  <w:style w:styleId="Style_346_ch" w:type="character">
    <w:name w:val="WW8Num65z0"/>
    <w:link w:val="Style_346"/>
    <w:rPr>
      <w:rFonts w:ascii="Symbol" w:hAnsi="Symbol"/>
    </w:rPr>
  </w:style>
  <w:style w:styleId="Style_347" w:type="paragraph">
    <w:name w:val="Font Style31"/>
    <w:link w:val="Style_347_ch"/>
    <w:rPr>
      <w:sz w:val="16"/>
    </w:rPr>
  </w:style>
  <w:style w:styleId="Style_347_ch" w:type="character">
    <w:name w:val="Font Style31"/>
    <w:link w:val="Style_347"/>
    <w:rPr>
      <w:sz w:val="16"/>
    </w:rPr>
  </w:style>
  <w:style w:styleId="Style_348" w:type="paragraph">
    <w:name w:val="WW8Num10z2"/>
    <w:link w:val="Style_348_ch"/>
    <w:rPr>
      <w:rFonts w:ascii="Wingdings" w:hAnsi="Wingdings"/>
      <w:sz w:val="24"/>
    </w:rPr>
  </w:style>
  <w:style w:styleId="Style_348_ch" w:type="character">
    <w:name w:val="WW8Num10z2"/>
    <w:link w:val="Style_348"/>
    <w:rPr>
      <w:rFonts w:ascii="Wingdings" w:hAnsi="Wingdings"/>
      <w:sz w:val="24"/>
    </w:rPr>
  </w:style>
  <w:style w:styleId="Style_349" w:type="paragraph">
    <w:name w:val="Style85"/>
    <w:basedOn w:val="Style_10"/>
    <w:link w:val="Style_349_ch"/>
    <w:pPr>
      <w:widowControl w:val="0"/>
      <w:spacing w:after="0" w:line="240" w:lineRule="auto"/>
      <w:ind/>
    </w:pPr>
    <w:rPr>
      <w:sz w:val="24"/>
    </w:rPr>
  </w:style>
  <w:style w:styleId="Style_349_ch" w:type="character">
    <w:name w:val="Style85"/>
    <w:basedOn w:val="Style_10_ch"/>
    <w:link w:val="Style_349"/>
    <w:rPr>
      <w:sz w:val="24"/>
    </w:rPr>
  </w:style>
  <w:style w:styleId="Style_350" w:type="paragraph">
    <w:name w:val="Красная строка 21"/>
    <w:basedOn w:val="Style_148"/>
    <w:link w:val="Style_350_ch"/>
    <w:pPr>
      <w:spacing w:after="120" w:line="240" w:lineRule="auto"/>
      <w:ind w:firstLine="210" w:left="283"/>
      <w:jc w:val="left"/>
    </w:pPr>
    <w:rPr>
      <w:rFonts w:ascii="Times New Roman" w:hAnsi="Times New Roman"/>
      <w:sz w:val="20"/>
    </w:rPr>
  </w:style>
  <w:style w:styleId="Style_350_ch" w:type="character">
    <w:name w:val="Красная строка 21"/>
    <w:basedOn w:val="Style_148_ch"/>
    <w:link w:val="Style_350"/>
    <w:rPr>
      <w:rFonts w:ascii="Times New Roman" w:hAnsi="Times New Roman"/>
      <w:sz w:val="20"/>
    </w:rPr>
  </w:style>
  <w:style w:styleId="Style_351" w:type="paragraph">
    <w:name w:val="WW-?????????"/>
    <w:basedOn w:val="Style_10"/>
    <w:link w:val="Style_351_ch"/>
    <w:pPr>
      <w:widowControl w:val="0"/>
      <w:spacing w:after="0" w:line="240" w:lineRule="auto"/>
      <w:ind/>
    </w:pPr>
    <w:rPr>
      <w:sz w:val="24"/>
    </w:rPr>
  </w:style>
  <w:style w:styleId="Style_351_ch" w:type="character">
    <w:name w:val="WW-?????????"/>
    <w:basedOn w:val="Style_10_ch"/>
    <w:link w:val="Style_351"/>
    <w:rPr>
      <w:sz w:val="24"/>
    </w:rPr>
  </w:style>
  <w:style w:styleId="Style_352" w:type="paragraph">
    <w:name w:val="text_1"/>
    <w:basedOn w:val="Style_10"/>
    <w:link w:val="Style_352_ch"/>
    <w:pPr>
      <w:spacing w:after="280" w:before="280" w:line="240" w:lineRule="auto"/>
      <w:ind/>
    </w:pPr>
    <w:rPr>
      <w:rFonts w:ascii="Verdana" w:hAnsi="Verdana"/>
      <w:sz w:val="18"/>
    </w:rPr>
  </w:style>
  <w:style w:styleId="Style_352_ch" w:type="character">
    <w:name w:val="text_1"/>
    <w:basedOn w:val="Style_10_ch"/>
    <w:link w:val="Style_352"/>
    <w:rPr>
      <w:rFonts w:ascii="Verdana" w:hAnsi="Verdana"/>
      <w:sz w:val="18"/>
    </w:rPr>
  </w:style>
  <w:style w:styleId="Style_353" w:type="paragraph">
    <w:name w:val="Номер страницы1"/>
    <w:link w:val="Style_353_ch"/>
  </w:style>
  <w:style w:styleId="Style_353_ch" w:type="character">
    <w:name w:val="Номер страницы1"/>
    <w:link w:val="Style_353"/>
  </w:style>
  <w:style w:styleId="Style_354" w:type="paragraph">
    <w:name w:val="WW-Absatz-Standardschriftart11111111111111111111"/>
    <w:link w:val="Style_354_ch"/>
  </w:style>
  <w:style w:styleId="Style_354_ch" w:type="character">
    <w:name w:val="WW-Absatz-Standardschriftart11111111111111111111"/>
    <w:link w:val="Style_354"/>
  </w:style>
  <w:style w:styleId="Style_355" w:type="paragraph">
    <w:name w:val="WW8Num55z0"/>
    <w:link w:val="Style_355_ch"/>
    <w:rPr>
      <w:rFonts w:ascii="Symbol" w:hAnsi="Symbol"/>
    </w:rPr>
  </w:style>
  <w:style w:styleId="Style_355_ch" w:type="character">
    <w:name w:val="WW8Num55z0"/>
    <w:link w:val="Style_355"/>
    <w:rPr>
      <w:rFonts w:ascii="Symbol" w:hAnsi="Symbol"/>
    </w:rPr>
  </w:style>
  <w:style w:styleId="Style_356" w:type="paragraph">
    <w:name w:val="WW-Absatz-Standardschriftart11"/>
    <w:link w:val="Style_356_ch"/>
  </w:style>
  <w:style w:styleId="Style_356_ch" w:type="character">
    <w:name w:val="WW-Absatz-Standardschriftart11"/>
    <w:link w:val="Style_356"/>
  </w:style>
  <w:style w:styleId="Style_357" w:type="paragraph">
    <w:name w:val="WW8Num513z1"/>
    <w:link w:val="Style_357_ch"/>
    <w:rPr>
      <w:rFonts w:ascii="Courier New" w:hAnsi="Courier New"/>
    </w:rPr>
  </w:style>
  <w:style w:styleId="Style_357_ch" w:type="character">
    <w:name w:val="WW8Num513z1"/>
    <w:link w:val="Style_357"/>
    <w:rPr>
      <w:rFonts w:ascii="Courier New" w:hAnsi="Courier New"/>
    </w:rPr>
  </w:style>
  <w:style w:styleId="Style_358" w:type="paragraph">
    <w:name w:val="Красная строка 2 Знак"/>
    <w:link w:val="Style_358_ch"/>
  </w:style>
  <w:style w:styleId="Style_358_ch" w:type="character">
    <w:name w:val="Красная строка 2 Знак"/>
    <w:link w:val="Style_358"/>
  </w:style>
  <w:style w:styleId="Style_359" w:type="paragraph">
    <w:name w:val="xl136"/>
    <w:basedOn w:val="Style_10"/>
    <w:link w:val="Style_359_ch"/>
    <w:pPr>
      <w:spacing w:after="280" w:before="280" w:line="240" w:lineRule="auto"/>
      <w:ind/>
      <w:jc w:val="center"/>
    </w:pPr>
    <w:rPr>
      <w:sz w:val="18"/>
    </w:rPr>
  </w:style>
  <w:style w:styleId="Style_359_ch" w:type="character">
    <w:name w:val="xl136"/>
    <w:basedOn w:val="Style_10_ch"/>
    <w:link w:val="Style_359"/>
    <w:rPr>
      <w:sz w:val="18"/>
    </w:rPr>
  </w:style>
  <w:style w:styleId="Style_360" w:type="paragraph">
    <w:name w:val="Таблица"/>
    <w:basedOn w:val="Style_10"/>
    <w:link w:val="Style_360_ch"/>
    <w:pPr>
      <w:widowControl w:val="0"/>
      <w:spacing w:after="0" w:before="20" w:line="360" w:lineRule="atLeast"/>
      <w:ind/>
    </w:pPr>
    <w:rPr>
      <w:sz w:val="18"/>
    </w:rPr>
  </w:style>
  <w:style w:styleId="Style_360_ch" w:type="character">
    <w:name w:val="Таблица"/>
    <w:basedOn w:val="Style_10_ch"/>
    <w:link w:val="Style_360"/>
    <w:rPr>
      <w:sz w:val="18"/>
    </w:rPr>
  </w:style>
  <w:style w:styleId="Style_361" w:type="paragraph">
    <w:name w:val="Новый абзац Знак2"/>
    <w:link w:val="Style_361_ch"/>
    <w:rPr>
      <w:rFonts w:ascii="Arial" w:hAnsi="Arial"/>
      <w:sz w:val="24"/>
    </w:rPr>
  </w:style>
  <w:style w:styleId="Style_361_ch" w:type="character">
    <w:name w:val="Новый абзац Знак2"/>
    <w:link w:val="Style_361"/>
    <w:rPr>
      <w:rFonts w:ascii="Arial" w:hAnsi="Arial"/>
      <w:sz w:val="24"/>
    </w:rPr>
  </w:style>
  <w:style w:styleId="Style_362" w:type="paragraph">
    <w:name w:val="WW8Num33z0"/>
    <w:link w:val="Style_362_ch"/>
    <w:rPr>
      <w:rFonts w:ascii="Courier New" w:hAnsi="Courier New"/>
      <w:sz w:val="26"/>
    </w:rPr>
  </w:style>
  <w:style w:styleId="Style_362_ch" w:type="character">
    <w:name w:val="WW8Num33z0"/>
    <w:link w:val="Style_362"/>
    <w:rPr>
      <w:rFonts w:ascii="Courier New" w:hAnsi="Courier New"/>
      <w:sz w:val="26"/>
    </w:rPr>
  </w:style>
  <w:style w:styleId="Style_363" w:type="paragraph">
    <w:name w:val="Font Style132"/>
    <w:link w:val="Style_363_ch"/>
    <w:rPr>
      <w:sz w:val="14"/>
    </w:rPr>
  </w:style>
  <w:style w:styleId="Style_363_ch" w:type="character">
    <w:name w:val="Font Style132"/>
    <w:link w:val="Style_363"/>
    <w:rPr>
      <w:sz w:val="14"/>
    </w:rPr>
  </w:style>
  <w:style w:styleId="Style_364" w:type="paragraph">
    <w:name w:val="WW8NumSt7z0"/>
    <w:link w:val="Style_364_ch"/>
    <w:rPr>
      <w:rFonts w:ascii="Courier New" w:hAnsi="Courier New"/>
    </w:rPr>
  </w:style>
  <w:style w:styleId="Style_364_ch" w:type="character">
    <w:name w:val="WW8NumSt7z0"/>
    <w:link w:val="Style_364"/>
    <w:rPr>
      <w:rFonts w:ascii="Courier New" w:hAnsi="Courier New"/>
    </w:rPr>
  </w:style>
  <w:style w:styleId="Style_365" w:type="paragraph">
    <w:name w:val="Font Style130"/>
    <w:link w:val="Style_365_ch"/>
    <w:rPr>
      <w:sz w:val="52"/>
    </w:rPr>
  </w:style>
  <w:style w:styleId="Style_365_ch" w:type="character">
    <w:name w:val="Font Style130"/>
    <w:link w:val="Style_365"/>
    <w:rPr>
      <w:sz w:val="52"/>
    </w:rPr>
  </w:style>
  <w:style w:styleId="Style_366" w:type="paragraph">
    <w:name w:val="WW8Num42z0"/>
    <w:link w:val="Style_366_ch"/>
    <w:rPr>
      <w:sz w:val="26"/>
    </w:rPr>
  </w:style>
  <w:style w:styleId="Style_366_ch" w:type="character">
    <w:name w:val="WW8Num42z0"/>
    <w:link w:val="Style_366"/>
    <w:rPr>
      <w:sz w:val="26"/>
    </w:rPr>
  </w:style>
  <w:style w:styleId="Style_367" w:type="paragraph">
    <w:name w:val="WW-Основной текст 31"/>
    <w:basedOn w:val="Style_10"/>
    <w:link w:val="Style_367_ch"/>
    <w:pPr>
      <w:widowControl w:val="0"/>
      <w:spacing w:after="120" w:line="240" w:lineRule="auto"/>
      <w:ind/>
    </w:pPr>
    <w:rPr>
      <w:sz w:val="16"/>
    </w:rPr>
  </w:style>
  <w:style w:styleId="Style_367_ch" w:type="character">
    <w:name w:val="WW-Основной текст 31"/>
    <w:basedOn w:val="Style_10_ch"/>
    <w:link w:val="Style_367"/>
    <w:rPr>
      <w:sz w:val="16"/>
    </w:rPr>
  </w:style>
  <w:style w:styleId="Style_368" w:type="paragraph">
    <w:name w:val="Font Style21"/>
    <w:link w:val="Style_368_ch"/>
    <w:rPr>
      <w:sz w:val="14"/>
    </w:rPr>
  </w:style>
  <w:style w:styleId="Style_368_ch" w:type="character">
    <w:name w:val="Font Style21"/>
    <w:link w:val="Style_368"/>
    <w:rPr>
      <w:sz w:val="14"/>
    </w:rPr>
  </w:style>
  <w:style w:styleId="Style_369" w:type="paragraph">
    <w:name w:val="Font Style178"/>
    <w:link w:val="Style_369_ch"/>
    <w:rPr>
      <w:rFonts w:ascii="Arial" w:hAnsi="Arial"/>
      <w:b w:val="1"/>
      <w:sz w:val="18"/>
    </w:rPr>
  </w:style>
  <w:style w:styleId="Style_369_ch" w:type="character">
    <w:name w:val="Font Style178"/>
    <w:link w:val="Style_369"/>
    <w:rPr>
      <w:rFonts w:ascii="Arial" w:hAnsi="Arial"/>
      <w:b w:val="1"/>
      <w:sz w:val="18"/>
    </w:rPr>
  </w:style>
  <w:style w:styleId="Style_370" w:type="paragraph">
    <w:name w:val="Font Style168"/>
    <w:link w:val="Style_370_ch"/>
    <w:rPr>
      <w:rFonts w:ascii="Franklin Gothic Demi" w:hAnsi="Franklin Gothic Demi"/>
      <w:sz w:val="52"/>
    </w:rPr>
  </w:style>
  <w:style w:styleId="Style_370_ch" w:type="character">
    <w:name w:val="Font Style168"/>
    <w:link w:val="Style_370"/>
    <w:rPr>
      <w:rFonts w:ascii="Franklin Gothic Demi" w:hAnsi="Franklin Gothic Demi"/>
      <w:sz w:val="52"/>
    </w:rPr>
  </w:style>
  <w:style w:styleId="Style_371" w:type="paragraph">
    <w:name w:val="xl129"/>
    <w:basedOn w:val="Style_10"/>
    <w:link w:val="Style_371_ch"/>
    <w:pPr>
      <w:spacing w:after="280" w:before="280" w:line="240" w:lineRule="auto"/>
      <w:ind/>
      <w:jc w:val="center"/>
    </w:pPr>
    <w:rPr>
      <w:sz w:val="18"/>
    </w:rPr>
  </w:style>
  <w:style w:styleId="Style_371_ch" w:type="character">
    <w:name w:val="xl129"/>
    <w:basedOn w:val="Style_10_ch"/>
    <w:link w:val="Style_371"/>
    <w:rPr>
      <w:sz w:val="18"/>
    </w:rPr>
  </w:style>
  <w:style w:styleId="Style_372" w:type="paragraph">
    <w:name w:val="Style39"/>
    <w:basedOn w:val="Style_10"/>
    <w:link w:val="Style_372_ch"/>
    <w:pPr>
      <w:widowControl w:val="0"/>
      <w:spacing w:after="0" w:line="113" w:lineRule="exact"/>
      <w:ind/>
      <w:jc w:val="center"/>
    </w:pPr>
    <w:rPr>
      <w:sz w:val="24"/>
    </w:rPr>
  </w:style>
  <w:style w:styleId="Style_372_ch" w:type="character">
    <w:name w:val="Style39"/>
    <w:basedOn w:val="Style_10_ch"/>
    <w:link w:val="Style_372"/>
    <w:rPr>
      <w:sz w:val="24"/>
    </w:rPr>
  </w:style>
  <w:style w:styleId="Style_373" w:type="paragraph">
    <w:name w:val="xl149"/>
    <w:basedOn w:val="Style_10"/>
    <w:link w:val="Style_373_ch"/>
    <w:pPr>
      <w:spacing w:after="280" w:before="280" w:line="240" w:lineRule="auto"/>
      <w:ind/>
      <w:jc w:val="center"/>
    </w:pPr>
    <w:rPr>
      <w:sz w:val="24"/>
    </w:rPr>
  </w:style>
  <w:style w:styleId="Style_373_ch" w:type="character">
    <w:name w:val="xl149"/>
    <w:basedOn w:val="Style_10_ch"/>
    <w:link w:val="Style_373"/>
    <w:rPr>
      <w:sz w:val="24"/>
    </w:rPr>
  </w:style>
  <w:style w:styleId="Style_374" w:type="paragraph">
    <w:name w:val="WW-???????? ????? 2"/>
    <w:basedOn w:val="Style_10"/>
    <w:link w:val="Style_374_ch"/>
    <w:pPr>
      <w:widowControl w:val="0"/>
      <w:spacing w:after="120" w:line="480" w:lineRule="auto"/>
      <w:ind/>
    </w:pPr>
    <w:rPr>
      <w:sz w:val="24"/>
    </w:rPr>
  </w:style>
  <w:style w:styleId="Style_374_ch" w:type="character">
    <w:name w:val="WW-???????? ????? 2"/>
    <w:basedOn w:val="Style_10_ch"/>
    <w:link w:val="Style_374"/>
    <w:rPr>
      <w:sz w:val="24"/>
    </w:rPr>
  </w:style>
  <w:style w:styleId="Style_375" w:type="paragraph">
    <w:name w:val="Style80"/>
    <w:basedOn w:val="Style_10"/>
    <w:link w:val="Style_375_ch"/>
    <w:pPr>
      <w:widowControl w:val="0"/>
      <w:spacing w:after="0" w:line="235" w:lineRule="exact"/>
      <w:ind/>
    </w:pPr>
    <w:rPr>
      <w:sz w:val="24"/>
    </w:rPr>
  </w:style>
  <w:style w:styleId="Style_375_ch" w:type="character">
    <w:name w:val="Style80"/>
    <w:basedOn w:val="Style_10_ch"/>
    <w:link w:val="Style_375"/>
    <w:rPr>
      <w:sz w:val="24"/>
    </w:rPr>
  </w:style>
  <w:style w:styleId="Style_376" w:type="paragraph">
    <w:name w:val="font212"/>
    <w:link w:val="Style_376_ch"/>
    <w:rPr>
      <w:vertAlign w:val="subscript"/>
    </w:rPr>
  </w:style>
  <w:style w:styleId="Style_376_ch" w:type="character">
    <w:name w:val="font212"/>
    <w:link w:val="Style_376"/>
    <w:rPr>
      <w:vertAlign w:val="subscript"/>
    </w:rPr>
  </w:style>
  <w:style w:styleId="Style_377" w:type="paragraph">
    <w:name w:val="WW8Num58z1"/>
    <w:link w:val="Style_377_ch"/>
  </w:style>
  <w:style w:styleId="Style_377_ch" w:type="character">
    <w:name w:val="WW8Num58z1"/>
    <w:link w:val="Style_377"/>
  </w:style>
  <w:style w:styleId="Style_378" w:type="paragraph">
    <w:name w:val="WW-Обычный (веб)1"/>
    <w:basedOn w:val="Style_10"/>
    <w:link w:val="Style_378_ch"/>
    <w:pPr>
      <w:widowControl w:val="0"/>
      <w:spacing w:after="119" w:before="100" w:line="240" w:lineRule="auto"/>
      <w:ind/>
    </w:pPr>
    <w:rPr>
      <w:sz w:val="24"/>
    </w:rPr>
  </w:style>
  <w:style w:styleId="Style_378_ch" w:type="character">
    <w:name w:val="WW-Обычный (веб)1"/>
    <w:basedOn w:val="Style_10_ch"/>
    <w:link w:val="Style_378"/>
    <w:rPr>
      <w:sz w:val="24"/>
    </w:rPr>
  </w:style>
  <w:style w:styleId="Style_379" w:type="paragraph">
    <w:name w:val="Font Style189"/>
    <w:link w:val="Style_379_ch"/>
    <w:rPr>
      <w:rFonts w:ascii="Arial" w:hAnsi="Arial"/>
      <w:b w:val="1"/>
      <w:sz w:val="14"/>
    </w:rPr>
  </w:style>
  <w:style w:styleId="Style_379_ch" w:type="character">
    <w:name w:val="Font Style189"/>
    <w:link w:val="Style_379"/>
    <w:rPr>
      <w:rFonts w:ascii="Arial" w:hAnsi="Arial"/>
      <w:b w:val="1"/>
      <w:sz w:val="14"/>
    </w:rPr>
  </w:style>
  <w:style w:styleId="Style_380" w:type="paragraph">
    <w:name w:val="font8"/>
    <w:basedOn w:val="Style_10"/>
    <w:link w:val="Style_380_ch"/>
    <w:pPr>
      <w:spacing w:after="280" w:before="280" w:line="240" w:lineRule="auto"/>
      <w:ind/>
    </w:pPr>
    <w:rPr>
      <w:rFonts w:ascii="Tahoma" w:hAnsi="Tahoma"/>
      <w:b w:val="1"/>
      <w:sz w:val="20"/>
    </w:rPr>
  </w:style>
  <w:style w:styleId="Style_380_ch" w:type="character">
    <w:name w:val="font8"/>
    <w:basedOn w:val="Style_10_ch"/>
    <w:link w:val="Style_380"/>
    <w:rPr>
      <w:rFonts w:ascii="Tahoma" w:hAnsi="Tahoma"/>
      <w:b w:val="1"/>
      <w:sz w:val="20"/>
    </w:rPr>
  </w:style>
  <w:style w:styleId="Style_381" w:type="paragraph">
    <w:name w:val="Список 2.литература"/>
    <w:basedOn w:val="Style_10"/>
    <w:link w:val="Style_381_ch"/>
    <w:pPr>
      <w:spacing w:after="120" w:before="120" w:line="300" w:lineRule="auto"/>
      <w:ind w:hanging="284" w:left="284"/>
      <w:jc w:val="both"/>
    </w:pPr>
    <w:rPr>
      <w:sz w:val="24"/>
    </w:rPr>
  </w:style>
  <w:style w:styleId="Style_381_ch" w:type="character">
    <w:name w:val="Список 2.литература"/>
    <w:basedOn w:val="Style_10_ch"/>
    <w:link w:val="Style_381"/>
    <w:rPr>
      <w:sz w:val="24"/>
    </w:rPr>
  </w:style>
  <w:style w:styleId="Style_382" w:type="paragraph">
    <w:name w:val="font13"/>
    <w:basedOn w:val="Style_10"/>
    <w:link w:val="Style_382_ch"/>
    <w:pPr>
      <w:spacing w:afterAutospacing="on" w:beforeAutospacing="on" w:line="240" w:lineRule="auto"/>
      <w:ind/>
    </w:pPr>
    <w:rPr>
      <w:sz w:val="14"/>
    </w:rPr>
  </w:style>
  <w:style w:styleId="Style_382_ch" w:type="character">
    <w:name w:val="font13"/>
    <w:basedOn w:val="Style_10_ch"/>
    <w:link w:val="Style_382"/>
    <w:rPr>
      <w:sz w:val="14"/>
    </w:rPr>
  </w:style>
  <w:style w:styleId="Style_383" w:type="paragraph">
    <w:name w:val="WW8Num24z3"/>
    <w:link w:val="Style_383_ch"/>
    <w:rPr>
      <w:rFonts w:ascii="Symbol" w:hAnsi="Symbol"/>
    </w:rPr>
  </w:style>
  <w:style w:styleId="Style_383_ch" w:type="character">
    <w:name w:val="WW8Num24z3"/>
    <w:link w:val="Style_383"/>
    <w:rPr>
      <w:rFonts w:ascii="Symbol" w:hAnsi="Symbol"/>
    </w:rPr>
  </w:style>
  <w:style w:styleId="Style_384" w:type="paragraph">
    <w:name w:val="xl122"/>
    <w:basedOn w:val="Style_10"/>
    <w:link w:val="Style_384_ch"/>
    <w:pPr>
      <w:spacing w:afterAutospacing="on" w:beforeAutospacing="on" w:line="240" w:lineRule="auto"/>
      <w:ind/>
      <w:jc w:val="center"/>
    </w:pPr>
    <w:rPr>
      <w:sz w:val="24"/>
    </w:rPr>
  </w:style>
  <w:style w:styleId="Style_384_ch" w:type="character">
    <w:name w:val="xl122"/>
    <w:basedOn w:val="Style_10_ch"/>
    <w:link w:val="Style_384"/>
    <w:rPr>
      <w:sz w:val="24"/>
    </w:rPr>
  </w:style>
  <w:style w:styleId="Style_385" w:type="paragraph">
    <w:name w:val="Style120"/>
    <w:basedOn w:val="Style_10"/>
    <w:link w:val="Style_385_ch"/>
    <w:pPr>
      <w:widowControl w:val="0"/>
      <w:spacing w:after="0" w:line="240" w:lineRule="auto"/>
      <w:ind/>
    </w:pPr>
    <w:rPr>
      <w:sz w:val="24"/>
    </w:rPr>
  </w:style>
  <w:style w:styleId="Style_385_ch" w:type="character">
    <w:name w:val="Style120"/>
    <w:basedOn w:val="Style_10_ch"/>
    <w:link w:val="Style_385"/>
    <w:rPr>
      <w:sz w:val="24"/>
    </w:rPr>
  </w:style>
  <w:style w:styleId="Style_386" w:type="paragraph">
    <w:name w:val="Без интервала1"/>
    <w:link w:val="Style_386_ch"/>
    <w:pPr>
      <w:widowControl w:val="0"/>
      <w:spacing w:line="360" w:lineRule="atLeast"/>
      <w:ind w:firstLine="709" w:left="0"/>
      <w:jc w:val="both"/>
    </w:pPr>
    <w:rPr>
      <w:sz w:val="22"/>
    </w:rPr>
  </w:style>
  <w:style w:styleId="Style_386_ch" w:type="character">
    <w:name w:val="Без интервала1"/>
    <w:link w:val="Style_386"/>
    <w:rPr>
      <w:sz w:val="22"/>
    </w:rPr>
  </w:style>
  <w:style w:styleId="Style_387" w:type="paragraph">
    <w:name w:val="WW8Num3z1"/>
    <w:link w:val="Style_387_ch"/>
    <w:rPr>
      <w:rFonts w:ascii="Courier New" w:hAnsi="Courier New"/>
    </w:rPr>
  </w:style>
  <w:style w:styleId="Style_387_ch" w:type="character">
    <w:name w:val="WW8Num3z1"/>
    <w:link w:val="Style_387"/>
    <w:rPr>
      <w:rFonts w:ascii="Courier New" w:hAnsi="Courier New"/>
    </w:rPr>
  </w:style>
  <w:style w:styleId="Style_388" w:type="paragraph">
    <w:name w:val="Font Style129"/>
    <w:link w:val="Style_388_ch"/>
    <w:rPr>
      <w:spacing w:val="-10"/>
      <w:sz w:val="68"/>
    </w:rPr>
  </w:style>
  <w:style w:styleId="Style_388_ch" w:type="character">
    <w:name w:val="Font Style129"/>
    <w:link w:val="Style_388"/>
    <w:rPr>
      <w:spacing w:val="-10"/>
      <w:sz w:val="68"/>
    </w:rPr>
  </w:style>
  <w:style w:styleId="Style_389" w:type="paragraph">
    <w:name w:val="Font Style190"/>
    <w:link w:val="Style_389_ch"/>
    <w:rPr>
      <w:rFonts w:ascii="Arial" w:hAnsi="Arial"/>
      <w:sz w:val="14"/>
    </w:rPr>
  </w:style>
  <w:style w:styleId="Style_389_ch" w:type="character">
    <w:name w:val="Font Style190"/>
    <w:link w:val="Style_389"/>
    <w:rPr>
      <w:rFonts w:ascii="Arial" w:hAnsi="Arial"/>
      <w:sz w:val="14"/>
    </w:rPr>
  </w:style>
  <w:style w:styleId="Style_390" w:type="paragraph">
    <w:name w:val="WW8Num28z3"/>
    <w:link w:val="Style_390_ch"/>
    <w:rPr>
      <w:rFonts w:ascii="Symbol" w:hAnsi="Symbol"/>
    </w:rPr>
  </w:style>
  <w:style w:styleId="Style_390_ch" w:type="character">
    <w:name w:val="WW8Num28z3"/>
    <w:link w:val="Style_390"/>
    <w:rPr>
      <w:rFonts w:ascii="Symbol" w:hAnsi="Symbol"/>
    </w:rPr>
  </w:style>
  <w:style w:styleId="Style_391" w:type="paragraph">
    <w:name w:val="WW8Num51z0"/>
    <w:link w:val="Style_391_ch"/>
    <w:rPr>
      <w:rFonts w:ascii="Symbol" w:hAnsi="Symbol"/>
    </w:rPr>
  </w:style>
  <w:style w:styleId="Style_391_ch" w:type="character">
    <w:name w:val="WW8Num51z0"/>
    <w:link w:val="Style_391"/>
    <w:rPr>
      <w:rFonts w:ascii="Symbol" w:hAnsi="Symbol"/>
    </w:rPr>
  </w:style>
  <w:style w:styleId="Style_392" w:type="paragraph">
    <w:name w:val="WW8Num14z2"/>
    <w:link w:val="Style_392_ch"/>
    <w:rPr>
      <w:rFonts w:ascii="Wingdings" w:hAnsi="Wingdings"/>
    </w:rPr>
  </w:style>
  <w:style w:styleId="Style_392_ch" w:type="character">
    <w:name w:val="WW8Num14z2"/>
    <w:link w:val="Style_392"/>
    <w:rPr>
      <w:rFonts w:ascii="Wingdings" w:hAnsi="Wingdings"/>
    </w:rPr>
  </w:style>
  <w:style w:styleId="Style_393" w:type="paragraph">
    <w:name w:val="WW8Num49z2"/>
    <w:link w:val="Style_393_ch"/>
    <w:rPr>
      <w:rFonts w:ascii="Wingdings" w:hAnsi="Wingdings"/>
    </w:rPr>
  </w:style>
  <w:style w:styleId="Style_393_ch" w:type="character">
    <w:name w:val="WW8Num49z2"/>
    <w:link w:val="Style_393"/>
    <w:rPr>
      <w:rFonts w:ascii="Wingdings" w:hAnsi="Wingdings"/>
    </w:rPr>
  </w:style>
  <w:style w:styleId="Style_394" w:type="paragraph">
    <w:name w:val="УГТП-Наименование объекта"/>
    <w:basedOn w:val="Style_1"/>
    <w:link w:val="Style_394_ch"/>
    <w:pPr>
      <w:spacing w:after="0" w:line="240" w:lineRule="auto"/>
      <w:ind/>
      <w:jc w:val="center"/>
    </w:pPr>
    <w:rPr>
      <w:rFonts w:ascii="Arial" w:hAnsi="Arial"/>
      <w:sz w:val="20"/>
    </w:rPr>
  </w:style>
  <w:style w:styleId="Style_394_ch" w:type="character">
    <w:name w:val="УГТП-Наименование объекта"/>
    <w:basedOn w:val="Style_1_ch"/>
    <w:link w:val="Style_394"/>
    <w:rPr>
      <w:rFonts w:ascii="Arial" w:hAnsi="Arial"/>
      <w:sz w:val="20"/>
    </w:rPr>
  </w:style>
  <w:style w:styleId="Style_395" w:type="paragraph">
    <w:name w:val="Знак Знак2"/>
    <w:link w:val="Style_395_ch"/>
    <w:rPr>
      <w:rFonts w:ascii="Arial" w:hAnsi="Arial"/>
      <w:b w:val="1"/>
      <w:sz w:val="26"/>
    </w:rPr>
  </w:style>
  <w:style w:styleId="Style_395_ch" w:type="character">
    <w:name w:val="Знак Знак2"/>
    <w:link w:val="Style_395"/>
    <w:rPr>
      <w:rFonts w:ascii="Arial" w:hAnsi="Arial"/>
      <w:b w:val="1"/>
      <w:sz w:val="26"/>
    </w:rPr>
  </w:style>
  <w:style w:styleId="Style_396" w:type="paragraph">
    <w:name w:val="Гиперссылка1"/>
    <w:link w:val="Style_396_ch"/>
    <w:rPr>
      <w:color w:val="0000FF"/>
      <w:u w:val="single"/>
    </w:rPr>
  </w:style>
  <w:style w:styleId="Style_396_ch" w:type="character">
    <w:name w:val="Гиперссылка1"/>
    <w:link w:val="Style_396"/>
    <w:rPr>
      <w:color w:val="0000FF"/>
      <w:u w:val="single"/>
    </w:rPr>
  </w:style>
  <w:style w:styleId="Style_397" w:type="paragraph">
    <w:name w:val="xl175"/>
    <w:basedOn w:val="Style_10"/>
    <w:link w:val="Style_397_ch"/>
    <w:pPr>
      <w:spacing w:after="280" w:before="280" w:line="240" w:lineRule="auto"/>
      <w:ind/>
      <w:jc w:val="center"/>
    </w:pPr>
    <w:rPr>
      <w:b w:val="1"/>
      <w:sz w:val="24"/>
    </w:rPr>
  </w:style>
  <w:style w:styleId="Style_397_ch" w:type="character">
    <w:name w:val="xl175"/>
    <w:basedOn w:val="Style_10_ch"/>
    <w:link w:val="Style_397"/>
    <w:rPr>
      <w:b w:val="1"/>
      <w:sz w:val="24"/>
    </w:rPr>
  </w:style>
  <w:style w:styleId="Style_398" w:type="paragraph">
    <w:name w:val="Style127"/>
    <w:basedOn w:val="Style_10"/>
    <w:link w:val="Style_398_ch"/>
    <w:pPr>
      <w:widowControl w:val="0"/>
      <w:spacing w:after="0" w:line="307" w:lineRule="exact"/>
      <w:ind/>
      <w:jc w:val="right"/>
    </w:pPr>
    <w:rPr>
      <w:sz w:val="24"/>
    </w:rPr>
  </w:style>
  <w:style w:styleId="Style_398_ch" w:type="character">
    <w:name w:val="Style127"/>
    <w:basedOn w:val="Style_10_ch"/>
    <w:link w:val="Style_398"/>
    <w:rPr>
      <w:sz w:val="24"/>
    </w:rPr>
  </w:style>
  <w:style w:styleId="Style_399" w:type="paragraph">
    <w:name w:val="???????? ????? ? ???????? 2"/>
    <w:basedOn w:val="Style_10"/>
    <w:link w:val="Style_399_ch"/>
    <w:pPr>
      <w:spacing w:after="0" w:line="240" w:lineRule="auto"/>
      <w:ind w:firstLine="0" w:left="214"/>
    </w:pPr>
    <w:rPr>
      <w:rFonts w:ascii="SchoolBook" w:hAnsi="SchoolBook"/>
      <w:sz w:val="24"/>
    </w:rPr>
  </w:style>
  <w:style w:styleId="Style_399_ch" w:type="character">
    <w:name w:val="???????? ????? ? ???????? 2"/>
    <w:basedOn w:val="Style_10_ch"/>
    <w:link w:val="Style_399"/>
    <w:rPr>
      <w:rFonts w:ascii="SchoolBook" w:hAnsi="SchoolBook"/>
      <w:sz w:val="24"/>
    </w:rPr>
  </w:style>
  <w:style w:styleId="Style_400" w:type="paragraph">
    <w:name w:val="WW-Заголовок таблицы"/>
    <w:basedOn w:val="Style_401"/>
    <w:link w:val="Style_400_ch"/>
    <w:pPr>
      <w:ind/>
      <w:jc w:val="center"/>
    </w:pPr>
    <w:rPr>
      <w:b w:val="1"/>
      <w:i w:val="1"/>
    </w:rPr>
  </w:style>
  <w:style w:styleId="Style_400_ch" w:type="character">
    <w:name w:val="WW-Заголовок таблицы"/>
    <w:basedOn w:val="Style_401_ch"/>
    <w:link w:val="Style_400"/>
    <w:rPr>
      <w:b w:val="1"/>
      <w:i w:val="1"/>
    </w:rPr>
  </w:style>
  <w:style w:styleId="Style_402" w:type="paragraph">
    <w:name w:val="Style26"/>
    <w:basedOn w:val="Style_10"/>
    <w:link w:val="Style_402_ch"/>
    <w:pPr>
      <w:widowControl w:val="0"/>
      <w:spacing w:after="0" w:line="240" w:lineRule="auto"/>
      <w:ind/>
      <w:jc w:val="center"/>
    </w:pPr>
    <w:rPr>
      <w:sz w:val="24"/>
    </w:rPr>
  </w:style>
  <w:style w:styleId="Style_402_ch" w:type="character">
    <w:name w:val="Style26"/>
    <w:basedOn w:val="Style_10_ch"/>
    <w:link w:val="Style_402"/>
    <w:rPr>
      <w:sz w:val="24"/>
    </w:rPr>
  </w:style>
  <w:style w:styleId="Style_403" w:type="paragraph">
    <w:name w:val="Style10"/>
    <w:basedOn w:val="Style_10"/>
    <w:link w:val="Style_403_ch"/>
    <w:pPr>
      <w:widowControl w:val="0"/>
      <w:spacing w:after="0" w:line="322" w:lineRule="exact"/>
      <w:ind/>
      <w:jc w:val="both"/>
    </w:pPr>
    <w:rPr>
      <w:sz w:val="24"/>
    </w:rPr>
  </w:style>
  <w:style w:styleId="Style_403_ch" w:type="character">
    <w:name w:val="Style10"/>
    <w:basedOn w:val="Style_10_ch"/>
    <w:link w:val="Style_403"/>
    <w:rPr>
      <w:sz w:val="24"/>
    </w:rPr>
  </w:style>
  <w:style w:styleId="Style_404" w:type="paragraph">
    <w:name w:val="WW-Absatz-Standardschriftart1"/>
    <w:link w:val="Style_404_ch"/>
  </w:style>
  <w:style w:styleId="Style_404_ch" w:type="character">
    <w:name w:val="WW-Absatz-Standardschriftart1"/>
    <w:link w:val="Style_404"/>
  </w:style>
  <w:style w:styleId="Style_405" w:type="paragraph">
    <w:name w:val="Font Style157"/>
    <w:link w:val="Style_405_ch"/>
    <w:rPr>
      <w:sz w:val="24"/>
    </w:rPr>
  </w:style>
  <w:style w:styleId="Style_405_ch" w:type="character">
    <w:name w:val="Font Style157"/>
    <w:link w:val="Style_405"/>
    <w:rPr>
      <w:sz w:val="24"/>
    </w:rPr>
  </w:style>
  <w:style w:styleId="Style_406" w:type="paragraph">
    <w:name w:val="WW8Num13z0"/>
    <w:link w:val="Style_406_ch"/>
    <w:rPr>
      <w:rFonts w:ascii="Courier New" w:hAnsi="Courier New"/>
    </w:rPr>
  </w:style>
  <w:style w:styleId="Style_406_ch" w:type="character">
    <w:name w:val="WW8Num13z0"/>
    <w:link w:val="Style_406"/>
    <w:rPr>
      <w:rFonts w:ascii="Courier New" w:hAnsi="Courier New"/>
    </w:rPr>
  </w:style>
  <w:style w:styleId="Style_407" w:type="paragraph">
    <w:name w:val="xl75"/>
    <w:basedOn w:val="Style_10"/>
    <w:link w:val="Style_407_ch"/>
    <w:pPr>
      <w:spacing w:afterAutospacing="on" w:beforeAutospacing="on" w:line="240" w:lineRule="auto"/>
      <w:ind/>
    </w:pPr>
    <w:rPr>
      <w:b w:val="1"/>
      <w:sz w:val="26"/>
    </w:rPr>
  </w:style>
  <w:style w:styleId="Style_407_ch" w:type="character">
    <w:name w:val="xl75"/>
    <w:basedOn w:val="Style_10_ch"/>
    <w:link w:val="Style_407"/>
    <w:rPr>
      <w:b w:val="1"/>
      <w:sz w:val="26"/>
    </w:rPr>
  </w:style>
  <w:style w:styleId="Style_408" w:type="paragraph">
    <w:name w:val="Основной шрифт абзаца4"/>
    <w:link w:val="Style_408_ch"/>
  </w:style>
  <w:style w:styleId="Style_408_ch" w:type="character">
    <w:name w:val="Основной шрифт абзаца4"/>
    <w:link w:val="Style_408"/>
  </w:style>
  <w:style w:styleId="Style_409" w:type="paragraph">
    <w:name w:val="ConsPlusTitle"/>
    <w:link w:val="Style_409_ch"/>
    <w:pPr>
      <w:widowControl w:val="0"/>
      <w:ind/>
    </w:pPr>
    <w:rPr>
      <w:b w:val="1"/>
      <w:sz w:val="24"/>
    </w:rPr>
  </w:style>
  <w:style w:styleId="Style_409_ch" w:type="character">
    <w:name w:val="ConsPlusTitle"/>
    <w:link w:val="Style_409"/>
    <w:rPr>
      <w:b w:val="1"/>
      <w:sz w:val="24"/>
    </w:rPr>
  </w:style>
  <w:style w:styleId="Style_410" w:type="paragraph">
    <w:name w:val="Font Style148"/>
    <w:link w:val="Style_410_ch"/>
    <w:rPr>
      <w:b w:val="1"/>
      <w:sz w:val="16"/>
    </w:rPr>
  </w:style>
  <w:style w:styleId="Style_410_ch" w:type="character">
    <w:name w:val="Font Style148"/>
    <w:link w:val="Style_410"/>
    <w:rPr>
      <w:b w:val="1"/>
      <w:sz w:val="16"/>
    </w:rPr>
  </w:style>
  <w:style w:styleId="Style_411" w:type="paragraph">
    <w:name w:val="xl81"/>
    <w:basedOn w:val="Style_10"/>
    <w:link w:val="Style_411_ch"/>
    <w:pPr>
      <w:spacing w:afterAutospacing="on" w:beforeAutospacing="on" w:line="240" w:lineRule="auto"/>
      <w:ind/>
      <w:jc w:val="center"/>
    </w:pPr>
    <w:rPr>
      <w:sz w:val="26"/>
    </w:rPr>
  </w:style>
  <w:style w:styleId="Style_411_ch" w:type="character">
    <w:name w:val="xl81"/>
    <w:basedOn w:val="Style_10_ch"/>
    <w:link w:val="Style_411"/>
    <w:rPr>
      <w:sz w:val="26"/>
    </w:rPr>
  </w:style>
  <w:style w:styleId="Style_412" w:type="paragraph">
    <w:name w:val="Style59"/>
    <w:basedOn w:val="Style_10"/>
    <w:link w:val="Style_412_ch"/>
    <w:pPr>
      <w:widowControl w:val="0"/>
      <w:spacing w:after="0" w:line="240" w:lineRule="auto"/>
      <w:ind/>
      <w:jc w:val="center"/>
    </w:pPr>
    <w:rPr>
      <w:sz w:val="24"/>
    </w:rPr>
  </w:style>
  <w:style w:styleId="Style_412_ch" w:type="character">
    <w:name w:val="Style59"/>
    <w:basedOn w:val="Style_10_ch"/>
    <w:link w:val="Style_412"/>
    <w:rPr>
      <w:sz w:val="24"/>
    </w:rPr>
  </w:style>
  <w:style w:styleId="Style_413" w:type="paragraph">
    <w:name w:val="Font Style158"/>
    <w:link w:val="Style_413_ch"/>
    <w:rPr>
      <w:b w:val="1"/>
      <w:sz w:val="22"/>
    </w:rPr>
  </w:style>
  <w:style w:styleId="Style_413_ch" w:type="character">
    <w:name w:val="Font Style158"/>
    <w:link w:val="Style_413"/>
    <w:rPr>
      <w:b w:val="1"/>
      <w:sz w:val="22"/>
    </w:rPr>
  </w:style>
  <w:style w:styleId="Style_414" w:type="paragraph">
    <w:name w:val="Font Style138"/>
    <w:link w:val="Style_414_ch"/>
    <w:rPr>
      <w:rFonts w:ascii="Arial" w:hAnsi="Arial"/>
      <w:sz w:val="22"/>
    </w:rPr>
  </w:style>
  <w:style w:styleId="Style_414_ch" w:type="character">
    <w:name w:val="Font Style138"/>
    <w:link w:val="Style_414"/>
    <w:rPr>
      <w:rFonts w:ascii="Arial" w:hAnsi="Arial"/>
      <w:sz w:val="22"/>
    </w:rPr>
  </w:style>
  <w:style w:styleId="Style_415" w:type="paragraph">
    <w:name w:val="WW8Num561z2"/>
    <w:link w:val="Style_415_ch"/>
    <w:rPr>
      <w:rFonts w:ascii="Wingdings" w:hAnsi="Wingdings"/>
    </w:rPr>
  </w:style>
  <w:style w:styleId="Style_415_ch" w:type="character">
    <w:name w:val="WW8Num561z2"/>
    <w:link w:val="Style_415"/>
    <w:rPr>
      <w:rFonts w:ascii="Wingdings" w:hAnsi="Wingdings"/>
    </w:rPr>
  </w:style>
  <w:style w:styleId="Style_416" w:type="paragraph">
    <w:name w:val="WW8Num56z2"/>
    <w:link w:val="Style_416_ch"/>
    <w:rPr>
      <w:rFonts w:ascii="Wingdings" w:hAnsi="Wingdings"/>
    </w:rPr>
  </w:style>
  <w:style w:styleId="Style_416_ch" w:type="character">
    <w:name w:val="WW8Num56z2"/>
    <w:link w:val="Style_416"/>
    <w:rPr>
      <w:rFonts w:ascii="Wingdings" w:hAnsi="Wingdings"/>
    </w:rPr>
  </w:style>
  <w:style w:styleId="Style_417" w:type="paragraph">
    <w:name w:val="WW8Num11z2"/>
    <w:link w:val="Style_417_ch"/>
    <w:rPr>
      <w:rFonts w:ascii="Wingdings" w:hAnsi="Wingdings"/>
    </w:rPr>
  </w:style>
  <w:style w:styleId="Style_417_ch" w:type="character">
    <w:name w:val="WW8Num11z2"/>
    <w:link w:val="Style_417"/>
    <w:rPr>
      <w:rFonts w:ascii="Wingdings" w:hAnsi="Wingdings"/>
    </w:rPr>
  </w:style>
  <w:style w:styleId="Style_418" w:type="paragraph">
    <w:name w:val="xl25"/>
    <w:basedOn w:val="Style_10"/>
    <w:link w:val="Style_418_ch"/>
    <w:pPr>
      <w:spacing w:after="280" w:before="280" w:line="360" w:lineRule="atLeast"/>
      <w:ind w:firstLine="709" w:left="0"/>
      <w:jc w:val="both"/>
    </w:pPr>
    <w:rPr>
      <w:rFonts w:ascii="Arial CYR" w:hAnsi="Arial CYR"/>
      <w:sz w:val="24"/>
    </w:rPr>
  </w:style>
  <w:style w:styleId="Style_418_ch" w:type="character">
    <w:name w:val="xl25"/>
    <w:basedOn w:val="Style_10_ch"/>
    <w:link w:val="Style_418"/>
    <w:rPr>
      <w:rFonts w:ascii="Arial CYR" w:hAnsi="Arial CYR"/>
      <w:sz w:val="24"/>
    </w:rPr>
  </w:style>
  <w:style w:styleId="Style_419" w:type="paragraph">
    <w:name w:val="WW-Красная строка 2"/>
    <w:basedOn w:val="Style_148"/>
    <w:link w:val="Style_419_ch"/>
    <w:pPr>
      <w:spacing w:after="120" w:line="240" w:lineRule="auto"/>
      <w:ind w:firstLine="210" w:left="283"/>
      <w:jc w:val="left"/>
    </w:pPr>
    <w:rPr>
      <w:rFonts w:ascii="Times New Roman" w:hAnsi="Times New Roman"/>
      <w:sz w:val="20"/>
    </w:rPr>
  </w:style>
  <w:style w:styleId="Style_419_ch" w:type="character">
    <w:name w:val="WW-Красная строка 2"/>
    <w:basedOn w:val="Style_148_ch"/>
    <w:link w:val="Style_419"/>
    <w:rPr>
      <w:rFonts w:ascii="Times New Roman" w:hAnsi="Times New Roman"/>
      <w:sz w:val="20"/>
    </w:rPr>
  </w:style>
  <w:style w:styleId="Style_420" w:type="paragraph">
    <w:name w:val="WW-Основной текст 311"/>
    <w:basedOn w:val="Style_10"/>
    <w:link w:val="Style_420_ch"/>
    <w:pPr>
      <w:spacing w:after="0" w:line="240" w:lineRule="auto"/>
      <w:ind/>
    </w:pPr>
    <w:rPr>
      <w:rFonts w:ascii="SchoolBook" w:hAnsi="SchoolBook"/>
      <w:sz w:val="24"/>
    </w:rPr>
  </w:style>
  <w:style w:styleId="Style_420_ch" w:type="character">
    <w:name w:val="WW-Основной текст 311"/>
    <w:basedOn w:val="Style_10_ch"/>
    <w:link w:val="Style_420"/>
    <w:rPr>
      <w:rFonts w:ascii="SchoolBook" w:hAnsi="SchoolBook"/>
      <w:sz w:val="24"/>
    </w:rPr>
  </w:style>
  <w:style w:styleId="Style_421" w:type="paragraph">
    <w:name w:val="xl79"/>
    <w:basedOn w:val="Style_10"/>
    <w:link w:val="Style_421_ch"/>
    <w:pPr>
      <w:spacing w:afterAutospacing="on" w:beforeAutospacing="on" w:line="240" w:lineRule="auto"/>
      <w:ind/>
      <w:jc w:val="center"/>
    </w:pPr>
    <w:rPr>
      <w:sz w:val="26"/>
    </w:rPr>
  </w:style>
  <w:style w:styleId="Style_421_ch" w:type="character">
    <w:name w:val="xl79"/>
    <w:basedOn w:val="Style_10_ch"/>
    <w:link w:val="Style_421"/>
    <w:rPr>
      <w:sz w:val="26"/>
    </w:rPr>
  </w:style>
  <w:style w:styleId="Style_422" w:type="paragraph">
    <w:name w:val="font31"/>
    <w:link w:val="Style_422_ch"/>
  </w:style>
  <w:style w:styleId="Style_422_ch" w:type="character">
    <w:name w:val="font31"/>
    <w:link w:val="Style_422"/>
  </w:style>
  <w:style w:styleId="Style_423" w:type="paragraph">
    <w:name w:val="WW-Absatz-Standardschriftart1111111111111111111"/>
    <w:link w:val="Style_423_ch"/>
  </w:style>
  <w:style w:styleId="Style_423_ch" w:type="character">
    <w:name w:val="WW-Absatz-Standardschriftart1111111111111111111"/>
    <w:link w:val="Style_423"/>
  </w:style>
  <w:style w:styleId="Style_424" w:type="paragraph">
    <w:name w:val="WW8Num24z2"/>
    <w:link w:val="Style_424_ch"/>
    <w:rPr>
      <w:rFonts w:ascii="Wingdings" w:hAnsi="Wingdings"/>
    </w:rPr>
  </w:style>
  <w:style w:styleId="Style_424_ch" w:type="character">
    <w:name w:val="WW8Num24z2"/>
    <w:link w:val="Style_424"/>
    <w:rPr>
      <w:rFonts w:ascii="Wingdings" w:hAnsi="Wingdings"/>
    </w:rPr>
  </w:style>
  <w:style w:styleId="Style_425" w:type="paragraph">
    <w:name w:val="Font Style153"/>
    <w:link w:val="Style_425_ch"/>
    <w:rPr>
      <w:sz w:val="24"/>
    </w:rPr>
  </w:style>
  <w:style w:styleId="Style_425_ch" w:type="character">
    <w:name w:val="Font Style153"/>
    <w:link w:val="Style_425"/>
    <w:rPr>
      <w:sz w:val="24"/>
    </w:rPr>
  </w:style>
  <w:style w:styleId="Style_426" w:type="paragraph">
    <w:name w:val="Style79"/>
    <w:basedOn w:val="Style_10"/>
    <w:link w:val="Style_426_ch"/>
    <w:pPr>
      <w:widowControl w:val="0"/>
      <w:spacing w:after="0" w:line="365" w:lineRule="exact"/>
      <w:ind/>
      <w:jc w:val="both"/>
    </w:pPr>
    <w:rPr>
      <w:sz w:val="24"/>
    </w:rPr>
  </w:style>
  <w:style w:styleId="Style_426_ch" w:type="character">
    <w:name w:val="Style79"/>
    <w:basedOn w:val="Style_10_ch"/>
    <w:link w:val="Style_426"/>
    <w:rPr>
      <w:sz w:val="24"/>
    </w:rPr>
  </w:style>
  <w:style w:styleId="Style_427" w:type="paragraph">
    <w:name w:val="FR2"/>
    <w:link w:val="Style_427_ch"/>
    <w:pPr>
      <w:widowControl w:val="0"/>
      <w:spacing w:line="360" w:lineRule="atLeast"/>
      <w:ind w:firstLine="709" w:left="0"/>
      <w:jc w:val="both"/>
    </w:pPr>
    <w:rPr>
      <w:sz w:val="28"/>
    </w:rPr>
  </w:style>
  <w:style w:styleId="Style_427_ch" w:type="character">
    <w:name w:val="FR2"/>
    <w:link w:val="Style_427"/>
    <w:rPr>
      <w:sz w:val="28"/>
    </w:rPr>
  </w:style>
  <w:style w:styleId="Style_428" w:type="paragraph">
    <w:name w:val="Обычный2"/>
    <w:link w:val="Style_428_ch"/>
    <w:rPr>
      <w:sz w:val="24"/>
    </w:rPr>
  </w:style>
  <w:style w:styleId="Style_428_ch" w:type="character">
    <w:name w:val="Обычный2"/>
    <w:link w:val="Style_428"/>
    <w:rPr>
      <w:sz w:val="24"/>
    </w:rPr>
  </w:style>
  <w:style w:styleId="Style_429" w:type="paragraph">
    <w:name w:val="xl45"/>
    <w:basedOn w:val="Style_10"/>
    <w:link w:val="Style_429_ch"/>
    <w:pPr>
      <w:spacing w:after="280" w:before="280" w:line="360" w:lineRule="atLeast"/>
      <w:ind w:firstLine="709" w:left="0"/>
      <w:jc w:val="both"/>
    </w:pPr>
    <w:rPr>
      <w:rFonts w:ascii="Arial Narrow" w:hAnsi="Arial Narrow"/>
      <w:sz w:val="24"/>
    </w:rPr>
  </w:style>
  <w:style w:styleId="Style_429_ch" w:type="character">
    <w:name w:val="xl45"/>
    <w:basedOn w:val="Style_10_ch"/>
    <w:link w:val="Style_429"/>
    <w:rPr>
      <w:rFonts w:ascii="Arial Narrow" w:hAnsi="Arial Narrow"/>
      <w:sz w:val="24"/>
    </w:rPr>
  </w:style>
  <w:style w:styleId="Style_430" w:type="paragraph">
    <w:name w:val="Font Style118"/>
    <w:link w:val="Style_430_ch"/>
    <w:rPr>
      <w:rFonts w:ascii="Arial" w:hAnsi="Arial"/>
      <w:sz w:val="18"/>
    </w:rPr>
  </w:style>
  <w:style w:styleId="Style_430_ch" w:type="character">
    <w:name w:val="Font Style118"/>
    <w:link w:val="Style_430"/>
    <w:rPr>
      <w:rFonts w:ascii="Arial" w:hAnsi="Arial"/>
      <w:sz w:val="18"/>
    </w:rPr>
  </w:style>
  <w:style w:styleId="Style_431" w:type="paragraph">
    <w:name w:val="Знак1 Знак Знак Знак"/>
    <w:basedOn w:val="Style_10"/>
    <w:link w:val="Style_431_ch"/>
    <w:pPr>
      <w:spacing w:after="0" w:line="360" w:lineRule="atLeast"/>
      <w:ind w:firstLine="709" w:left="0"/>
      <w:jc w:val="both"/>
    </w:pPr>
    <w:rPr>
      <w:rFonts w:ascii="Verdana" w:hAnsi="Verdana"/>
      <w:sz w:val="20"/>
    </w:rPr>
  </w:style>
  <w:style w:styleId="Style_431_ch" w:type="character">
    <w:name w:val="Знак1 Знак Знак Знак"/>
    <w:basedOn w:val="Style_10_ch"/>
    <w:link w:val="Style_431"/>
    <w:rPr>
      <w:rFonts w:ascii="Verdana" w:hAnsi="Verdana"/>
      <w:sz w:val="20"/>
    </w:rPr>
  </w:style>
  <w:style w:styleId="Style_432" w:type="paragraph">
    <w:name w:val="xl43"/>
    <w:basedOn w:val="Style_10"/>
    <w:link w:val="Style_432_ch"/>
    <w:pPr>
      <w:spacing w:after="280" w:before="280" w:line="360" w:lineRule="atLeast"/>
      <w:ind w:firstLine="709" w:left="0"/>
      <w:jc w:val="both"/>
    </w:pPr>
    <w:rPr>
      <w:sz w:val="24"/>
    </w:rPr>
  </w:style>
  <w:style w:styleId="Style_432_ch" w:type="character">
    <w:name w:val="xl43"/>
    <w:basedOn w:val="Style_10_ch"/>
    <w:link w:val="Style_432"/>
    <w:rPr>
      <w:sz w:val="24"/>
    </w:rPr>
  </w:style>
  <w:style w:styleId="Style_433" w:type="paragraph">
    <w:name w:val="WW8Num7z0"/>
    <w:link w:val="Style_433_ch"/>
    <w:rPr>
      <w:rFonts w:ascii="Courier New" w:hAnsi="Courier New"/>
    </w:rPr>
  </w:style>
  <w:style w:styleId="Style_433_ch" w:type="character">
    <w:name w:val="WW8Num7z0"/>
    <w:link w:val="Style_433"/>
    <w:rPr>
      <w:rFonts w:ascii="Courier New" w:hAnsi="Courier New"/>
    </w:rPr>
  </w:style>
  <w:style w:styleId="Style_434" w:type="paragraph">
    <w:name w:val="Главы"/>
    <w:basedOn w:val="Style_436"/>
    <w:next w:val="Style_435"/>
    <w:link w:val="Style_434_ch"/>
    <w:pPr>
      <w:widowControl w:val="0"/>
      <w:spacing w:after="0" w:before="0"/>
      <w:ind/>
      <w:jc w:val="center"/>
    </w:pPr>
    <w:rPr>
      <w:rFonts w:ascii="Times New Roman" w:hAnsi="Times New Roman"/>
      <w:i w:val="0"/>
      <w:sz w:val="24"/>
    </w:rPr>
  </w:style>
  <w:style w:styleId="Style_434_ch" w:type="character">
    <w:name w:val="Главы"/>
    <w:basedOn w:val="Style_436_ch"/>
    <w:link w:val="Style_434"/>
    <w:rPr>
      <w:rFonts w:ascii="Times New Roman" w:hAnsi="Times New Roman"/>
      <w:i w:val="0"/>
      <w:sz w:val="24"/>
    </w:rPr>
  </w:style>
  <w:style w:styleId="Style_437" w:type="paragraph">
    <w:name w:val="S_Маркированный Знак Знак"/>
    <w:link w:val="Style_437_ch"/>
    <w:rPr>
      <w:sz w:val="24"/>
    </w:rPr>
  </w:style>
  <w:style w:styleId="Style_437_ch" w:type="character">
    <w:name w:val="S_Маркированный Знак Знак"/>
    <w:link w:val="Style_437"/>
    <w:rPr>
      <w:sz w:val="24"/>
    </w:rPr>
  </w:style>
  <w:style w:styleId="Style_438" w:type="paragraph">
    <w:name w:val="Font Style128"/>
    <w:link w:val="Style_438_ch"/>
    <w:rPr>
      <w:rFonts w:ascii="Arial" w:hAnsi="Arial"/>
      <w:b w:val="1"/>
      <w:sz w:val="10"/>
    </w:rPr>
  </w:style>
  <w:style w:styleId="Style_438_ch" w:type="character">
    <w:name w:val="Font Style128"/>
    <w:link w:val="Style_438"/>
    <w:rPr>
      <w:rFonts w:ascii="Arial" w:hAnsi="Arial"/>
      <w:b w:val="1"/>
      <w:sz w:val="10"/>
    </w:rPr>
  </w:style>
  <w:style w:styleId="Style_439" w:type="paragraph">
    <w:name w:val="WW8Num48z0"/>
    <w:link w:val="Style_439_ch"/>
  </w:style>
  <w:style w:styleId="Style_439_ch" w:type="character">
    <w:name w:val="WW8Num48z0"/>
    <w:link w:val="Style_439"/>
  </w:style>
  <w:style w:styleId="Style_440" w:type="paragraph">
    <w:name w:val="xl50"/>
    <w:basedOn w:val="Style_10"/>
    <w:link w:val="Style_440_ch"/>
    <w:pPr>
      <w:spacing w:after="280" w:before="280" w:line="360" w:lineRule="atLeast"/>
      <w:ind w:firstLine="709" w:left="0"/>
      <w:jc w:val="both"/>
    </w:pPr>
    <w:rPr>
      <w:rFonts w:ascii="Arial" w:hAnsi="Arial"/>
      <w:sz w:val="24"/>
    </w:rPr>
  </w:style>
  <w:style w:styleId="Style_440_ch" w:type="character">
    <w:name w:val="xl50"/>
    <w:basedOn w:val="Style_10_ch"/>
    <w:link w:val="Style_440"/>
    <w:rPr>
      <w:rFonts w:ascii="Arial" w:hAnsi="Arial"/>
      <w:sz w:val="24"/>
    </w:rPr>
  </w:style>
  <w:style w:styleId="Style_441" w:type="paragraph">
    <w:name w:val="Font Style115"/>
    <w:link w:val="Style_441_ch"/>
    <w:rPr>
      <w:rFonts w:ascii="Arial" w:hAnsi="Arial"/>
      <w:b w:val="1"/>
      <w:sz w:val="32"/>
    </w:rPr>
  </w:style>
  <w:style w:styleId="Style_441_ch" w:type="character">
    <w:name w:val="Font Style115"/>
    <w:link w:val="Style_441"/>
    <w:rPr>
      <w:rFonts w:ascii="Arial" w:hAnsi="Arial"/>
      <w:b w:val="1"/>
      <w:sz w:val="32"/>
    </w:rPr>
  </w:style>
  <w:style w:styleId="Style_442" w:type="paragraph">
    <w:name w:val="Style46"/>
    <w:basedOn w:val="Style_10"/>
    <w:link w:val="Style_442_ch"/>
    <w:pPr>
      <w:widowControl w:val="0"/>
      <w:spacing w:after="0" w:line="322" w:lineRule="exact"/>
      <w:ind w:firstLine="355" w:left="0"/>
      <w:jc w:val="both"/>
    </w:pPr>
    <w:rPr>
      <w:sz w:val="24"/>
    </w:rPr>
  </w:style>
  <w:style w:styleId="Style_442_ch" w:type="character">
    <w:name w:val="Style46"/>
    <w:basedOn w:val="Style_10_ch"/>
    <w:link w:val="Style_442"/>
    <w:rPr>
      <w:sz w:val="24"/>
    </w:rPr>
  </w:style>
  <w:style w:styleId="Style_443" w:type="paragraph">
    <w:name w:val="Font Style42"/>
    <w:link w:val="Style_443_ch"/>
    <w:rPr>
      <w:sz w:val="18"/>
    </w:rPr>
  </w:style>
  <w:style w:styleId="Style_443_ch" w:type="character">
    <w:name w:val="Font Style42"/>
    <w:link w:val="Style_443"/>
    <w:rPr>
      <w:sz w:val="18"/>
    </w:rPr>
  </w:style>
  <w:style w:styleId="Style_444" w:type="paragraph">
    <w:name w:val="Style21"/>
    <w:basedOn w:val="Style_10"/>
    <w:link w:val="Style_444_ch"/>
    <w:pPr>
      <w:widowControl w:val="0"/>
      <w:spacing w:after="0" w:line="298" w:lineRule="exact"/>
      <w:ind w:hanging="149" w:left="149"/>
      <w:jc w:val="both"/>
    </w:pPr>
    <w:rPr>
      <w:sz w:val="24"/>
    </w:rPr>
  </w:style>
  <w:style w:styleId="Style_444_ch" w:type="character">
    <w:name w:val="Style21"/>
    <w:basedOn w:val="Style_10_ch"/>
    <w:link w:val="Style_444"/>
    <w:rPr>
      <w:sz w:val="24"/>
    </w:rPr>
  </w:style>
  <w:style w:styleId="Style_445" w:type="paragraph">
    <w:name w:val="Нижний колонтитул1"/>
    <w:link w:val="Style_445_ch"/>
  </w:style>
  <w:style w:styleId="Style_445_ch" w:type="character">
    <w:name w:val="Нижний колонтитул1"/>
    <w:link w:val="Style_445"/>
  </w:style>
  <w:style w:styleId="Style_446" w:type="paragraph">
    <w:name w:val="WW-Замещающий текст"/>
    <w:link w:val="Style_446_ch"/>
    <w:rPr>
      <w:color w:val="808080"/>
    </w:rPr>
  </w:style>
  <w:style w:styleId="Style_446_ch" w:type="character">
    <w:name w:val="WW-Замещающий текст"/>
    <w:link w:val="Style_446"/>
    <w:rPr>
      <w:color w:val="808080"/>
    </w:rPr>
  </w:style>
  <w:style w:styleId="Style_447" w:type="paragraph">
    <w:name w:val="Тема примечания Знак"/>
    <w:link w:val="Style_447_ch"/>
    <w:rPr>
      <w:b w:val="1"/>
    </w:rPr>
  </w:style>
  <w:style w:styleId="Style_447_ch" w:type="character">
    <w:name w:val="Тема примечания Знак"/>
    <w:link w:val="Style_447"/>
    <w:rPr>
      <w:b w:val="1"/>
    </w:rPr>
  </w:style>
  <w:style w:styleId="Style_448" w:type="paragraph">
    <w:name w:val="font24"/>
    <w:basedOn w:val="Style_10"/>
    <w:link w:val="Style_448_ch"/>
    <w:pPr>
      <w:spacing w:afterAutospacing="on" w:beforeAutospacing="on" w:line="240" w:lineRule="auto"/>
      <w:ind/>
    </w:pPr>
    <w:rPr>
      <w:b w:val="1"/>
      <w:color w:val="0000FF"/>
      <w:sz w:val="18"/>
    </w:rPr>
  </w:style>
  <w:style w:styleId="Style_448_ch" w:type="character">
    <w:name w:val="font24"/>
    <w:basedOn w:val="Style_10_ch"/>
    <w:link w:val="Style_448"/>
    <w:rPr>
      <w:b w:val="1"/>
      <w:color w:val="0000FF"/>
      <w:sz w:val="18"/>
    </w:rPr>
  </w:style>
  <w:style w:styleId="Style_449" w:type="paragraph">
    <w:name w:val="WW8Num513z2"/>
    <w:link w:val="Style_449_ch"/>
    <w:rPr>
      <w:rFonts w:ascii="Wingdings" w:hAnsi="Wingdings"/>
    </w:rPr>
  </w:style>
  <w:style w:styleId="Style_449_ch" w:type="character">
    <w:name w:val="WW8Num513z2"/>
    <w:link w:val="Style_449"/>
    <w:rPr>
      <w:rFonts w:ascii="Wingdings" w:hAnsi="Wingdings"/>
    </w:rPr>
  </w:style>
  <w:style w:styleId="Style_450" w:type="paragraph">
    <w:name w:val="ОсновнойтекстНПБ"/>
    <w:basedOn w:val="Style_10"/>
    <w:link w:val="Style_450_ch"/>
    <w:pPr>
      <w:spacing w:after="0" w:line="240" w:lineRule="auto"/>
      <w:ind w:firstLine="1134" w:left="0"/>
      <w:jc w:val="both"/>
    </w:pPr>
    <w:rPr>
      <w:rFonts w:ascii="Arial" w:hAnsi="Arial"/>
      <w:sz w:val="24"/>
    </w:rPr>
  </w:style>
  <w:style w:styleId="Style_450_ch" w:type="character">
    <w:name w:val="ОсновнойтекстНПБ"/>
    <w:basedOn w:val="Style_10_ch"/>
    <w:link w:val="Style_450"/>
    <w:rPr>
      <w:rFonts w:ascii="Arial" w:hAnsi="Arial"/>
      <w:sz w:val="24"/>
    </w:rPr>
  </w:style>
  <w:style w:styleId="Style_451" w:type="paragraph">
    <w:name w:val="xl179"/>
    <w:basedOn w:val="Style_10"/>
    <w:link w:val="Style_451_ch"/>
    <w:pPr>
      <w:spacing w:after="280" w:before="280" w:line="240" w:lineRule="auto"/>
      <w:ind/>
      <w:jc w:val="center"/>
    </w:pPr>
    <w:rPr>
      <w:sz w:val="24"/>
    </w:rPr>
  </w:style>
  <w:style w:styleId="Style_451_ch" w:type="character">
    <w:name w:val="xl179"/>
    <w:basedOn w:val="Style_10_ch"/>
    <w:link w:val="Style_451"/>
    <w:rPr>
      <w:sz w:val="24"/>
    </w:rPr>
  </w:style>
  <w:style w:styleId="Style_452" w:type="paragraph">
    <w:name w:val="xl120"/>
    <w:basedOn w:val="Style_10"/>
    <w:link w:val="Style_452_ch"/>
    <w:pPr>
      <w:spacing w:afterAutospacing="on" w:beforeAutospacing="on" w:line="240" w:lineRule="auto"/>
      <w:ind/>
      <w:jc w:val="center"/>
    </w:pPr>
    <w:rPr>
      <w:sz w:val="24"/>
    </w:rPr>
  </w:style>
  <w:style w:styleId="Style_452_ch" w:type="character">
    <w:name w:val="xl120"/>
    <w:basedOn w:val="Style_10_ch"/>
    <w:link w:val="Style_452"/>
    <w:rPr>
      <w:sz w:val="24"/>
    </w:rPr>
  </w:style>
  <w:style w:styleId="Style_453" w:type="paragraph">
    <w:name w:val="Font Style27"/>
    <w:link w:val="Style_453_ch"/>
    <w:rPr>
      <w:rFonts w:ascii="Century Gothic" w:hAnsi="Century Gothic"/>
      <w:sz w:val="18"/>
    </w:rPr>
  </w:style>
  <w:style w:styleId="Style_453_ch" w:type="character">
    <w:name w:val="Font Style27"/>
    <w:link w:val="Style_453"/>
    <w:rPr>
      <w:rFonts w:ascii="Century Gothic" w:hAnsi="Century Gothic"/>
      <w:sz w:val="18"/>
    </w:rPr>
  </w:style>
  <w:style w:styleId="Style_454" w:type="paragraph">
    <w:name w:val="xl55"/>
    <w:basedOn w:val="Style_10"/>
    <w:link w:val="Style_454_ch"/>
    <w:pPr>
      <w:spacing w:after="280" w:before="280" w:line="360" w:lineRule="atLeast"/>
      <w:ind w:firstLine="709" w:left="0"/>
      <w:jc w:val="both"/>
    </w:pPr>
    <w:rPr>
      <w:rFonts w:ascii="Arial Narrow" w:hAnsi="Arial Narrow"/>
      <w:b w:val="1"/>
      <w:sz w:val="24"/>
    </w:rPr>
  </w:style>
  <w:style w:styleId="Style_454_ch" w:type="character">
    <w:name w:val="xl55"/>
    <w:basedOn w:val="Style_10_ch"/>
    <w:link w:val="Style_454"/>
    <w:rPr>
      <w:rFonts w:ascii="Arial Narrow" w:hAnsi="Arial Narrow"/>
      <w:b w:val="1"/>
      <w:sz w:val="24"/>
    </w:rPr>
  </w:style>
  <w:style w:styleId="Style_455" w:type="paragraph">
    <w:name w:val="WW8Num33z1"/>
    <w:link w:val="Style_455_ch"/>
    <w:rPr>
      <w:rFonts w:ascii="Courier New" w:hAnsi="Courier New"/>
    </w:rPr>
  </w:style>
  <w:style w:styleId="Style_455_ch" w:type="character">
    <w:name w:val="WW8Num33z1"/>
    <w:link w:val="Style_455"/>
    <w:rPr>
      <w:rFonts w:ascii="Courier New" w:hAnsi="Courier New"/>
    </w:rPr>
  </w:style>
  <w:style w:styleId="Style_456" w:type="paragraph">
    <w:name w:val="xl111"/>
    <w:basedOn w:val="Style_10"/>
    <w:link w:val="Style_456_ch"/>
    <w:pPr>
      <w:spacing w:afterAutospacing="on" w:beforeAutospacing="on" w:line="240" w:lineRule="auto"/>
      <w:ind/>
      <w:jc w:val="center"/>
    </w:pPr>
    <w:rPr>
      <w:sz w:val="18"/>
    </w:rPr>
  </w:style>
  <w:style w:styleId="Style_456_ch" w:type="character">
    <w:name w:val="xl111"/>
    <w:basedOn w:val="Style_10_ch"/>
    <w:link w:val="Style_456"/>
    <w:rPr>
      <w:sz w:val="18"/>
    </w:rPr>
  </w:style>
  <w:style w:styleId="Style_457" w:type="paragraph">
    <w:name w:val="название таблицы Знак"/>
    <w:link w:val="Style_457_ch"/>
    <w:rPr>
      <w:rFonts w:ascii="Arial" w:hAnsi="Arial"/>
      <w:b w:val="1"/>
      <w:sz w:val="22"/>
    </w:rPr>
  </w:style>
  <w:style w:styleId="Style_457_ch" w:type="character">
    <w:name w:val="название таблицы Знак"/>
    <w:link w:val="Style_457"/>
    <w:rPr>
      <w:rFonts w:ascii="Arial" w:hAnsi="Arial"/>
      <w:b w:val="1"/>
      <w:sz w:val="22"/>
    </w:rPr>
  </w:style>
  <w:style w:styleId="Style_458" w:type="paragraph">
    <w:name w:val="WW8Num52z2"/>
    <w:link w:val="Style_458_ch"/>
    <w:rPr>
      <w:rFonts w:ascii="Wingdings" w:hAnsi="Wingdings"/>
    </w:rPr>
  </w:style>
  <w:style w:styleId="Style_458_ch" w:type="character">
    <w:name w:val="WW8Num52z2"/>
    <w:link w:val="Style_458"/>
    <w:rPr>
      <w:rFonts w:ascii="Wingdings" w:hAnsi="Wingdings"/>
    </w:rPr>
  </w:style>
  <w:style w:styleId="Style_459" w:type="paragraph">
    <w:name w:val="Заголовок 11"/>
    <w:basedOn w:val="Style_10"/>
    <w:next w:val="Style_10"/>
    <w:link w:val="Style_459_ch"/>
    <w:pPr>
      <w:keepNext w:val="1"/>
      <w:spacing w:after="0" w:line="240" w:lineRule="auto"/>
      <w:ind/>
      <w:jc w:val="center"/>
    </w:pPr>
    <w:rPr>
      <w:b w:val="1"/>
      <w:sz w:val="24"/>
    </w:rPr>
  </w:style>
  <w:style w:styleId="Style_459_ch" w:type="character">
    <w:name w:val="Заголовок 11"/>
    <w:basedOn w:val="Style_10_ch"/>
    <w:link w:val="Style_459"/>
    <w:rPr>
      <w:b w:val="1"/>
      <w:sz w:val="24"/>
    </w:rPr>
  </w:style>
  <w:style w:styleId="Style_460" w:type="paragraph">
    <w:name w:val="sdfootnote-cjk"/>
    <w:basedOn w:val="Style_10"/>
    <w:link w:val="Style_460_ch"/>
    <w:pPr>
      <w:spacing w:after="0" w:before="280" w:line="240" w:lineRule="auto"/>
      <w:ind/>
    </w:pPr>
    <w:rPr>
      <w:sz w:val="20"/>
    </w:rPr>
  </w:style>
  <w:style w:styleId="Style_460_ch" w:type="character">
    <w:name w:val="sdfootnote-cjk"/>
    <w:basedOn w:val="Style_10_ch"/>
    <w:link w:val="Style_460"/>
    <w:rPr>
      <w:sz w:val="20"/>
    </w:rPr>
  </w:style>
  <w:style w:styleId="Style_461" w:type="paragraph">
    <w:name w:val="Style53"/>
    <w:basedOn w:val="Style_10"/>
    <w:link w:val="Style_461_ch"/>
    <w:pPr>
      <w:widowControl w:val="0"/>
      <w:spacing w:after="0" w:line="132" w:lineRule="exact"/>
      <w:ind/>
      <w:jc w:val="center"/>
    </w:pPr>
    <w:rPr>
      <w:sz w:val="24"/>
    </w:rPr>
  </w:style>
  <w:style w:styleId="Style_461_ch" w:type="character">
    <w:name w:val="Style53"/>
    <w:basedOn w:val="Style_10_ch"/>
    <w:link w:val="Style_461"/>
    <w:rPr>
      <w:sz w:val="24"/>
    </w:rPr>
  </w:style>
  <w:style w:styleId="Style_462" w:type="paragraph">
    <w:name w:val="editsection"/>
    <w:link w:val="Style_462_ch"/>
  </w:style>
  <w:style w:styleId="Style_462_ch" w:type="character">
    <w:name w:val="editsection"/>
    <w:link w:val="Style_462"/>
  </w:style>
  <w:style w:styleId="Style_463" w:type="paragraph">
    <w:name w:val="?????? ??????"/>
    <w:link w:val="Style_463_ch"/>
    <w:rPr>
      <w:vertAlign w:val="superscript"/>
    </w:rPr>
  </w:style>
  <w:style w:styleId="Style_463_ch" w:type="character">
    <w:name w:val="?????? ??????"/>
    <w:link w:val="Style_463"/>
    <w:rPr>
      <w:vertAlign w:val="superscript"/>
    </w:rPr>
  </w:style>
  <w:style w:styleId="Style_464" w:type="paragraph">
    <w:name w:val="Основной шрифт абзаца1"/>
    <w:link w:val="Style_464_ch"/>
  </w:style>
  <w:style w:styleId="Style_464_ch" w:type="character">
    <w:name w:val="Основной шрифт абзаца1"/>
    <w:link w:val="Style_464"/>
  </w:style>
  <w:style w:styleId="Style_465" w:type="paragraph">
    <w:name w:val="Style55"/>
    <w:basedOn w:val="Style_10"/>
    <w:link w:val="Style_465_ch"/>
    <w:pPr>
      <w:widowControl w:val="0"/>
      <w:spacing w:after="0" w:line="240" w:lineRule="auto"/>
      <w:ind/>
    </w:pPr>
    <w:rPr>
      <w:sz w:val="24"/>
    </w:rPr>
  </w:style>
  <w:style w:styleId="Style_465_ch" w:type="character">
    <w:name w:val="Style55"/>
    <w:basedOn w:val="Style_10_ch"/>
    <w:link w:val="Style_465"/>
    <w:rPr>
      <w:sz w:val="24"/>
    </w:rPr>
  </w:style>
  <w:style w:styleId="Style_466" w:type="paragraph">
    <w:name w:val="WW-Absatz-Standardschriftart111111111111"/>
    <w:link w:val="Style_466_ch"/>
  </w:style>
  <w:style w:styleId="Style_466_ch" w:type="character">
    <w:name w:val="WW-Absatz-Standardschriftart111111111111"/>
    <w:link w:val="Style_466"/>
  </w:style>
  <w:style w:styleId="Style_467" w:type="paragraph">
    <w:name w:val="Font Style19"/>
    <w:link w:val="Style_467_ch"/>
    <w:rPr>
      <w:b w:val="1"/>
      <w:sz w:val="18"/>
    </w:rPr>
  </w:style>
  <w:style w:styleId="Style_467_ch" w:type="character">
    <w:name w:val="Font Style19"/>
    <w:link w:val="Style_467"/>
    <w:rPr>
      <w:b w:val="1"/>
      <w:sz w:val="18"/>
    </w:rPr>
  </w:style>
  <w:style w:styleId="Style_468" w:type="paragraph">
    <w:name w:val="xl37"/>
    <w:basedOn w:val="Style_10"/>
    <w:link w:val="Style_468_ch"/>
    <w:pPr>
      <w:spacing w:after="280" w:before="280" w:line="360" w:lineRule="atLeast"/>
      <w:ind w:firstLine="709" w:left="0"/>
      <w:jc w:val="center"/>
    </w:pPr>
    <w:rPr>
      <w:rFonts w:ascii="Arial Narrow" w:hAnsi="Arial Narrow"/>
      <w:sz w:val="24"/>
    </w:rPr>
  </w:style>
  <w:style w:styleId="Style_468_ch" w:type="character">
    <w:name w:val="xl37"/>
    <w:basedOn w:val="Style_10_ch"/>
    <w:link w:val="Style_468"/>
    <w:rPr>
      <w:rFonts w:ascii="Arial Narrow" w:hAnsi="Arial Narrow"/>
      <w:sz w:val="24"/>
    </w:rPr>
  </w:style>
  <w:style w:styleId="Style_469" w:type="paragraph">
    <w:name w:val="WW8Num14z1"/>
    <w:link w:val="Style_469_ch"/>
    <w:rPr>
      <w:rFonts w:ascii="Courier New" w:hAnsi="Courier New"/>
    </w:rPr>
  </w:style>
  <w:style w:styleId="Style_469_ch" w:type="character">
    <w:name w:val="WW8Num14z1"/>
    <w:link w:val="Style_469"/>
    <w:rPr>
      <w:rFonts w:ascii="Courier New" w:hAnsi="Courier New"/>
    </w:rPr>
  </w:style>
  <w:style w:styleId="Style_470" w:type="paragraph">
    <w:name w:val="WW-Маркеры списка1"/>
    <w:link w:val="Style_470_ch"/>
    <w:rPr>
      <w:rFonts w:ascii="StarSymbol" w:hAnsi="StarSymbol"/>
      <w:sz w:val="18"/>
    </w:rPr>
  </w:style>
  <w:style w:styleId="Style_470_ch" w:type="character">
    <w:name w:val="WW-Маркеры списка1"/>
    <w:link w:val="Style_470"/>
    <w:rPr>
      <w:rFonts w:ascii="StarSymbol" w:hAnsi="StarSymbol"/>
      <w:sz w:val="18"/>
    </w:rPr>
  </w:style>
  <w:style w:styleId="Style_471" w:type="paragraph">
    <w:name w:val="xl124"/>
    <w:basedOn w:val="Style_10"/>
    <w:link w:val="Style_471_ch"/>
    <w:pPr>
      <w:spacing w:afterAutospacing="on" w:beforeAutospacing="on" w:line="240" w:lineRule="auto"/>
      <w:ind/>
      <w:jc w:val="center"/>
    </w:pPr>
    <w:rPr>
      <w:b w:val="1"/>
      <w:sz w:val="24"/>
    </w:rPr>
  </w:style>
  <w:style w:styleId="Style_471_ch" w:type="character">
    <w:name w:val="xl124"/>
    <w:basedOn w:val="Style_10_ch"/>
    <w:link w:val="Style_471"/>
    <w:rPr>
      <w:b w:val="1"/>
      <w:sz w:val="24"/>
    </w:rPr>
  </w:style>
  <w:style w:styleId="Style_472" w:type="paragraph">
    <w:name w:val="WW-Absatz-Standardschriftart11111111"/>
    <w:link w:val="Style_472_ch"/>
  </w:style>
  <w:style w:styleId="Style_472_ch" w:type="character">
    <w:name w:val="WW-Absatz-Standardschriftart11111111"/>
    <w:link w:val="Style_472"/>
  </w:style>
  <w:style w:styleId="Style_473" w:type="paragraph">
    <w:name w:val="WW-Абзац списка"/>
    <w:basedOn w:val="Style_10"/>
    <w:link w:val="Style_473_ch"/>
    <w:pPr>
      <w:spacing w:after="0" w:line="240" w:lineRule="auto"/>
      <w:ind w:firstLine="0" w:left="720"/>
    </w:pPr>
    <w:rPr>
      <w:sz w:val="24"/>
    </w:rPr>
  </w:style>
  <w:style w:styleId="Style_473_ch" w:type="character">
    <w:name w:val="WW-Абзац списка"/>
    <w:basedOn w:val="Style_10_ch"/>
    <w:link w:val="Style_473"/>
    <w:rPr>
      <w:sz w:val="24"/>
    </w:rPr>
  </w:style>
  <w:style w:styleId="Style_474" w:type="paragraph">
    <w:name w:val="xl66"/>
    <w:basedOn w:val="Style_10"/>
    <w:link w:val="Style_474_ch"/>
    <w:pPr>
      <w:spacing w:after="280" w:before="280" w:line="240" w:lineRule="auto"/>
      <w:ind/>
      <w:jc w:val="center"/>
    </w:pPr>
    <w:rPr>
      <w:sz w:val="24"/>
    </w:rPr>
  </w:style>
  <w:style w:styleId="Style_474_ch" w:type="character">
    <w:name w:val="xl66"/>
    <w:basedOn w:val="Style_10_ch"/>
    <w:link w:val="Style_474"/>
    <w:rPr>
      <w:sz w:val="24"/>
    </w:rPr>
  </w:style>
  <w:style w:styleId="Style_475" w:type="paragraph">
    <w:name w:val="font22"/>
    <w:basedOn w:val="Style_10"/>
    <w:link w:val="Style_475_ch"/>
    <w:pPr>
      <w:spacing w:afterAutospacing="on" w:beforeAutospacing="on" w:line="240" w:lineRule="auto"/>
      <w:ind/>
    </w:pPr>
    <w:rPr>
      <w:color w:val="0000FF"/>
      <w:sz w:val="16"/>
    </w:rPr>
  </w:style>
  <w:style w:styleId="Style_475_ch" w:type="character">
    <w:name w:val="font22"/>
    <w:basedOn w:val="Style_10_ch"/>
    <w:link w:val="Style_475"/>
    <w:rPr>
      <w:color w:val="0000FF"/>
      <w:sz w:val="16"/>
    </w:rPr>
  </w:style>
  <w:style w:styleId="Style_476" w:type="paragraph">
    <w:name w:val="font7"/>
    <w:basedOn w:val="Style_10"/>
    <w:link w:val="Style_476_ch"/>
    <w:pPr>
      <w:spacing w:after="280" w:before="280" w:line="240" w:lineRule="auto"/>
      <w:ind/>
    </w:pPr>
    <w:rPr>
      <w:rFonts w:ascii="Tahoma" w:hAnsi="Tahoma"/>
      <w:b w:val="1"/>
      <w:sz w:val="16"/>
    </w:rPr>
  </w:style>
  <w:style w:styleId="Style_476_ch" w:type="character">
    <w:name w:val="font7"/>
    <w:basedOn w:val="Style_10_ch"/>
    <w:link w:val="Style_476"/>
    <w:rPr>
      <w:rFonts w:ascii="Tahoma" w:hAnsi="Tahoma"/>
      <w:b w:val="1"/>
      <w:sz w:val="16"/>
    </w:rPr>
  </w:style>
  <w:style w:styleId="Style_477" w:type="paragraph">
    <w:name w:val="??????? (???)"/>
    <w:basedOn w:val="Style_10"/>
    <w:link w:val="Style_477_ch"/>
    <w:pPr>
      <w:widowControl w:val="0"/>
      <w:spacing w:after="119" w:before="100" w:line="240" w:lineRule="auto"/>
      <w:ind/>
    </w:pPr>
    <w:rPr>
      <w:sz w:val="24"/>
    </w:rPr>
  </w:style>
  <w:style w:styleId="Style_477_ch" w:type="character">
    <w:name w:val="??????? (???)"/>
    <w:basedOn w:val="Style_10_ch"/>
    <w:link w:val="Style_477"/>
    <w:rPr>
      <w:sz w:val="24"/>
    </w:rPr>
  </w:style>
  <w:style w:styleId="Style_478" w:type="paragraph">
    <w:name w:val="Font Style159"/>
    <w:link w:val="Style_478_ch"/>
    <w:rPr>
      <w:sz w:val="22"/>
    </w:rPr>
  </w:style>
  <w:style w:styleId="Style_478_ch" w:type="character">
    <w:name w:val="Font Style159"/>
    <w:link w:val="Style_478"/>
    <w:rPr>
      <w:sz w:val="22"/>
    </w:rPr>
  </w:style>
  <w:style w:styleId="Style_479" w:type="paragraph">
    <w:name w:val="WW8Num44z0"/>
    <w:link w:val="Style_479_ch"/>
    <w:rPr>
      <w:sz w:val="24"/>
    </w:rPr>
  </w:style>
  <w:style w:styleId="Style_479_ch" w:type="character">
    <w:name w:val="WW8Num44z0"/>
    <w:link w:val="Style_479"/>
    <w:rPr>
      <w:sz w:val="24"/>
    </w:rPr>
  </w:style>
  <w:style w:styleId="Style_480" w:type="paragraph">
    <w:name w:val="rvps7"/>
    <w:basedOn w:val="Style_10"/>
    <w:link w:val="Style_480_ch"/>
    <w:pPr>
      <w:spacing w:after="0" w:line="360" w:lineRule="atLeast"/>
      <w:ind w:firstLine="0" w:left="150" w:right="150"/>
    </w:pPr>
    <w:rPr>
      <w:sz w:val="24"/>
    </w:rPr>
  </w:style>
  <w:style w:styleId="Style_480_ch" w:type="character">
    <w:name w:val="rvps7"/>
    <w:basedOn w:val="Style_10_ch"/>
    <w:link w:val="Style_480"/>
    <w:rPr>
      <w:sz w:val="24"/>
    </w:rPr>
  </w:style>
  <w:style w:styleId="Style_481" w:type="paragraph">
    <w:name w:val="font121"/>
    <w:link w:val="Style_481_ch"/>
    <w:rPr>
      <w:b w:val="1"/>
    </w:rPr>
  </w:style>
  <w:style w:styleId="Style_481_ch" w:type="character">
    <w:name w:val="font121"/>
    <w:link w:val="Style_481"/>
    <w:rPr>
      <w:b w:val="1"/>
    </w:rPr>
  </w:style>
  <w:style w:styleId="Style_482" w:type="paragraph">
    <w:name w:val="Font Style135"/>
    <w:link w:val="Style_482_ch"/>
    <w:rPr>
      <w:i w:val="1"/>
      <w:sz w:val="10"/>
    </w:rPr>
  </w:style>
  <w:style w:styleId="Style_482_ch" w:type="character">
    <w:name w:val="Font Style135"/>
    <w:link w:val="Style_482"/>
    <w:rPr>
      <w:i w:val="1"/>
      <w:sz w:val="10"/>
    </w:rPr>
  </w:style>
  <w:style w:styleId="Style_483" w:type="paragraph">
    <w:name w:val="основной30"/>
    <w:basedOn w:val="Style_10"/>
    <w:link w:val="Style_483_ch"/>
    <w:pPr>
      <w:spacing w:after="0" w:line="240" w:lineRule="auto"/>
      <w:ind w:firstLine="282" w:left="0"/>
      <w:jc w:val="both"/>
    </w:pPr>
    <w:rPr>
      <w:b w:val="1"/>
      <w:i w:val="1"/>
      <w:sz w:val="21"/>
    </w:rPr>
  </w:style>
  <w:style w:styleId="Style_483_ch" w:type="character">
    <w:name w:val="основной30"/>
    <w:basedOn w:val="Style_10_ch"/>
    <w:link w:val="Style_483"/>
    <w:rPr>
      <w:b w:val="1"/>
      <w:i w:val="1"/>
      <w:sz w:val="21"/>
    </w:rPr>
  </w:style>
  <w:style w:styleId="Style_484" w:type="paragraph">
    <w:name w:val="Style32"/>
    <w:basedOn w:val="Style_10"/>
    <w:link w:val="Style_484_ch"/>
    <w:pPr>
      <w:widowControl w:val="0"/>
      <w:spacing w:after="0" w:line="240" w:lineRule="auto"/>
      <w:ind/>
    </w:pPr>
    <w:rPr>
      <w:sz w:val="24"/>
    </w:rPr>
  </w:style>
  <w:style w:styleId="Style_484_ch" w:type="character">
    <w:name w:val="Style32"/>
    <w:basedOn w:val="Style_10_ch"/>
    <w:link w:val="Style_484"/>
    <w:rPr>
      <w:sz w:val="24"/>
    </w:rPr>
  </w:style>
  <w:style w:styleId="Style_485" w:type="paragraph">
    <w:name w:val="Font Style52"/>
    <w:link w:val="Style_485_ch"/>
    <w:rPr>
      <w:rFonts w:ascii="Trebuchet MS" w:hAnsi="Trebuchet MS"/>
      <w:sz w:val="16"/>
    </w:rPr>
  </w:style>
  <w:style w:styleId="Style_485_ch" w:type="character">
    <w:name w:val="Font Style52"/>
    <w:link w:val="Style_485"/>
    <w:rPr>
      <w:rFonts w:ascii="Trebuchet MS" w:hAnsi="Trebuchet MS"/>
      <w:sz w:val="16"/>
    </w:rPr>
  </w:style>
  <w:style w:styleId="Style_486" w:type="paragraph">
    <w:name w:val="Основной текст 21"/>
    <w:basedOn w:val="Style_10"/>
    <w:link w:val="Style_486_ch"/>
    <w:pPr>
      <w:widowControl w:val="0"/>
      <w:spacing w:after="120" w:line="480" w:lineRule="auto"/>
      <w:ind/>
    </w:pPr>
    <w:rPr>
      <w:sz w:val="24"/>
    </w:rPr>
  </w:style>
  <w:style w:styleId="Style_486_ch" w:type="character">
    <w:name w:val="Основной текст 21"/>
    <w:basedOn w:val="Style_10_ch"/>
    <w:link w:val="Style_486"/>
    <w:rPr>
      <w:sz w:val="24"/>
    </w:rPr>
  </w:style>
  <w:style w:styleId="Style_487" w:type="paragraph">
    <w:name w:val="Знак Знак1"/>
    <w:link w:val="Style_487_ch"/>
    <w:rPr>
      <w:sz w:val="28"/>
    </w:rPr>
  </w:style>
  <w:style w:styleId="Style_487_ch" w:type="character">
    <w:name w:val="Знак Знак1"/>
    <w:link w:val="Style_487"/>
    <w:rPr>
      <w:sz w:val="28"/>
    </w:rPr>
  </w:style>
  <w:style w:styleId="Style_488" w:type="paragraph">
    <w:name w:val="Основной текст с отступом1"/>
    <w:basedOn w:val="Style_10"/>
    <w:link w:val="Style_488_ch"/>
    <w:pPr>
      <w:widowControl w:val="0"/>
      <w:tabs>
        <w:tab w:leader="none" w:pos="3600" w:val="left"/>
      </w:tabs>
      <w:spacing w:after="0" w:line="240" w:lineRule="auto"/>
      <w:ind w:hanging="2700" w:left="3600"/>
    </w:pPr>
    <w:rPr>
      <w:sz w:val="28"/>
    </w:rPr>
  </w:style>
  <w:style w:styleId="Style_488_ch" w:type="character">
    <w:name w:val="Основной текст с отступом1"/>
    <w:basedOn w:val="Style_10_ch"/>
    <w:link w:val="Style_488"/>
    <w:rPr>
      <w:sz w:val="28"/>
    </w:rPr>
  </w:style>
  <w:style w:styleId="Style_489" w:type="paragraph">
    <w:name w:val="WW8Num32z0"/>
    <w:link w:val="Style_489_ch"/>
    <w:rPr>
      <w:rFonts w:ascii="Symbol" w:hAnsi="Symbol"/>
    </w:rPr>
  </w:style>
  <w:style w:styleId="Style_489_ch" w:type="character">
    <w:name w:val="WW8Num32z0"/>
    <w:link w:val="Style_489"/>
    <w:rPr>
      <w:rFonts w:ascii="Symbol" w:hAnsi="Symbol"/>
    </w:rPr>
  </w:style>
  <w:style w:styleId="Style_490" w:type="paragraph">
    <w:name w:val="WW8Num19z3"/>
    <w:link w:val="Style_490_ch"/>
    <w:rPr>
      <w:rFonts w:ascii="Symbol" w:hAnsi="Symbol"/>
    </w:rPr>
  </w:style>
  <w:style w:styleId="Style_490_ch" w:type="character">
    <w:name w:val="WW8Num19z3"/>
    <w:link w:val="Style_490"/>
    <w:rPr>
      <w:rFonts w:ascii="Symbol" w:hAnsi="Symbol"/>
    </w:rPr>
  </w:style>
  <w:style w:styleId="Style_491" w:type="paragraph">
    <w:name w:val="Табличный_центр_10"/>
    <w:basedOn w:val="Style_10"/>
    <w:link w:val="Style_491_ch"/>
    <w:pPr>
      <w:spacing w:after="0" w:line="360" w:lineRule="atLeast"/>
      <w:ind/>
      <w:jc w:val="center"/>
    </w:pPr>
    <w:rPr>
      <w:sz w:val="20"/>
    </w:rPr>
  </w:style>
  <w:style w:styleId="Style_491_ch" w:type="character">
    <w:name w:val="Табличный_центр_10"/>
    <w:basedOn w:val="Style_10_ch"/>
    <w:link w:val="Style_491"/>
    <w:rPr>
      <w:sz w:val="20"/>
    </w:rPr>
  </w:style>
  <w:style w:styleId="Style_492" w:type="paragraph">
    <w:name w:val="WW8Num38z0"/>
    <w:link w:val="Style_492_ch"/>
    <w:rPr>
      <w:rFonts w:ascii="Symbol" w:hAnsi="Symbol"/>
    </w:rPr>
  </w:style>
  <w:style w:styleId="Style_492_ch" w:type="character">
    <w:name w:val="WW8Num38z0"/>
    <w:link w:val="Style_492"/>
    <w:rPr>
      <w:rFonts w:ascii="Symbol" w:hAnsi="Symbol"/>
    </w:rPr>
  </w:style>
  <w:style w:styleId="Style_493" w:type="paragraph">
    <w:name w:val="Style105"/>
    <w:basedOn w:val="Style_10"/>
    <w:link w:val="Style_493_ch"/>
    <w:pPr>
      <w:widowControl w:val="0"/>
      <w:spacing w:after="0" w:line="240" w:lineRule="auto"/>
      <w:ind/>
    </w:pPr>
    <w:rPr>
      <w:sz w:val="24"/>
    </w:rPr>
  </w:style>
  <w:style w:styleId="Style_493_ch" w:type="character">
    <w:name w:val="Style105"/>
    <w:basedOn w:val="Style_10_ch"/>
    <w:link w:val="Style_493"/>
    <w:rPr>
      <w:sz w:val="24"/>
    </w:rPr>
  </w:style>
  <w:style w:styleId="Style_494" w:type="paragraph">
    <w:name w:val="style272"/>
    <w:basedOn w:val="Style_10"/>
    <w:link w:val="Style_494_ch"/>
    <w:pPr>
      <w:spacing w:after="280" w:before="280" w:line="240" w:lineRule="auto"/>
      <w:ind/>
    </w:pPr>
    <w:rPr>
      <w:rFonts w:ascii="Tahoma" w:hAnsi="Tahoma"/>
      <w:color w:val="333333"/>
      <w:sz w:val="18"/>
    </w:rPr>
  </w:style>
  <w:style w:styleId="Style_494_ch" w:type="character">
    <w:name w:val="style272"/>
    <w:basedOn w:val="Style_10_ch"/>
    <w:link w:val="Style_494"/>
    <w:rPr>
      <w:rFonts w:ascii="Tahoma" w:hAnsi="Tahoma"/>
      <w:color w:val="333333"/>
      <w:sz w:val="18"/>
    </w:rPr>
  </w:style>
  <w:style w:styleId="Style_495" w:type="paragraph">
    <w:name w:val="Список ДБ"/>
    <w:basedOn w:val="Style_148"/>
    <w:link w:val="Style_495_ch"/>
    <w:pPr>
      <w:tabs>
        <w:tab w:leader="none" w:pos="360" w:val="left"/>
      </w:tabs>
      <w:spacing w:before="60" w:line="312" w:lineRule="auto"/>
      <w:ind w:hanging="360" w:left="360"/>
    </w:pPr>
    <w:rPr>
      <w:rFonts w:ascii="Times New Roman" w:hAnsi="Times New Roman"/>
      <w:sz w:val="24"/>
    </w:rPr>
  </w:style>
  <w:style w:styleId="Style_495_ch" w:type="character">
    <w:name w:val="Список ДБ"/>
    <w:basedOn w:val="Style_148_ch"/>
    <w:link w:val="Style_495"/>
    <w:rPr>
      <w:rFonts w:ascii="Times New Roman" w:hAnsi="Times New Roman"/>
      <w:sz w:val="24"/>
    </w:rPr>
  </w:style>
  <w:style w:styleId="Style_496" w:type="paragraph">
    <w:name w:val="Стиль 14 пт По ширине"/>
    <w:basedOn w:val="Style_10"/>
    <w:link w:val="Style_496_ch"/>
    <w:pPr>
      <w:spacing w:after="0" w:line="240" w:lineRule="auto"/>
      <w:ind/>
      <w:jc w:val="both"/>
    </w:pPr>
    <w:rPr>
      <w:sz w:val="28"/>
    </w:rPr>
  </w:style>
  <w:style w:styleId="Style_496_ch" w:type="character">
    <w:name w:val="Стиль 14 пт По ширине"/>
    <w:basedOn w:val="Style_10_ch"/>
    <w:link w:val="Style_496"/>
    <w:rPr>
      <w:sz w:val="28"/>
    </w:rPr>
  </w:style>
  <w:style w:styleId="Style_497" w:type="paragraph">
    <w:name w:val="Style50"/>
    <w:basedOn w:val="Style_10"/>
    <w:link w:val="Style_497_ch"/>
    <w:pPr>
      <w:widowControl w:val="0"/>
      <w:spacing w:after="0" w:line="240" w:lineRule="auto"/>
      <w:ind/>
    </w:pPr>
    <w:rPr>
      <w:sz w:val="24"/>
    </w:rPr>
  </w:style>
  <w:style w:styleId="Style_497_ch" w:type="character">
    <w:name w:val="Style50"/>
    <w:basedOn w:val="Style_10_ch"/>
    <w:link w:val="Style_497"/>
    <w:rPr>
      <w:sz w:val="24"/>
    </w:rPr>
  </w:style>
  <w:style w:styleId="Style_498" w:type="paragraph">
    <w:name w:val="WW8NumSt33z0"/>
    <w:link w:val="Style_498_ch"/>
    <w:rPr>
      <w:rFonts w:ascii="Courier New" w:hAnsi="Courier New"/>
    </w:rPr>
  </w:style>
  <w:style w:styleId="Style_498_ch" w:type="character">
    <w:name w:val="WW8NumSt33z0"/>
    <w:link w:val="Style_498"/>
    <w:rPr>
      <w:rFonts w:ascii="Courier New" w:hAnsi="Courier New"/>
    </w:rPr>
  </w:style>
  <w:style w:styleId="Style_499" w:type="paragraph">
    <w:name w:val="Стиль_11"/>
    <w:basedOn w:val="Style_10"/>
    <w:link w:val="Style_499_ch"/>
    <w:pPr>
      <w:spacing w:after="0" w:line="240" w:lineRule="auto"/>
      <w:ind w:firstLine="720" w:left="0"/>
    </w:pPr>
    <w:rPr>
      <w:rFonts w:ascii="Arial" w:hAnsi="Arial"/>
      <w:sz w:val="24"/>
    </w:rPr>
  </w:style>
  <w:style w:styleId="Style_499_ch" w:type="character">
    <w:name w:val="Стиль_11"/>
    <w:basedOn w:val="Style_10_ch"/>
    <w:link w:val="Style_499"/>
    <w:rPr>
      <w:rFonts w:ascii="Arial" w:hAnsi="Arial"/>
      <w:sz w:val="24"/>
    </w:rPr>
  </w:style>
  <w:style w:styleId="Style_500" w:type="paragraph">
    <w:name w:val="WW8Num13z1"/>
    <w:link w:val="Style_500_ch"/>
    <w:rPr>
      <w:rFonts w:ascii="Courier New" w:hAnsi="Courier New"/>
    </w:rPr>
  </w:style>
  <w:style w:styleId="Style_500_ch" w:type="character">
    <w:name w:val="WW8Num13z1"/>
    <w:link w:val="Style_500"/>
    <w:rPr>
      <w:rFonts w:ascii="Courier New" w:hAnsi="Courier New"/>
    </w:rPr>
  </w:style>
  <w:style w:styleId="Style_501" w:type="paragraph">
    <w:name w:val="WW8Num321z1"/>
    <w:link w:val="Style_501_ch"/>
    <w:rPr>
      <w:rFonts w:ascii="Courier New" w:hAnsi="Courier New"/>
    </w:rPr>
  </w:style>
  <w:style w:styleId="Style_501_ch" w:type="character">
    <w:name w:val="WW8Num321z1"/>
    <w:link w:val="Style_501"/>
    <w:rPr>
      <w:rFonts w:ascii="Courier New" w:hAnsi="Courier New"/>
    </w:rPr>
  </w:style>
  <w:style w:styleId="Style_502" w:type="paragraph">
    <w:name w:val="Указатель1"/>
    <w:basedOn w:val="Style_10"/>
    <w:link w:val="Style_502_ch"/>
    <w:pPr>
      <w:widowControl w:val="0"/>
      <w:spacing w:after="0" w:line="240" w:lineRule="auto"/>
      <w:ind/>
    </w:pPr>
    <w:rPr>
      <w:rFonts w:ascii="Arial" w:hAnsi="Arial"/>
      <w:sz w:val="20"/>
    </w:rPr>
  </w:style>
  <w:style w:styleId="Style_502_ch" w:type="character">
    <w:name w:val="Указатель1"/>
    <w:basedOn w:val="Style_10_ch"/>
    <w:link w:val="Style_502"/>
    <w:rPr>
      <w:rFonts w:ascii="Arial" w:hAnsi="Arial"/>
      <w:sz w:val="20"/>
    </w:rPr>
  </w:style>
  <w:style w:styleId="Style_503" w:type="paragraph">
    <w:name w:val="Font Style44"/>
    <w:link w:val="Style_503_ch"/>
    <w:rPr>
      <w:rFonts w:ascii="Garamond" w:hAnsi="Garamond"/>
      <w:b w:val="1"/>
      <w:spacing w:val="-10"/>
      <w:sz w:val="32"/>
    </w:rPr>
  </w:style>
  <w:style w:styleId="Style_503_ch" w:type="character">
    <w:name w:val="Font Style44"/>
    <w:link w:val="Style_503"/>
    <w:rPr>
      <w:rFonts w:ascii="Garamond" w:hAnsi="Garamond"/>
      <w:b w:val="1"/>
      <w:spacing w:val="-10"/>
      <w:sz w:val="32"/>
    </w:rPr>
  </w:style>
  <w:style w:styleId="Style_504" w:type="paragraph">
    <w:name w:val="WW8Num16z1"/>
    <w:link w:val="Style_504_ch"/>
    <w:rPr>
      <w:rFonts w:ascii="Courier New" w:hAnsi="Courier New"/>
    </w:rPr>
  </w:style>
  <w:style w:styleId="Style_504_ch" w:type="character">
    <w:name w:val="WW8Num16z1"/>
    <w:link w:val="Style_504"/>
    <w:rPr>
      <w:rFonts w:ascii="Courier New" w:hAnsi="Courier New"/>
    </w:rPr>
  </w:style>
  <w:style w:styleId="Style_505" w:type="paragraph">
    <w:name w:val="Символы концевой сноски"/>
    <w:link w:val="Style_505_ch"/>
    <w:rPr>
      <w:vertAlign w:val="superscript"/>
    </w:rPr>
  </w:style>
  <w:style w:styleId="Style_505_ch" w:type="character">
    <w:name w:val="Символы концевой сноски"/>
    <w:link w:val="Style_505"/>
    <w:rPr>
      <w:vertAlign w:val="superscript"/>
    </w:rPr>
  </w:style>
  <w:style w:styleId="Style_506" w:type="paragraph">
    <w:name w:val="Style60"/>
    <w:basedOn w:val="Style_10"/>
    <w:link w:val="Style_506_ch"/>
    <w:pPr>
      <w:widowControl w:val="0"/>
      <w:spacing w:after="0" w:line="278" w:lineRule="exact"/>
      <w:ind/>
      <w:jc w:val="center"/>
    </w:pPr>
    <w:rPr>
      <w:sz w:val="24"/>
    </w:rPr>
  </w:style>
  <w:style w:styleId="Style_506_ch" w:type="character">
    <w:name w:val="Style60"/>
    <w:basedOn w:val="Style_10_ch"/>
    <w:link w:val="Style_506"/>
    <w:rPr>
      <w:sz w:val="24"/>
    </w:rPr>
  </w:style>
  <w:style w:styleId="Style_507" w:type="paragraph">
    <w:name w:val="Font Style98"/>
    <w:link w:val="Style_507_ch"/>
    <w:rPr>
      <w:sz w:val="14"/>
    </w:rPr>
  </w:style>
  <w:style w:styleId="Style_507_ch" w:type="character">
    <w:name w:val="Font Style98"/>
    <w:link w:val="Style_507"/>
    <w:rPr>
      <w:sz w:val="14"/>
    </w:rPr>
  </w:style>
  <w:style w:styleId="Style_508" w:type="paragraph">
    <w:name w:val="Название объекта1"/>
    <w:basedOn w:val="Style_10"/>
    <w:next w:val="Style_10"/>
    <w:link w:val="Style_508_ch"/>
    <w:pPr>
      <w:spacing w:after="0" w:line="240" w:lineRule="auto"/>
      <w:ind/>
    </w:pPr>
    <w:rPr>
      <w:b w:val="1"/>
      <w:sz w:val="20"/>
    </w:rPr>
  </w:style>
  <w:style w:styleId="Style_508_ch" w:type="character">
    <w:name w:val="Название объекта1"/>
    <w:basedOn w:val="Style_10_ch"/>
    <w:link w:val="Style_508"/>
    <w:rPr>
      <w:b w:val="1"/>
      <w:sz w:val="20"/>
    </w:rPr>
  </w:style>
  <w:style w:styleId="Style_509" w:type="paragraph">
    <w:name w:val="Font Style117"/>
    <w:link w:val="Style_509_ch"/>
    <w:rPr>
      <w:rFonts w:ascii="Arial" w:hAnsi="Arial"/>
      <w:b w:val="1"/>
    </w:rPr>
  </w:style>
  <w:style w:styleId="Style_509_ch" w:type="character">
    <w:name w:val="Font Style117"/>
    <w:link w:val="Style_509"/>
    <w:rPr>
      <w:rFonts w:ascii="Arial" w:hAnsi="Arial"/>
      <w:b w:val="1"/>
    </w:rPr>
  </w:style>
  <w:style w:styleId="Style_510" w:type="paragraph">
    <w:name w:val="Style47"/>
    <w:basedOn w:val="Style_10"/>
    <w:link w:val="Style_510_ch"/>
    <w:pPr>
      <w:widowControl w:val="0"/>
      <w:spacing w:after="0" w:line="254" w:lineRule="exact"/>
      <w:ind w:firstLine="187" w:left="0"/>
    </w:pPr>
    <w:rPr>
      <w:sz w:val="24"/>
    </w:rPr>
  </w:style>
  <w:style w:styleId="Style_510_ch" w:type="character">
    <w:name w:val="Style47"/>
    <w:basedOn w:val="Style_10_ch"/>
    <w:link w:val="Style_510"/>
    <w:rPr>
      <w:sz w:val="24"/>
    </w:rPr>
  </w:style>
  <w:style w:styleId="Style_511" w:type="paragraph">
    <w:name w:val="Font Style20"/>
    <w:link w:val="Style_511_ch"/>
    <w:rPr>
      <w:b w:val="1"/>
      <w:sz w:val="16"/>
    </w:rPr>
  </w:style>
  <w:style w:styleId="Style_511_ch" w:type="character">
    <w:name w:val="Font Style20"/>
    <w:link w:val="Style_511"/>
    <w:rPr>
      <w:b w:val="1"/>
      <w:sz w:val="16"/>
    </w:rPr>
  </w:style>
  <w:style w:styleId="Style_512" w:type="paragraph">
    <w:name w:val="xl145"/>
    <w:basedOn w:val="Style_10"/>
    <w:link w:val="Style_512_ch"/>
    <w:pPr>
      <w:spacing w:after="280" w:before="280" w:line="240" w:lineRule="auto"/>
      <w:ind/>
      <w:jc w:val="center"/>
    </w:pPr>
    <w:rPr>
      <w:b w:val="1"/>
    </w:rPr>
  </w:style>
  <w:style w:styleId="Style_512_ch" w:type="character">
    <w:name w:val="xl145"/>
    <w:basedOn w:val="Style_10_ch"/>
    <w:link w:val="Style_512"/>
    <w:rPr>
      <w:b w:val="1"/>
    </w:rPr>
  </w:style>
  <w:style w:styleId="Style_513" w:type="paragraph">
    <w:name w:val="xl112"/>
    <w:basedOn w:val="Style_10"/>
    <w:link w:val="Style_513_ch"/>
    <w:pPr>
      <w:spacing w:afterAutospacing="on" w:beforeAutospacing="on" w:line="240" w:lineRule="auto"/>
      <w:ind/>
    </w:pPr>
    <w:rPr>
      <w:sz w:val="24"/>
    </w:rPr>
  </w:style>
  <w:style w:styleId="Style_513_ch" w:type="character">
    <w:name w:val="xl112"/>
    <w:basedOn w:val="Style_10_ch"/>
    <w:link w:val="Style_513"/>
    <w:rPr>
      <w:sz w:val="24"/>
    </w:rPr>
  </w:style>
  <w:style w:styleId="Style_514" w:type="paragraph">
    <w:name w:val="WW-Основной текст с отступом 3"/>
    <w:basedOn w:val="Style_10"/>
    <w:link w:val="Style_514_ch"/>
    <w:pPr>
      <w:spacing w:after="120" w:line="240" w:lineRule="auto"/>
      <w:ind w:firstLine="0" w:left="283"/>
    </w:pPr>
    <w:rPr>
      <w:sz w:val="16"/>
    </w:rPr>
  </w:style>
  <w:style w:styleId="Style_514_ch" w:type="character">
    <w:name w:val="WW-Основной текст с отступом 3"/>
    <w:basedOn w:val="Style_10_ch"/>
    <w:link w:val="Style_514"/>
    <w:rPr>
      <w:sz w:val="16"/>
    </w:rPr>
  </w:style>
  <w:style w:styleId="Style_515" w:type="paragraph">
    <w:name w:val="Font Style144"/>
    <w:link w:val="Style_515_ch"/>
    <w:rPr>
      <w:rFonts w:ascii="Arial" w:hAnsi="Arial"/>
      <w:b w:val="1"/>
      <w:sz w:val="12"/>
    </w:rPr>
  </w:style>
  <w:style w:styleId="Style_515_ch" w:type="character">
    <w:name w:val="Font Style144"/>
    <w:link w:val="Style_515"/>
    <w:rPr>
      <w:rFonts w:ascii="Arial" w:hAnsi="Arial"/>
      <w:b w:val="1"/>
      <w:sz w:val="12"/>
    </w:rPr>
  </w:style>
  <w:style w:styleId="Style_516" w:type="paragraph">
    <w:name w:val="font19"/>
    <w:basedOn w:val="Style_10"/>
    <w:link w:val="Style_516_ch"/>
    <w:pPr>
      <w:spacing w:afterAutospacing="on" w:beforeAutospacing="on" w:line="240" w:lineRule="auto"/>
      <w:ind/>
    </w:pPr>
    <w:rPr>
      <w:b w:val="1"/>
      <w:sz w:val="20"/>
    </w:rPr>
  </w:style>
  <w:style w:styleId="Style_516_ch" w:type="character">
    <w:name w:val="font19"/>
    <w:basedOn w:val="Style_10_ch"/>
    <w:link w:val="Style_516"/>
    <w:rPr>
      <w:b w:val="1"/>
      <w:sz w:val="20"/>
    </w:rPr>
  </w:style>
  <w:style w:styleId="Style_517" w:type="paragraph">
    <w:name w:val="WW8Num38z2"/>
    <w:link w:val="Style_517_ch"/>
    <w:rPr>
      <w:rFonts w:ascii="Wingdings" w:hAnsi="Wingdings"/>
    </w:rPr>
  </w:style>
  <w:style w:styleId="Style_517_ch" w:type="character">
    <w:name w:val="WW8Num38z2"/>
    <w:link w:val="Style_517"/>
    <w:rPr>
      <w:rFonts w:ascii="Wingdings" w:hAnsi="Wingdings"/>
    </w:rPr>
  </w:style>
  <w:style w:styleId="Style_518" w:type="paragraph">
    <w:name w:val="HTML Preformatted"/>
    <w:basedOn w:val="Style_10"/>
    <w:link w:val="Style_518_ch"/>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pPr>
    <w:rPr>
      <w:rFonts w:ascii="Courier New" w:hAnsi="Courier New"/>
      <w:sz w:val="20"/>
    </w:rPr>
  </w:style>
  <w:style w:styleId="Style_518_ch" w:type="character">
    <w:name w:val="HTML Preformatted"/>
    <w:basedOn w:val="Style_10_ch"/>
    <w:link w:val="Style_518"/>
    <w:rPr>
      <w:rFonts w:ascii="Courier New" w:hAnsi="Courier New"/>
      <w:sz w:val="20"/>
    </w:rPr>
  </w:style>
  <w:style w:styleId="Style_519" w:type="paragraph">
    <w:name w:val="рисунок"/>
    <w:basedOn w:val="Style_10"/>
    <w:link w:val="Style_519_ch"/>
    <w:pPr>
      <w:tabs>
        <w:tab w:leader="none" w:pos="284" w:val="left"/>
        <w:tab w:leader="none" w:pos="1191" w:val="left"/>
      </w:tabs>
      <w:spacing w:after="120" w:line="360" w:lineRule="atLeast"/>
      <w:ind w:firstLine="709" w:left="0"/>
      <w:jc w:val="both"/>
    </w:pPr>
    <w:rPr>
      <w:i w:val="1"/>
      <w:sz w:val="20"/>
    </w:rPr>
  </w:style>
  <w:style w:styleId="Style_519_ch" w:type="character">
    <w:name w:val="рисунок"/>
    <w:basedOn w:val="Style_10_ch"/>
    <w:link w:val="Style_519"/>
    <w:rPr>
      <w:i w:val="1"/>
      <w:sz w:val="20"/>
    </w:rPr>
  </w:style>
  <w:style w:styleId="Style_520" w:type="paragraph">
    <w:name w:val="WW8Num23z0"/>
    <w:link w:val="Style_520_ch"/>
    <w:rPr>
      <w:rFonts w:ascii="Symbol" w:hAnsi="Symbol"/>
    </w:rPr>
  </w:style>
  <w:style w:styleId="Style_520_ch" w:type="character">
    <w:name w:val="WW8Num23z0"/>
    <w:link w:val="Style_520"/>
    <w:rPr>
      <w:rFonts w:ascii="Symbol" w:hAnsi="Symbol"/>
    </w:rPr>
  </w:style>
  <w:style w:styleId="Style_521" w:type="paragraph">
    <w:name w:val="xl94"/>
    <w:basedOn w:val="Style_10"/>
    <w:link w:val="Style_521_ch"/>
    <w:pPr>
      <w:spacing w:afterAutospacing="on" w:beforeAutospacing="on" w:line="240" w:lineRule="auto"/>
      <w:ind/>
      <w:jc w:val="center"/>
    </w:pPr>
    <w:rPr>
      <w:sz w:val="24"/>
    </w:rPr>
  </w:style>
  <w:style w:styleId="Style_521_ch" w:type="character">
    <w:name w:val="xl94"/>
    <w:basedOn w:val="Style_10_ch"/>
    <w:link w:val="Style_521"/>
    <w:rPr>
      <w:sz w:val="24"/>
    </w:rPr>
  </w:style>
  <w:style w:styleId="Style_522" w:type="paragraph">
    <w:name w:val="font241"/>
    <w:link w:val="Style_522_ch"/>
    <w:rPr>
      <w:b w:val="1"/>
      <w:vertAlign w:val="superscript"/>
    </w:rPr>
  </w:style>
  <w:style w:styleId="Style_522_ch" w:type="character">
    <w:name w:val="font241"/>
    <w:link w:val="Style_522"/>
    <w:rPr>
      <w:b w:val="1"/>
      <w:vertAlign w:val="superscript"/>
    </w:rPr>
  </w:style>
  <w:style w:styleId="Style_523" w:type="paragraph">
    <w:name w:val="Пояснительная"/>
    <w:basedOn w:val="Style_10"/>
    <w:link w:val="Style_523_ch"/>
    <w:pPr>
      <w:spacing w:after="0" w:line="240" w:lineRule="auto"/>
      <w:ind w:firstLine="720" w:left="0"/>
      <w:jc w:val="both"/>
    </w:pPr>
    <w:rPr>
      <w:sz w:val="28"/>
    </w:rPr>
  </w:style>
  <w:style w:styleId="Style_523_ch" w:type="character">
    <w:name w:val="Пояснительная"/>
    <w:basedOn w:val="Style_10_ch"/>
    <w:link w:val="Style_523"/>
    <w:rPr>
      <w:sz w:val="28"/>
    </w:rPr>
  </w:style>
  <w:style w:styleId="Style_524" w:type="paragraph">
    <w:name w:val="Style40"/>
    <w:basedOn w:val="Style_10"/>
    <w:link w:val="Style_524_ch"/>
    <w:pPr>
      <w:widowControl w:val="0"/>
      <w:spacing w:after="0" w:line="259" w:lineRule="exact"/>
      <w:ind w:firstLine="437" w:left="0"/>
      <w:jc w:val="both"/>
    </w:pPr>
    <w:rPr>
      <w:sz w:val="24"/>
    </w:rPr>
  </w:style>
  <w:style w:styleId="Style_524_ch" w:type="character">
    <w:name w:val="Style40"/>
    <w:basedOn w:val="Style_10_ch"/>
    <w:link w:val="Style_524"/>
    <w:rPr>
      <w:sz w:val="24"/>
    </w:rPr>
  </w:style>
  <w:style w:styleId="Style_525" w:type="paragraph">
    <w:name w:val="Font Style16"/>
    <w:link w:val="Style_525_ch"/>
    <w:rPr>
      <w:sz w:val="22"/>
    </w:rPr>
  </w:style>
  <w:style w:styleId="Style_525_ch" w:type="character">
    <w:name w:val="Font Style16"/>
    <w:link w:val="Style_525"/>
    <w:rPr>
      <w:sz w:val="22"/>
    </w:rPr>
  </w:style>
  <w:style w:styleId="Style_526" w:type="paragraph">
    <w:name w:val="Body Text 21"/>
    <w:basedOn w:val="Style_10"/>
    <w:link w:val="Style_526_ch"/>
    <w:pPr>
      <w:widowControl w:val="0"/>
      <w:spacing w:after="0" w:line="240" w:lineRule="auto"/>
      <w:ind/>
      <w:jc w:val="both"/>
    </w:pPr>
    <w:rPr>
      <w:rFonts w:ascii="Arial" w:hAnsi="Arial"/>
      <w:sz w:val="28"/>
    </w:rPr>
  </w:style>
  <w:style w:styleId="Style_526_ch" w:type="character">
    <w:name w:val="Body Text 21"/>
    <w:basedOn w:val="Style_10_ch"/>
    <w:link w:val="Style_526"/>
    <w:rPr>
      <w:rFonts w:ascii="Arial" w:hAnsi="Arial"/>
      <w:sz w:val="28"/>
    </w:rPr>
  </w:style>
  <w:style w:styleId="Style_527" w:type="paragraph">
    <w:name w:val="WW-WW8Num29z0"/>
    <w:link w:val="Style_527_ch"/>
    <w:rPr>
      <w:rFonts w:ascii="Courier New" w:hAnsi="Courier New"/>
    </w:rPr>
  </w:style>
  <w:style w:styleId="Style_527_ch" w:type="character">
    <w:name w:val="WW-WW8Num29z0"/>
    <w:link w:val="Style_527"/>
    <w:rPr>
      <w:rFonts w:ascii="Courier New" w:hAnsi="Courier New"/>
    </w:rPr>
  </w:style>
  <w:style w:styleId="Style_528" w:type="paragraph">
    <w:name w:val="WW8Num35z3"/>
    <w:link w:val="Style_528_ch"/>
    <w:rPr>
      <w:rFonts w:ascii="Symbol" w:hAnsi="Symbol"/>
    </w:rPr>
  </w:style>
  <w:style w:styleId="Style_528_ch" w:type="character">
    <w:name w:val="WW8Num35z3"/>
    <w:link w:val="Style_528"/>
    <w:rPr>
      <w:rFonts w:ascii="Symbol" w:hAnsi="Symbol"/>
    </w:rPr>
  </w:style>
  <w:style w:styleId="Style_529" w:type="paragraph">
    <w:name w:val="FR1"/>
    <w:link w:val="Style_529_ch"/>
    <w:pPr>
      <w:widowControl w:val="0"/>
      <w:spacing w:before="380"/>
      <w:ind w:firstLine="0" w:left="2720"/>
    </w:pPr>
    <w:rPr>
      <w:rFonts w:ascii="Arial" w:hAnsi="Arial"/>
      <w:sz w:val="28"/>
    </w:rPr>
  </w:style>
  <w:style w:styleId="Style_529_ch" w:type="character">
    <w:name w:val="FR1"/>
    <w:link w:val="Style_529"/>
    <w:rPr>
      <w:rFonts w:ascii="Arial" w:hAnsi="Arial"/>
      <w:sz w:val="28"/>
    </w:rPr>
  </w:style>
  <w:style w:styleId="Style_530" w:type="paragraph">
    <w:name w:val="Font Style69"/>
    <w:link w:val="Style_530_ch"/>
    <w:rPr>
      <w:rFonts w:ascii="Trebuchet MS" w:hAnsi="Trebuchet MS"/>
      <w:b w:val="1"/>
      <w:sz w:val="14"/>
    </w:rPr>
  </w:style>
  <w:style w:styleId="Style_530_ch" w:type="character">
    <w:name w:val="Font Style69"/>
    <w:link w:val="Style_530"/>
    <w:rPr>
      <w:rFonts w:ascii="Trebuchet MS" w:hAnsi="Trebuchet MS"/>
      <w:b w:val="1"/>
      <w:sz w:val="14"/>
    </w:rPr>
  </w:style>
  <w:style w:styleId="Style_531" w:type="paragraph">
    <w:name w:val="WW8Num50z2"/>
    <w:link w:val="Style_531_ch"/>
    <w:rPr>
      <w:rFonts w:ascii="Wingdings" w:hAnsi="Wingdings"/>
    </w:rPr>
  </w:style>
  <w:style w:styleId="Style_531_ch" w:type="character">
    <w:name w:val="WW8Num50z2"/>
    <w:link w:val="Style_531"/>
    <w:rPr>
      <w:rFonts w:ascii="Wingdings" w:hAnsi="Wingdings"/>
    </w:rPr>
  </w:style>
  <w:style w:styleId="Style_532" w:type="paragraph">
    <w:name w:val="Основной текст 22"/>
    <w:basedOn w:val="Style_10"/>
    <w:link w:val="Style_532_ch"/>
    <w:pPr>
      <w:widowControl w:val="0"/>
      <w:spacing w:after="120" w:line="480" w:lineRule="auto"/>
      <w:ind/>
    </w:pPr>
    <w:rPr>
      <w:sz w:val="24"/>
    </w:rPr>
  </w:style>
  <w:style w:styleId="Style_532_ch" w:type="character">
    <w:name w:val="Основной текст 22"/>
    <w:basedOn w:val="Style_10_ch"/>
    <w:link w:val="Style_532"/>
    <w:rPr>
      <w:sz w:val="24"/>
    </w:rPr>
  </w:style>
  <w:style w:styleId="Style_533" w:type="paragraph">
    <w:name w:val="Table Text"/>
    <w:basedOn w:val="Style_10"/>
    <w:link w:val="Style_533_ch"/>
    <w:pPr>
      <w:spacing w:after="120" w:line="240" w:lineRule="auto"/>
      <w:ind/>
    </w:pPr>
    <w:rPr>
      <w:rFonts w:ascii="Arial" w:hAnsi="Arial"/>
      <w:sz w:val="24"/>
    </w:rPr>
  </w:style>
  <w:style w:styleId="Style_533_ch" w:type="character">
    <w:name w:val="Table Text"/>
    <w:basedOn w:val="Style_10_ch"/>
    <w:link w:val="Style_533"/>
    <w:rPr>
      <w:rFonts w:ascii="Arial" w:hAnsi="Arial"/>
      <w:sz w:val="24"/>
    </w:rPr>
  </w:style>
  <w:style w:styleId="Style_534" w:type="paragraph">
    <w:name w:val="toc 3"/>
    <w:basedOn w:val="Style_10"/>
    <w:next w:val="Style_10"/>
    <w:link w:val="Style_534_ch"/>
    <w:uiPriority w:val="39"/>
    <w:pPr>
      <w:widowControl w:val="0"/>
      <w:tabs>
        <w:tab w:leader="dot" w:pos="10080" w:val="right"/>
      </w:tabs>
      <w:spacing w:after="0" w:line="240" w:lineRule="auto"/>
      <w:ind w:firstLine="0" w:left="480"/>
      <w:jc w:val="both"/>
    </w:pPr>
    <w:rPr>
      <w:sz w:val="24"/>
    </w:rPr>
  </w:style>
  <w:style w:styleId="Style_534_ch" w:type="character">
    <w:name w:val="toc 3"/>
    <w:basedOn w:val="Style_10_ch"/>
    <w:link w:val="Style_534"/>
    <w:rPr>
      <w:sz w:val="24"/>
    </w:rPr>
  </w:style>
  <w:style w:styleId="Style_535" w:type="paragraph">
    <w:name w:val="Style31"/>
    <w:basedOn w:val="Style_10"/>
    <w:link w:val="Style_535_ch"/>
    <w:pPr>
      <w:widowControl w:val="0"/>
      <w:spacing w:after="0" w:line="240" w:lineRule="auto"/>
      <w:ind/>
    </w:pPr>
    <w:rPr>
      <w:sz w:val="24"/>
    </w:rPr>
  </w:style>
  <w:style w:styleId="Style_535_ch" w:type="character">
    <w:name w:val="Style31"/>
    <w:basedOn w:val="Style_10_ch"/>
    <w:link w:val="Style_535"/>
    <w:rPr>
      <w:sz w:val="24"/>
    </w:rPr>
  </w:style>
  <w:style w:styleId="Style_536" w:type="paragraph">
    <w:name w:val="Style23"/>
    <w:basedOn w:val="Style_10"/>
    <w:link w:val="Style_536_ch"/>
    <w:pPr>
      <w:widowControl w:val="0"/>
      <w:spacing w:after="0" w:line="240" w:lineRule="auto"/>
      <w:ind/>
    </w:pPr>
    <w:rPr>
      <w:sz w:val="24"/>
    </w:rPr>
  </w:style>
  <w:style w:styleId="Style_536_ch" w:type="character">
    <w:name w:val="Style23"/>
    <w:basedOn w:val="Style_10_ch"/>
    <w:link w:val="Style_536"/>
    <w:rPr>
      <w:sz w:val="24"/>
    </w:rPr>
  </w:style>
  <w:style w:styleId="Style_537" w:type="paragraph">
    <w:name w:val="text"/>
    <w:link w:val="Style_537_ch"/>
  </w:style>
  <w:style w:styleId="Style_537_ch" w:type="character">
    <w:name w:val="text"/>
    <w:link w:val="Style_537"/>
  </w:style>
  <w:style w:styleId="Style_538" w:type="paragraph">
    <w:name w:val="????????? ???????"/>
    <w:basedOn w:val="Style_539"/>
    <w:link w:val="Style_538_ch"/>
    <w:pPr>
      <w:ind/>
      <w:jc w:val="center"/>
    </w:pPr>
    <w:rPr>
      <w:b w:val="1"/>
      <w:i w:val="1"/>
    </w:rPr>
  </w:style>
  <w:style w:styleId="Style_538_ch" w:type="character">
    <w:name w:val="????????? ???????"/>
    <w:basedOn w:val="Style_539_ch"/>
    <w:link w:val="Style_538"/>
    <w:rPr>
      <w:b w:val="1"/>
      <w:i w:val="1"/>
    </w:rPr>
  </w:style>
  <w:style w:styleId="Style_540" w:type="paragraph">
    <w:name w:val="Style38"/>
    <w:basedOn w:val="Style_10"/>
    <w:link w:val="Style_540_ch"/>
    <w:pPr>
      <w:widowControl w:val="0"/>
      <w:spacing w:after="0" w:line="434" w:lineRule="exact"/>
      <w:ind w:firstLine="418" w:left="0"/>
      <w:jc w:val="both"/>
    </w:pPr>
    <w:rPr>
      <w:sz w:val="24"/>
    </w:rPr>
  </w:style>
  <w:style w:styleId="Style_540_ch" w:type="character">
    <w:name w:val="Style38"/>
    <w:basedOn w:val="Style_10_ch"/>
    <w:link w:val="Style_540"/>
    <w:rPr>
      <w:sz w:val="24"/>
    </w:rPr>
  </w:style>
  <w:style w:styleId="Style_541" w:type="paragraph">
    <w:name w:val="S_Обычный"/>
    <w:basedOn w:val="Style_10"/>
    <w:link w:val="Style_541_ch"/>
    <w:pPr>
      <w:spacing w:after="0" w:line="360" w:lineRule="auto"/>
      <w:ind w:firstLine="709" w:left="0"/>
      <w:jc w:val="both"/>
    </w:pPr>
    <w:rPr>
      <w:sz w:val="24"/>
    </w:rPr>
  </w:style>
  <w:style w:styleId="Style_541_ch" w:type="character">
    <w:name w:val="S_Обычный"/>
    <w:basedOn w:val="Style_10_ch"/>
    <w:link w:val="Style_541"/>
    <w:rPr>
      <w:sz w:val="24"/>
    </w:rPr>
  </w:style>
  <w:style w:styleId="Style_542" w:type="paragraph">
    <w:name w:val="WW8NumSt1z0"/>
    <w:link w:val="Style_542_ch"/>
  </w:style>
  <w:style w:styleId="Style_542_ch" w:type="character">
    <w:name w:val="WW8NumSt1z0"/>
    <w:link w:val="Style_542"/>
  </w:style>
  <w:style w:styleId="Style_543" w:type="paragraph">
    <w:name w:val="название таблицы"/>
    <w:basedOn w:val="Style_10"/>
    <w:link w:val="Style_543_ch"/>
    <w:pPr>
      <w:tabs>
        <w:tab w:leader="none" w:pos="284" w:val="left"/>
        <w:tab w:leader="none" w:pos="1191" w:val="left"/>
      </w:tabs>
      <w:spacing w:after="120" w:line="360" w:lineRule="atLeast"/>
      <w:ind w:firstLine="709" w:left="0"/>
      <w:jc w:val="right"/>
    </w:pPr>
    <w:rPr>
      <w:b w:val="1"/>
    </w:rPr>
  </w:style>
  <w:style w:styleId="Style_543_ch" w:type="character">
    <w:name w:val="название таблицы"/>
    <w:basedOn w:val="Style_10_ch"/>
    <w:link w:val="Style_543"/>
    <w:rPr>
      <w:b w:val="1"/>
    </w:rPr>
  </w:style>
  <w:style w:styleId="Style_544" w:type="paragraph">
    <w:name w:val="Обычный_IG Знак Знак Знак"/>
    <w:basedOn w:val="Style_10"/>
    <w:link w:val="Style_544_ch"/>
    <w:pPr>
      <w:spacing w:after="0" w:line="360" w:lineRule="auto"/>
      <w:ind w:firstLine="709" w:left="0"/>
      <w:jc w:val="both"/>
    </w:pPr>
    <w:rPr>
      <w:sz w:val="28"/>
    </w:rPr>
  </w:style>
  <w:style w:styleId="Style_544_ch" w:type="character">
    <w:name w:val="Обычный_IG Знак Знак Знак"/>
    <w:basedOn w:val="Style_10_ch"/>
    <w:link w:val="Style_544"/>
    <w:rPr>
      <w:sz w:val="28"/>
    </w:rPr>
  </w:style>
  <w:style w:styleId="Style_545" w:type="paragraph">
    <w:name w:val="WW8Num56z0"/>
    <w:link w:val="Style_545_ch"/>
    <w:rPr>
      <w:rFonts w:ascii="Wingdings" w:hAnsi="Wingdings"/>
    </w:rPr>
  </w:style>
  <w:style w:styleId="Style_545_ch" w:type="character">
    <w:name w:val="WW8Num56z0"/>
    <w:link w:val="Style_545"/>
    <w:rPr>
      <w:rFonts w:ascii="Wingdings" w:hAnsi="Wingdings"/>
    </w:rPr>
  </w:style>
  <w:style w:styleId="Style_546" w:type="paragraph">
    <w:name w:val="WW-Содержимое врезки"/>
    <w:basedOn w:val="Style_74"/>
    <w:link w:val="Style_546_ch"/>
    <w:pPr>
      <w:widowControl w:val="0"/>
      <w:ind/>
    </w:pPr>
    <w:rPr>
      <w:rFonts w:ascii="Courier New" w:hAnsi="Courier New"/>
    </w:rPr>
  </w:style>
  <w:style w:styleId="Style_546_ch" w:type="character">
    <w:name w:val="WW-Содержимое врезки"/>
    <w:basedOn w:val="Style_74_ch"/>
    <w:link w:val="Style_546"/>
    <w:rPr>
      <w:rFonts w:ascii="Courier New" w:hAnsi="Courier New"/>
    </w:rPr>
  </w:style>
  <w:style w:styleId="Style_547" w:type="paragraph">
    <w:name w:val="Style74"/>
    <w:basedOn w:val="Style_10"/>
    <w:link w:val="Style_547_ch"/>
    <w:pPr>
      <w:widowControl w:val="0"/>
      <w:spacing w:after="0" w:line="240" w:lineRule="auto"/>
      <w:ind/>
    </w:pPr>
    <w:rPr>
      <w:sz w:val="24"/>
    </w:rPr>
  </w:style>
  <w:style w:styleId="Style_547_ch" w:type="character">
    <w:name w:val="Style74"/>
    <w:basedOn w:val="Style_10_ch"/>
    <w:link w:val="Style_547"/>
    <w:rPr>
      <w:sz w:val="24"/>
    </w:rPr>
  </w:style>
  <w:style w:styleId="Style_548" w:type="paragraph">
    <w:name w:val="Font Style184"/>
    <w:link w:val="Style_548_ch"/>
    <w:rPr>
      <w:rFonts w:ascii="Aharoni" w:hAnsi="Aharoni"/>
      <w:i w:val="1"/>
      <w:sz w:val="42"/>
    </w:rPr>
  </w:style>
  <w:style w:styleId="Style_548_ch" w:type="character">
    <w:name w:val="Font Style184"/>
    <w:link w:val="Style_548"/>
    <w:rPr>
      <w:rFonts w:ascii="Aharoni" w:hAnsi="Aharoni"/>
      <w:i w:val="1"/>
      <w:sz w:val="42"/>
    </w:rPr>
  </w:style>
  <w:style w:styleId="Style_549" w:type="paragraph">
    <w:name w:val="Default"/>
    <w:link w:val="Style_549_ch"/>
    <w:rPr>
      <w:rFonts w:ascii="Arial" w:hAnsi="Arial"/>
      <w:sz w:val="24"/>
    </w:rPr>
  </w:style>
  <w:style w:styleId="Style_549_ch" w:type="character">
    <w:name w:val="Default"/>
    <w:link w:val="Style_549"/>
    <w:rPr>
      <w:rFonts w:ascii="Arial" w:hAnsi="Arial"/>
      <w:sz w:val="24"/>
    </w:rPr>
  </w:style>
  <w:style w:styleId="Style_550" w:type="paragraph">
    <w:name w:val="Font Style88"/>
    <w:link w:val="Style_550_ch"/>
    <w:rPr>
      <w:rFonts w:ascii="Century Gothic" w:hAnsi="Century Gothic"/>
      <w:sz w:val="28"/>
    </w:rPr>
  </w:style>
  <w:style w:styleId="Style_550_ch" w:type="character">
    <w:name w:val="Font Style88"/>
    <w:link w:val="Style_550"/>
    <w:rPr>
      <w:rFonts w:ascii="Century Gothic" w:hAnsi="Century Gothic"/>
      <w:sz w:val="28"/>
    </w:rPr>
  </w:style>
  <w:style w:styleId="Style_9" w:type="paragraph">
    <w:name w:val="Обычный (веб)1"/>
    <w:basedOn w:val="Style_10"/>
    <w:link w:val="Style_9_ch"/>
    <w:pPr>
      <w:spacing w:after="100" w:before="100" w:line="240" w:lineRule="auto"/>
      <w:ind/>
    </w:pPr>
    <w:rPr>
      <w:sz w:val="24"/>
    </w:rPr>
  </w:style>
  <w:style w:styleId="Style_9_ch" w:type="character">
    <w:name w:val="Обычный (веб)1"/>
    <w:basedOn w:val="Style_10_ch"/>
    <w:link w:val="Style_9"/>
    <w:rPr>
      <w:sz w:val="24"/>
    </w:rPr>
  </w:style>
  <w:style w:styleId="Style_551" w:type="paragraph">
    <w:name w:val="WW8Num64z0"/>
    <w:link w:val="Style_551_ch"/>
    <w:rPr>
      <w:rFonts w:ascii="Symbol" w:hAnsi="Symbol"/>
    </w:rPr>
  </w:style>
  <w:style w:styleId="Style_551_ch" w:type="character">
    <w:name w:val="WW8Num64z0"/>
    <w:link w:val="Style_551"/>
    <w:rPr>
      <w:rFonts w:ascii="Symbol" w:hAnsi="Symbol"/>
    </w:rPr>
  </w:style>
  <w:style w:styleId="Style_552" w:type="paragraph">
    <w:name w:val="xl163"/>
    <w:basedOn w:val="Style_10"/>
    <w:link w:val="Style_552_ch"/>
    <w:pPr>
      <w:spacing w:after="280" w:before="280" w:line="240" w:lineRule="auto"/>
      <w:ind/>
      <w:jc w:val="center"/>
    </w:pPr>
    <w:rPr>
      <w:b w:val="1"/>
    </w:rPr>
  </w:style>
  <w:style w:styleId="Style_552_ch" w:type="character">
    <w:name w:val="xl163"/>
    <w:basedOn w:val="Style_10_ch"/>
    <w:link w:val="Style_552"/>
    <w:rPr>
      <w:b w:val="1"/>
    </w:rPr>
  </w:style>
  <w:style w:styleId="Style_74" w:type="paragraph">
    <w:name w:val="Body Text"/>
    <w:basedOn w:val="Style_10"/>
    <w:link w:val="Style_74_ch"/>
    <w:pPr>
      <w:spacing w:after="120" w:line="240" w:lineRule="auto"/>
      <w:ind/>
    </w:pPr>
    <w:rPr>
      <w:sz w:val="20"/>
    </w:rPr>
  </w:style>
  <w:style w:styleId="Style_74_ch" w:type="character">
    <w:name w:val="Body Text"/>
    <w:basedOn w:val="Style_10_ch"/>
    <w:link w:val="Style_74"/>
    <w:rPr>
      <w:sz w:val="20"/>
    </w:rPr>
  </w:style>
  <w:style w:styleId="Style_553" w:type="paragraph">
    <w:name w:val="Текст сноски Знак"/>
    <w:link w:val="Style_553_ch"/>
    <w:rPr>
      <w:sz w:val="24"/>
    </w:rPr>
  </w:style>
  <w:style w:styleId="Style_553_ch" w:type="character">
    <w:name w:val="Текст сноски Знак"/>
    <w:link w:val="Style_553"/>
    <w:rPr>
      <w:sz w:val="24"/>
    </w:rPr>
  </w:style>
  <w:style w:styleId="Style_554" w:type="paragraph">
    <w:name w:val="geo"/>
    <w:link w:val="Style_554_ch"/>
  </w:style>
  <w:style w:styleId="Style_554_ch" w:type="character">
    <w:name w:val="geo"/>
    <w:link w:val="Style_554"/>
  </w:style>
  <w:style w:styleId="Style_555" w:type="paragraph">
    <w:name w:val="xl164"/>
    <w:basedOn w:val="Style_10"/>
    <w:link w:val="Style_555_ch"/>
    <w:pPr>
      <w:spacing w:after="280" w:before="280" w:line="240" w:lineRule="auto"/>
      <w:ind/>
      <w:jc w:val="center"/>
    </w:pPr>
    <w:rPr>
      <w:b w:val="1"/>
      <w:sz w:val="28"/>
    </w:rPr>
  </w:style>
  <w:style w:styleId="Style_555_ch" w:type="character">
    <w:name w:val="xl164"/>
    <w:basedOn w:val="Style_10_ch"/>
    <w:link w:val="Style_555"/>
    <w:rPr>
      <w:b w:val="1"/>
      <w:sz w:val="28"/>
    </w:rPr>
  </w:style>
  <w:style w:styleId="Style_556" w:type="paragraph">
    <w:name w:val="??????? ??????"/>
    <w:link w:val="Style_556_ch"/>
    <w:rPr>
      <w:rFonts w:ascii="StarSymbol" w:hAnsi="StarSymbol"/>
      <w:sz w:val="18"/>
    </w:rPr>
  </w:style>
  <w:style w:styleId="Style_556_ch" w:type="character">
    <w:name w:val="??????? ??????"/>
    <w:link w:val="Style_556"/>
    <w:rPr>
      <w:rFonts w:ascii="StarSymbol" w:hAnsi="StarSymbol"/>
      <w:sz w:val="18"/>
    </w:rPr>
  </w:style>
  <w:style w:styleId="Style_557" w:type="paragraph">
    <w:name w:val="Style48"/>
    <w:basedOn w:val="Style_10"/>
    <w:link w:val="Style_557_ch"/>
    <w:pPr>
      <w:widowControl w:val="0"/>
      <w:spacing w:after="0" w:line="322" w:lineRule="exact"/>
      <w:ind w:firstLine="370" w:left="0"/>
      <w:jc w:val="both"/>
    </w:pPr>
    <w:rPr>
      <w:sz w:val="24"/>
    </w:rPr>
  </w:style>
  <w:style w:styleId="Style_557_ch" w:type="character">
    <w:name w:val="Style48"/>
    <w:basedOn w:val="Style_10_ch"/>
    <w:link w:val="Style_557"/>
    <w:rPr>
      <w:sz w:val="24"/>
    </w:rPr>
  </w:style>
  <w:style w:styleId="Style_558" w:type="paragraph">
    <w:name w:val="Style123"/>
    <w:basedOn w:val="Style_10"/>
    <w:link w:val="Style_558_ch"/>
    <w:pPr>
      <w:widowControl w:val="0"/>
      <w:spacing w:after="0" w:line="240" w:lineRule="auto"/>
      <w:ind/>
    </w:pPr>
    <w:rPr>
      <w:sz w:val="24"/>
    </w:rPr>
  </w:style>
  <w:style w:styleId="Style_558_ch" w:type="character">
    <w:name w:val="Style123"/>
    <w:basedOn w:val="Style_10_ch"/>
    <w:link w:val="Style_558"/>
    <w:rPr>
      <w:sz w:val="24"/>
    </w:rPr>
  </w:style>
  <w:style w:styleId="Style_559" w:type="paragraph">
    <w:name w:val="WW8Num66z1"/>
    <w:link w:val="Style_559_ch"/>
    <w:rPr>
      <w:rFonts w:ascii="Courier New" w:hAnsi="Courier New"/>
    </w:rPr>
  </w:style>
  <w:style w:styleId="Style_559_ch" w:type="character">
    <w:name w:val="WW8Num66z1"/>
    <w:link w:val="Style_559"/>
    <w:rPr>
      <w:rFonts w:ascii="Courier New" w:hAnsi="Courier New"/>
    </w:rPr>
  </w:style>
  <w:style w:styleId="Style_560" w:type="paragraph">
    <w:name w:val="WW8Num27z3"/>
    <w:link w:val="Style_560_ch"/>
    <w:rPr>
      <w:rFonts w:ascii="Symbol" w:hAnsi="Symbol"/>
    </w:rPr>
  </w:style>
  <w:style w:styleId="Style_560_ch" w:type="character">
    <w:name w:val="WW8Num27z3"/>
    <w:link w:val="Style_560"/>
    <w:rPr>
      <w:rFonts w:ascii="Symbol" w:hAnsi="Symbol"/>
    </w:rPr>
  </w:style>
  <w:style w:styleId="Style_561" w:type="paragraph">
    <w:name w:val="xl159"/>
    <w:basedOn w:val="Style_10"/>
    <w:link w:val="Style_561_ch"/>
    <w:pPr>
      <w:spacing w:after="280" w:before="280" w:line="240" w:lineRule="auto"/>
      <w:ind/>
      <w:jc w:val="center"/>
    </w:pPr>
    <w:rPr>
      <w:sz w:val="24"/>
    </w:rPr>
  </w:style>
  <w:style w:styleId="Style_561_ch" w:type="character">
    <w:name w:val="xl159"/>
    <w:basedOn w:val="Style_10_ch"/>
    <w:link w:val="Style_561"/>
    <w:rPr>
      <w:sz w:val="24"/>
    </w:rPr>
  </w:style>
  <w:style w:styleId="Style_562" w:type="paragraph">
    <w:name w:val="Текст примечания2"/>
    <w:basedOn w:val="Style_10"/>
    <w:link w:val="Style_562_ch"/>
    <w:pPr>
      <w:spacing w:after="0" w:line="240" w:lineRule="auto"/>
      <w:ind/>
    </w:pPr>
    <w:rPr>
      <w:sz w:val="20"/>
    </w:rPr>
  </w:style>
  <w:style w:styleId="Style_562_ch" w:type="character">
    <w:name w:val="Текст примечания2"/>
    <w:basedOn w:val="Style_10_ch"/>
    <w:link w:val="Style_562"/>
    <w:rPr>
      <w:sz w:val="20"/>
    </w:rPr>
  </w:style>
  <w:style w:styleId="Style_563" w:type="paragraph">
    <w:name w:val="xl125"/>
    <w:basedOn w:val="Style_10"/>
    <w:link w:val="Style_563_ch"/>
    <w:pPr>
      <w:spacing w:after="280" w:before="280" w:line="240" w:lineRule="auto"/>
      <w:ind/>
      <w:jc w:val="center"/>
    </w:pPr>
    <w:rPr>
      <w:sz w:val="18"/>
    </w:rPr>
  </w:style>
  <w:style w:styleId="Style_563_ch" w:type="character">
    <w:name w:val="xl125"/>
    <w:basedOn w:val="Style_10_ch"/>
    <w:link w:val="Style_563"/>
    <w:rPr>
      <w:sz w:val="18"/>
    </w:rPr>
  </w:style>
  <w:style w:styleId="Style_564" w:type="paragraph">
    <w:name w:val="Style61"/>
    <w:basedOn w:val="Style_10"/>
    <w:link w:val="Style_564_ch"/>
    <w:pPr>
      <w:widowControl w:val="0"/>
      <w:spacing w:after="0" w:line="274" w:lineRule="exact"/>
      <w:ind/>
    </w:pPr>
    <w:rPr>
      <w:sz w:val="24"/>
    </w:rPr>
  </w:style>
  <w:style w:styleId="Style_564_ch" w:type="character">
    <w:name w:val="Style61"/>
    <w:basedOn w:val="Style_10_ch"/>
    <w:link w:val="Style_564"/>
    <w:rPr>
      <w:sz w:val="24"/>
    </w:rPr>
  </w:style>
  <w:style w:styleId="Style_565" w:type="paragraph">
    <w:name w:val="Схема документа Знак1"/>
    <w:link w:val="Style_565_ch"/>
    <w:rPr>
      <w:rFonts w:ascii="Tahoma" w:hAnsi="Tahoma"/>
      <w:sz w:val="16"/>
    </w:rPr>
  </w:style>
  <w:style w:styleId="Style_565_ch" w:type="character">
    <w:name w:val="Схема документа Знак1"/>
    <w:link w:val="Style_565"/>
    <w:rPr>
      <w:rFonts w:ascii="Tahoma" w:hAnsi="Tahoma"/>
      <w:sz w:val="16"/>
    </w:rPr>
  </w:style>
  <w:style w:styleId="Style_566" w:type="paragraph">
    <w:name w:val="latitude"/>
    <w:link w:val="Style_566_ch"/>
  </w:style>
  <w:style w:styleId="Style_566_ch" w:type="character">
    <w:name w:val="latitude"/>
    <w:link w:val="Style_566"/>
  </w:style>
  <w:style w:styleId="Style_567" w:type="paragraph">
    <w:name w:val="WW8Num62z0"/>
    <w:link w:val="Style_567_ch"/>
  </w:style>
  <w:style w:styleId="Style_567_ch" w:type="character">
    <w:name w:val="WW8Num62z0"/>
    <w:link w:val="Style_567"/>
  </w:style>
  <w:style w:styleId="Style_568" w:type="paragraph">
    <w:name w:val="xl60"/>
    <w:basedOn w:val="Style_10"/>
    <w:link w:val="Style_568_ch"/>
    <w:pPr>
      <w:spacing w:after="280" w:before="280" w:line="360" w:lineRule="atLeast"/>
      <w:ind w:firstLine="709" w:left="0"/>
      <w:jc w:val="both"/>
    </w:pPr>
    <w:rPr>
      <w:rFonts w:ascii="Arial" w:hAnsi="Arial"/>
      <w:b w:val="1"/>
      <w:sz w:val="24"/>
    </w:rPr>
  </w:style>
  <w:style w:styleId="Style_568_ch" w:type="character">
    <w:name w:val="xl60"/>
    <w:basedOn w:val="Style_10_ch"/>
    <w:link w:val="Style_568"/>
    <w:rPr>
      <w:rFonts w:ascii="Arial" w:hAnsi="Arial"/>
      <w:b w:val="1"/>
      <w:sz w:val="24"/>
    </w:rPr>
  </w:style>
  <w:style w:styleId="Style_569" w:type="paragraph">
    <w:name w:val="maintext"/>
    <w:basedOn w:val="Style_10"/>
    <w:link w:val="Style_569_ch"/>
    <w:pPr>
      <w:spacing w:after="0" w:line="360" w:lineRule="atLeast"/>
      <w:ind w:firstLine="709" w:left="480" w:right="480"/>
      <w:jc w:val="both"/>
    </w:pPr>
    <w:rPr>
      <w:rFonts w:ascii="Arial" w:hAnsi="Arial"/>
      <w:color w:val="202020"/>
      <w:sz w:val="20"/>
    </w:rPr>
  </w:style>
  <w:style w:styleId="Style_569_ch" w:type="character">
    <w:name w:val="maintext"/>
    <w:basedOn w:val="Style_10_ch"/>
    <w:link w:val="Style_569"/>
    <w:rPr>
      <w:rFonts w:ascii="Arial" w:hAnsi="Arial"/>
      <w:color w:val="202020"/>
      <w:sz w:val="20"/>
    </w:rPr>
  </w:style>
  <w:style w:styleId="Style_570" w:type="paragraph">
    <w:name w:val="Заголовок 7 Знак1"/>
    <w:link w:val="Style_570_ch"/>
    <w:rPr>
      <w:b w:val="1"/>
      <w:sz w:val="23"/>
      <w:u w:val="single"/>
    </w:rPr>
  </w:style>
  <w:style w:styleId="Style_570_ch" w:type="character">
    <w:name w:val="Заголовок 7 Знак1"/>
    <w:link w:val="Style_570"/>
    <w:rPr>
      <w:b w:val="1"/>
      <w:sz w:val="23"/>
      <w:u w:val="single"/>
    </w:rPr>
  </w:style>
  <w:style w:styleId="Style_571" w:type="paragraph">
    <w:name w:val="WW8Num7z2"/>
    <w:link w:val="Style_571_ch"/>
    <w:rPr>
      <w:rFonts w:ascii="Wingdings" w:hAnsi="Wingdings"/>
    </w:rPr>
  </w:style>
  <w:style w:styleId="Style_571_ch" w:type="character">
    <w:name w:val="WW8Num7z2"/>
    <w:link w:val="Style_571"/>
    <w:rPr>
      <w:rFonts w:ascii="Wingdings" w:hAnsi="Wingdings"/>
    </w:rPr>
  </w:style>
  <w:style w:styleId="Style_572" w:type="paragraph">
    <w:name w:val="WW8Num31z2"/>
    <w:link w:val="Style_572_ch"/>
    <w:rPr>
      <w:rFonts w:ascii="Wingdings" w:hAnsi="Wingdings"/>
    </w:rPr>
  </w:style>
  <w:style w:styleId="Style_572_ch" w:type="character">
    <w:name w:val="WW8Num31z2"/>
    <w:link w:val="Style_572"/>
    <w:rPr>
      <w:rFonts w:ascii="Wingdings" w:hAnsi="Wingdings"/>
    </w:rPr>
  </w:style>
  <w:style w:styleId="Style_573" w:type="paragraph">
    <w:name w:val="WW-WW8Num23z0"/>
    <w:link w:val="Style_573_ch"/>
    <w:rPr>
      <w:rFonts w:ascii="Courier New" w:hAnsi="Courier New"/>
    </w:rPr>
  </w:style>
  <w:style w:styleId="Style_573_ch" w:type="character">
    <w:name w:val="WW-WW8Num23z0"/>
    <w:link w:val="Style_573"/>
    <w:rPr>
      <w:rFonts w:ascii="Courier New" w:hAnsi="Courier New"/>
    </w:rPr>
  </w:style>
  <w:style w:styleId="Style_574" w:type="paragraph">
    <w:name w:val="Указатель3"/>
    <w:basedOn w:val="Style_10"/>
    <w:link w:val="Style_574_ch"/>
    <w:pPr>
      <w:spacing w:after="0" w:line="240" w:lineRule="auto"/>
      <w:ind/>
    </w:pPr>
    <w:rPr>
      <w:rFonts w:ascii="Arial" w:hAnsi="Arial"/>
      <w:sz w:val="24"/>
    </w:rPr>
  </w:style>
  <w:style w:styleId="Style_574_ch" w:type="character">
    <w:name w:val="Указатель3"/>
    <w:basedOn w:val="Style_10_ch"/>
    <w:link w:val="Style_574"/>
    <w:rPr>
      <w:rFonts w:ascii="Arial" w:hAnsi="Arial"/>
      <w:sz w:val="24"/>
    </w:rPr>
  </w:style>
  <w:style w:styleId="Style_575" w:type="paragraph">
    <w:name w:val="Style87"/>
    <w:basedOn w:val="Style_10"/>
    <w:link w:val="Style_575_ch"/>
    <w:pPr>
      <w:widowControl w:val="0"/>
      <w:spacing w:after="0" w:line="240" w:lineRule="auto"/>
      <w:ind/>
    </w:pPr>
    <w:rPr>
      <w:sz w:val="24"/>
    </w:rPr>
  </w:style>
  <w:style w:styleId="Style_575_ch" w:type="character">
    <w:name w:val="Style87"/>
    <w:basedOn w:val="Style_10_ch"/>
    <w:link w:val="Style_575"/>
    <w:rPr>
      <w:sz w:val="24"/>
    </w:rPr>
  </w:style>
  <w:style w:styleId="Style_576" w:type="paragraph">
    <w:name w:val="clstext"/>
    <w:basedOn w:val="Style_10"/>
    <w:link w:val="Style_576_ch"/>
    <w:pPr>
      <w:spacing w:after="45" w:before="45" w:line="240" w:lineRule="auto"/>
      <w:ind w:firstLine="225" w:left="45" w:right="45"/>
      <w:jc w:val="both"/>
    </w:pPr>
    <w:rPr>
      <w:rFonts w:ascii="Arial CYR" w:hAnsi="Arial CYR"/>
      <w:sz w:val="18"/>
    </w:rPr>
  </w:style>
  <w:style w:styleId="Style_576_ch" w:type="character">
    <w:name w:val="clstext"/>
    <w:basedOn w:val="Style_10_ch"/>
    <w:link w:val="Style_576"/>
    <w:rPr>
      <w:rFonts w:ascii="Arial CYR" w:hAnsi="Arial CYR"/>
      <w:sz w:val="18"/>
    </w:rPr>
  </w:style>
  <w:style w:styleId="Style_577" w:type="paragraph">
    <w:name w:val="WW8Num26z0"/>
    <w:link w:val="Style_577_ch"/>
    <w:rPr>
      <w:rFonts w:ascii="Symbol" w:hAnsi="Symbol"/>
    </w:rPr>
  </w:style>
  <w:style w:styleId="Style_577_ch" w:type="character">
    <w:name w:val="WW8Num26z0"/>
    <w:link w:val="Style_577"/>
    <w:rPr>
      <w:rFonts w:ascii="Symbol" w:hAnsi="Symbol"/>
    </w:rPr>
  </w:style>
  <w:style w:styleId="Style_578" w:type="paragraph">
    <w:name w:val="WW8Num9z1"/>
    <w:link w:val="Style_578_ch"/>
    <w:rPr>
      <w:rFonts w:ascii="Courier New" w:hAnsi="Courier New"/>
    </w:rPr>
  </w:style>
  <w:style w:styleId="Style_578_ch" w:type="character">
    <w:name w:val="WW8Num9z1"/>
    <w:link w:val="Style_578"/>
    <w:rPr>
      <w:rFonts w:ascii="Courier New" w:hAnsi="Courier New"/>
    </w:rPr>
  </w:style>
  <w:style w:styleId="Style_579" w:type="paragraph">
    <w:name w:val="Style19"/>
    <w:basedOn w:val="Style_10"/>
    <w:link w:val="Style_579_ch"/>
    <w:pPr>
      <w:widowControl w:val="0"/>
      <w:spacing w:after="0" w:line="240" w:lineRule="auto"/>
      <w:ind/>
    </w:pPr>
    <w:rPr>
      <w:sz w:val="24"/>
    </w:rPr>
  </w:style>
  <w:style w:styleId="Style_579_ch" w:type="character">
    <w:name w:val="Style19"/>
    <w:basedOn w:val="Style_10_ch"/>
    <w:link w:val="Style_579"/>
    <w:rPr>
      <w:sz w:val="24"/>
    </w:rPr>
  </w:style>
  <w:style w:styleId="Style_580" w:type="paragraph">
    <w:name w:val="Основной шрифт абзаца2"/>
    <w:link w:val="Style_580_ch"/>
  </w:style>
  <w:style w:styleId="Style_580_ch" w:type="character">
    <w:name w:val="Основной шрифт абзаца2"/>
    <w:link w:val="Style_580"/>
  </w:style>
  <w:style w:styleId="Style_581" w:type="paragraph">
    <w:name w:val="xl31"/>
    <w:basedOn w:val="Style_10"/>
    <w:link w:val="Style_581_ch"/>
    <w:pPr>
      <w:spacing w:after="280" w:before="280" w:line="360" w:lineRule="atLeast"/>
      <w:ind w:firstLine="709" w:left="0"/>
      <w:jc w:val="both"/>
    </w:pPr>
    <w:rPr>
      <w:rFonts w:ascii="Arial Narrow" w:hAnsi="Arial Narrow"/>
      <w:b w:val="1"/>
      <w:sz w:val="24"/>
    </w:rPr>
  </w:style>
  <w:style w:styleId="Style_581_ch" w:type="character">
    <w:name w:val="xl31"/>
    <w:basedOn w:val="Style_10_ch"/>
    <w:link w:val="Style_581"/>
    <w:rPr>
      <w:rFonts w:ascii="Arial Narrow" w:hAnsi="Arial Narrow"/>
      <w:b w:val="1"/>
      <w:sz w:val="24"/>
    </w:rPr>
  </w:style>
  <w:style w:styleId="Style_582" w:type="paragraph">
    <w:name w:val="List Bullet 2"/>
    <w:basedOn w:val="Style_10"/>
    <w:link w:val="Style_582_ch"/>
    <w:pPr>
      <w:tabs>
        <w:tab w:leader="none" w:pos="643" w:val="left"/>
      </w:tabs>
      <w:spacing w:after="0" w:line="360" w:lineRule="atLeast"/>
      <w:ind w:hanging="360" w:left="643"/>
      <w:jc w:val="both"/>
    </w:pPr>
  </w:style>
  <w:style w:styleId="Style_582_ch" w:type="character">
    <w:name w:val="List Bullet 2"/>
    <w:basedOn w:val="Style_10_ch"/>
    <w:link w:val="Style_582"/>
  </w:style>
  <w:style w:styleId="Style_583" w:type="paragraph">
    <w:name w:val="WW-Основной шрифт абзаца"/>
    <w:link w:val="Style_583_ch"/>
  </w:style>
  <w:style w:styleId="Style_583_ch" w:type="character">
    <w:name w:val="WW-Основной шрифт абзаца"/>
    <w:link w:val="Style_583"/>
  </w:style>
  <w:style w:styleId="Style_584" w:type="paragraph">
    <w:name w:val="Обратный отступ"/>
    <w:basedOn w:val="Style_74"/>
    <w:link w:val="Style_584_ch"/>
    <w:pPr>
      <w:widowControl w:val="0"/>
      <w:tabs>
        <w:tab w:leader="none" w:pos="567" w:val="left"/>
      </w:tabs>
      <w:spacing w:line="360" w:lineRule="atLeast"/>
      <w:ind w:hanging="283" w:left="567"/>
      <w:jc w:val="both"/>
    </w:pPr>
    <w:rPr>
      <w:sz w:val="24"/>
    </w:rPr>
  </w:style>
  <w:style w:styleId="Style_584_ch" w:type="character">
    <w:name w:val="Обратный отступ"/>
    <w:basedOn w:val="Style_74_ch"/>
    <w:link w:val="Style_584"/>
    <w:rPr>
      <w:sz w:val="24"/>
    </w:rPr>
  </w:style>
  <w:style w:styleId="Style_585" w:type="paragraph">
    <w:name w:val="WW8Num12z2"/>
    <w:link w:val="Style_585_ch"/>
    <w:rPr>
      <w:rFonts w:ascii="Wingdings" w:hAnsi="Wingdings"/>
    </w:rPr>
  </w:style>
  <w:style w:styleId="Style_585_ch" w:type="character">
    <w:name w:val="WW8Num12z2"/>
    <w:link w:val="Style_585"/>
    <w:rPr>
      <w:rFonts w:ascii="Wingdings" w:hAnsi="Wingdings"/>
    </w:rPr>
  </w:style>
  <w:style w:styleId="Style_586" w:type="paragraph">
    <w:name w:val="Normal Знак"/>
    <w:link w:val="Style_586_ch"/>
    <w:pPr>
      <w:widowControl w:val="0"/>
      <w:spacing w:line="360" w:lineRule="atLeast"/>
      <w:ind/>
      <w:jc w:val="both"/>
    </w:pPr>
    <w:rPr>
      <w:sz w:val="22"/>
    </w:rPr>
  </w:style>
  <w:style w:styleId="Style_586_ch" w:type="character">
    <w:name w:val="Normal Знак"/>
    <w:link w:val="Style_586"/>
    <w:rPr>
      <w:sz w:val="22"/>
    </w:rPr>
  </w:style>
  <w:style w:styleId="Style_587" w:type="paragraph">
    <w:name w:val="xl86"/>
    <w:basedOn w:val="Style_10"/>
    <w:link w:val="Style_587_ch"/>
    <w:pPr>
      <w:spacing w:afterAutospacing="on" w:beforeAutospacing="on" w:line="240" w:lineRule="auto"/>
      <w:ind/>
      <w:jc w:val="center"/>
    </w:pPr>
    <w:rPr>
      <w:sz w:val="26"/>
    </w:rPr>
  </w:style>
  <w:style w:styleId="Style_587_ch" w:type="character">
    <w:name w:val="xl86"/>
    <w:basedOn w:val="Style_10_ch"/>
    <w:link w:val="Style_587"/>
    <w:rPr>
      <w:sz w:val="26"/>
    </w:rPr>
  </w:style>
  <w:style w:styleId="Style_588" w:type="paragraph">
    <w:name w:val="Style34"/>
    <w:basedOn w:val="Style_10"/>
    <w:link w:val="Style_588_ch"/>
    <w:pPr>
      <w:widowControl w:val="0"/>
      <w:spacing w:after="0" w:line="240" w:lineRule="auto"/>
      <w:ind/>
    </w:pPr>
    <w:rPr>
      <w:sz w:val="24"/>
    </w:rPr>
  </w:style>
  <w:style w:styleId="Style_588_ch" w:type="character">
    <w:name w:val="Style34"/>
    <w:basedOn w:val="Style_10_ch"/>
    <w:link w:val="Style_588"/>
    <w:rPr>
      <w:sz w:val="24"/>
    </w:rPr>
  </w:style>
  <w:style w:styleId="Style_589" w:type="paragraph">
    <w:name w:val="p8"/>
    <w:basedOn w:val="Style_10"/>
    <w:link w:val="Style_589_ch"/>
    <w:pPr>
      <w:spacing w:afterAutospacing="on" w:beforeAutospacing="on" w:line="240" w:lineRule="auto"/>
      <w:ind/>
    </w:pPr>
    <w:rPr>
      <w:sz w:val="24"/>
    </w:rPr>
  </w:style>
  <w:style w:styleId="Style_589_ch" w:type="character">
    <w:name w:val="p8"/>
    <w:basedOn w:val="Style_10_ch"/>
    <w:link w:val="Style_589"/>
    <w:rPr>
      <w:sz w:val="24"/>
    </w:rPr>
  </w:style>
  <w:style w:styleId="Style_590" w:type="paragraph">
    <w:name w:val="WW-Absatz-Standardschriftart11111"/>
    <w:link w:val="Style_590_ch"/>
  </w:style>
  <w:style w:styleId="Style_590_ch" w:type="character">
    <w:name w:val="WW-Absatz-Standardschriftart11111"/>
    <w:link w:val="Style_590"/>
  </w:style>
  <w:style w:styleId="Style_591" w:type="paragraph">
    <w:name w:val="WW8Num48z1"/>
    <w:link w:val="Style_591_ch"/>
    <w:rPr>
      <w:rFonts w:ascii="Courier New" w:hAnsi="Courier New"/>
    </w:rPr>
  </w:style>
  <w:style w:styleId="Style_591_ch" w:type="character">
    <w:name w:val="WW8Num48z1"/>
    <w:link w:val="Style_591"/>
    <w:rPr>
      <w:rFonts w:ascii="Courier New" w:hAnsi="Courier New"/>
    </w:rPr>
  </w:style>
  <w:style w:styleId="Style_592" w:type="paragraph">
    <w:name w:val="Font Style170"/>
    <w:link w:val="Style_592_ch"/>
    <w:rPr>
      <w:rFonts w:ascii="Sylfaen" w:hAnsi="Sylfaen"/>
      <w:b w:val="1"/>
      <w:spacing w:val="-20"/>
      <w:sz w:val="22"/>
    </w:rPr>
  </w:style>
  <w:style w:styleId="Style_592_ch" w:type="character">
    <w:name w:val="Font Style170"/>
    <w:link w:val="Style_592"/>
    <w:rPr>
      <w:rFonts w:ascii="Sylfaen" w:hAnsi="Sylfaen"/>
      <w:b w:val="1"/>
      <w:spacing w:val="-20"/>
      <w:sz w:val="22"/>
    </w:rPr>
  </w:style>
  <w:style w:styleId="Style_1" w:type="paragraph">
    <w:name w:val="header"/>
    <w:basedOn w:val="Style_10"/>
    <w:link w:val="Style_1_ch"/>
    <w:pPr>
      <w:tabs>
        <w:tab w:leader="none" w:pos="4677" w:val="center"/>
        <w:tab w:leader="none" w:pos="9355" w:val="right"/>
      </w:tabs>
      <w:ind/>
    </w:pPr>
  </w:style>
  <w:style w:styleId="Style_1_ch" w:type="character">
    <w:name w:val="header"/>
    <w:basedOn w:val="Style_10_ch"/>
    <w:link w:val="Style_1"/>
  </w:style>
  <w:style w:styleId="Style_593" w:type="paragraph">
    <w:name w:val="font301"/>
    <w:link w:val="Style_593_ch"/>
    <w:rPr>
      <w:b w:val="1"/>
      <w:vertAlign w:val="subscript"/>
    </w:rPr>
  </w:style>
  <w:style w:styleId="Style_593_ch" w:type="character">
    <w:name w:val="font301"/>
    <w:link w:val="Style_593"/>
    <w:rPr>
      <w:b w:val="1"/>
      <w:vertAlign w:val="subscript"/>
    </w:rPr>
  </w:style>
  <w:style w:styleId="Style_594" w:type="paragraph">
    <w:name w:val="Style77"/>
    <w:basedOn w:val="Style_10"/>
    <w:link w:val="Style_594_ch"/>
    <w:pPr>
      <w:widowControl w:val="0"/>
      <w:spacing w:after="0" w:line="322" w:lineRule="exact"/>
      <w:ind/>
    </w:pPr>
    <w:rPr>
      <w:sz w:val="24"/>
    </w:rPr>
  </w:style>
  <w:style w:styleId="Style_594_ch" w:type="character">
    <w:name w:val="Style77"/>
    <w:basedOn w:val="Style_10_ch"/>
    <w:link w:val="Style_594"/>
    <w:rPr>
      <w:sz w:val="24"/>
    </w:rPr>
  </w:style>
  <w:style w:styleId="Style_595" w:type="paragraph">
    <w:name w:val="Style64"/>
    <w:basedOn w:val="Style_10"/>
    <w:link w:val="Style_595_ch"/>
    <w:pPr>
      <w:widowControl w:val="0"/>
      <w:spacing w:after="0" w:line="240" w:lineRule="auto"/>
      <w:ind/>
    </w:pPr>
    <w:rPr>
      <w:sz w:val="24"/>
    </w:rPr>
  </w:style>
  <w:style w:styleId="Style_595_ch" w:type="character">
    <w:name w:val="Style64"/>
    <w:basedOn w:val="Style_10_ch"/>
    <w:link w:val="Style_595"/>
    <w:rPr>
      <w:sz w:val="24"/>
    </w:rPr>
  </w:style>
  <w:style w:styleId="Style_596" w:type="paragraph">
    <w:name w:val="Стиль Normal + Arial по ширине Первая строка:  1.27 см Перед:  2..."/>
    <w:basedOn w:val="Style_161"/>
    <w:link w:val="Style_596_ch"/>
    <w:pPr>
      <w:spacing w:after="40" w:before="40"/>
      <w:ind w:firstLine="567" w:left="0"/>
      <w:jc w:val="both"/>
    </w:pPr>
  </w:style>
  <w:style w:styleId="Style_596_ch" w:type="character">
    <w:name w:val="Стиль Normal + Arial по ширине Первая строка:  1.27 см Перед:  2..."/>
    <w:basedOn w:val="Style_161_ch"/>
    <w:link w:val="Style_596"/>
  </w:style>
  <w:style w:styleId="Style_597" w:type="paragraph">
    <w:name w:val="WW-z-Начало формы"/>
    <w:basedOn w:val="Style_10"/>
    <w:next w:val="Style_10"/>
    <w:link w:val="Style_597_ch"/>
    <w:pPr>
      <w:spacing w:after="0" w:line="240" w:lineRule="auto"/>
      <w:ind/>
      <w:jc w:val="center"/>
    </w:pPr>
    <w:rPr>
      <w:rFonts w:ascii="Arial" w:hAnsi="Arial"/>
      <w:sz w:val="16"/>
    </w:rPr>
  </w:style>
  <w:style w:styleId="Style_597_ch" w:type="character">
    <w:name w:val="WW-z-Начало формы"/>
    <w:basedOn w:val="Style_10_ch"/>
    <w:link w:val="Style_597"/>
    <w:rPr>
      <w:rFonts w:ascii="Arial" w:hAnsi="Arial"/>
      <w:sz w:val="16"/>
    </w:rPr>
  </w:style>
  <w:style w:styleId="Style_598" w:type="paragraph">
    <w:name w:val="Balloon Text"/>
    <w:basedOn w:val="Style_10"/>
    <w:link w:val="Style_598_ch"/>
    <w:pPr>
      <w:spacing w:after="0" w:line="240" w:lineRule="auto"/>
      <w:ind/>
    </w:pPr>
    <w:rPr>
      <w:rFonts w:ascii="Tahoma" w:hAnsi="Tahoma"/>
      <w:sz w:val="16"/>
    </w:rPr>
  </w:style>
  <w:style w:styleId="Style_598_ch" w:type="character">
    <w:name w:val="Balloon Text"/>
    <w:basedOn w:val="Style_10_ch"/>
    <w:link w:val="Style_598"/>
    <w:rPr>
      <w:rFonts w:ascii="Tahoma" w:hAnsi="Tahoma"/>
      <w:sz w:val="16"/>
    </w:rPr>
  </w:style>
  <w:style w:styleId="Style_599" w:type="paragraph">
    <w:name w:val="Font Style51"/>
    <w:link w:val="Style_599_ch"/>
    <w:rPr>
      <w:rFonts w:ascii="Trebuchet MS" w:hAnsi="Trebuchet MS"/>
      <w:sz w:val="14"/>
    </w:rPr>
  </w:style>
  <w:style w:styleId="Style_599_ch" w:type="character">
    <w:name w:val="Font Style51"/>
    <w:link w:val="Style_599"/>
    <w:rPr>
      <w:rFonts w:ascii="Trebuchet MS" w:hAnsi="Trebuchet MS"/>
      <w:sz w:val="14"/>
    </w:rPr>
  </w:style>
  <w:style w:styleId="Style_161" w:type="paragraph">
    <w:name w:val="Обычный1"/>
    <w:link w:val="Style_161_ch"/>
    <w:pPr>
      <w:widowControl w:val="0"/>
      <w:ind/>
    </w:pPr>
    <w:rPr>
      <w:rFonts w:ascii="Arial" w:hAnsi="Arial"/>
    </w:rPr>
  </w:style>
  <w:style w:styleId="Style_161_ch" w:type="character">
    <w:name w:val="Обычный1"/>
    <w:link w:val="Style_161"/>
    <w:rPr>
      <w:rFonts w:ascii="Arial" w:hAnsi="Arial"/>
    </w:rPr>
  </w:style>
  <w:style w:styleId="Style_600" w:type="paragraph">
    <w:name w:val="WW8Num10z3"/>
    <w:link w:val="Style_600_ch"/>
    <w:rPr>
      <w:rFonts w:ascii="Symbol" w:hAnsi="Symbol"/>
    </w:rPr>
  </w:style>
  <w:style w:styleId="Style_600_ch" w:type="character">
    <w:name w:val="WW8Num10z3"/>
    <w:link w:val="Style_600"/>
    <w:rPr>
      <w:rFonts w:ascii="Symbol" w:hAnsi="Symbol"/>
    </w:rPr>
  </w:style>
  <w:style w:styleId="Style_601" w:type="paragraph">
    <w:name w:val="WW-WW8Num11z0"/>
    <w:link w:val="Style_601_ch"/>
    <w:rPr>
      <w:rFonts w:ascii="Courier New" w:hAnsi="Courier New"/>
    </w:rPr>
  </w:style>
  <w:style w:styleId="Style_601_ch" w:type="character">
    <w:name w:val="WW-WW8Num11z0"/>
    <w:link w:val="Style_601"/>
    <w:rPr>
      <w:rFonts w:ascii="Courier New" w:hAnsi="Courier New"/>
    </w:rPr>
  </w:style>
  <w:style w:styleId="Style_602" w:type="paragraph">
    <w:name w:val="Основной текст 24"/>
    <w:basedOn w:val="Style_10"/>
    <w:link w:val="Style_602_ch"/>
    <w:pPr>
      <w:spacing w:after="120" w:line="480" w:lineRule="auto"/>
      <w:ind/>
    </w:pPr>
    <w:rPr>
      <w:sz w:val="20"/>
    </w:rPr>
  </w:style>
  <w:style w:styleId="Style_602_ch" w:type="character">
    <w:name w:val="Основной текст 24"/>
    <w:basedOn w:val="Style_10_ch"/>
    <w:link w:val="Style_602"/>
    <w:rPr>
      <w:sz w:val="20"/>
    </w:rPr>
  </w:style>
  <w:style w:styleId="Style_603" w:type="paragraph">
    <w:name w:val="WW8Num44z1"/>
    <w:link w:val="Style_603_ch"/>
    <w:rPr>
      <w:rFonts w:ascii="Courier New" w:hAnsi="Courier New"/>
    </w:rPr>
  </w:style>
  <w:style w:styleId="Style_603_ch" w:type="character">
    <w:name w:val="WW8Num44z1"/>
    <w:link w:val="Style_603"/>
    <w:rPr>
      <w:rFonts w:ascii="Courier New" w:hAnsi="Courier New"/>
    </w:rPr>
  </w:style>
  <w:style w:styleId="Style_604" w:type="paragraph">
    <w:name w:val="WW-Основной текст 2"/>
    <w:basedOn w:val="Style_10"/>
    <w:link w:val="Style_604_ch"/>
    <w:pPr>
      <w:spacing w:after="0" w:line="240" w:lineRule="auto"/>
      <w:ind/>
      <w:jc w:val="both"/>
    </w:pPr>
    <w:rPr>
      <w:sz w:val="24"/>
    </w:rPr>
  </w:style>
  <w:style w:styleId="Style_604_ch" w:type="character">
    <w:name w:val="WW-Основной текст 2"/>
    <w:basedOn w:val="Style_10_ch"/>
    <w:link w:val="Style_604"/>
    <w:rPr>
      <w:sz w:val="24"/>
    </w:rPr>
  </w:style>
  <w:style w:styleId="Style_605" w:type="paragraph">
    <w:name w:val="Font Style131"/>
    <w:link w:val="Style_605_ch"/>
    <w:rPr>
      <w:sz w:val="40"/>
    </w:rPr>
  </w:style>
  <w:style w:styleId="Style_605_ch" w:type="character">
    <w:name w:val="Font Style131"/>
    <w:link w:val="Style_605"/>
    <w:rPr>
      <w:sz w:val="40"/>
    </w:rPr>
  </w:style>
  <w:style w:styleId="Style_606" w:type="paragraph">
    <w:name w:val="Font Style180"/>
    <w:link w:val="Style_606_ch"/>
    <w:rPr>
      <w:rFonts w:ascii="Candara" w:hAnsi="Candara"/>
      <w:b w:val="1"/>
      <w:sz w:val="8"/>
    </w:rPr>
  </w:style>
  <w:style w:styleId="Style_606_ch" w:type="character">
    <w:name w:val="Font Style180"/>
    <w:link w:val="Style_606"/>
    <w:rPr>
      <w:rFonts w:ascii="Candara" w:hAnsi="Candara"/>
      <w:b w:val="1"/>
      <w:sz w:val="8"/>
    </w:rPr>
  </w:style>
  <w:style w:styleId="Style_607" w:type="paragraph">
    <w:name w:val="Знак Знак1"/>
    <w:link w:val="Style_607_ch"/>
    <w:rPr>
      <w:sz w:val="28"/>
    </w:rPr>
  </w:style>
  <w:style w:styleId="Style_607_ch" w:type="character">
    <w:name w:val="Знак Знак1"/>
    <w:link w:val="Style_607"/>
    <w:rPr>
      <w:sz w:val="28"/>
    </w:rPr>
  </w:style>
  <w:style w:styleId="Style_608" w:type="paragraph">
    <w:name w:val="xl96"/>
    <w:basedOn w:val="Style_10"/>
    <w:link w:val="Style_608_ch"/>
    <w:pPr>
      <w:spacing w:afterAutospacing="on" w:beforeAutospacing="on" w:line="240" w:lineRule="auto"/>
      <w:ind/>
      <w:jc w:val="center"/>
    </w:pPr>
    <w:rPr>
      <w:sz w:val="24"/>
    </w:rPr>
  </w:style>
  <w:style w:styleId="Style_608_ch" w:type="character">
    <w:name w:val="xl96"/>
    <w:basedOn w:val="Style_10_ch"/>
    <w:link w:val="Style_608"/>
    <w:rPr>
      <w:sz w:val="24"/>
    </w:rPr>
  </w:style>
  <w:style w:styleId="Style_609" w:type="paragraph">
    <w:name w:val="WW-WW8Num36z0"/>
    <w:link w:val="Style_609_ch"/>
    <w:rPr>
      <w:rFonts w:ascii="StarSymbol" w:hAnsi="StarSymbol"/>
      <w:sz w:val="18"/>
    </w:rPr>
  </w:style>
  <w:style w:styleId="Style_609_ch" w:type="character">
    <w:name w:val="WW-WW8Num36z0"/>
    <w:link w:val="Style_609"/>
    <w:rPr>
      <w:rFonts w:ascii="StarSymbol" w:hAnsi="StarSymbol"/>
      <w:sz w:val="18"/>
    </w:rPr>
  </w:style>
  <w:style w:styleId="Style_610" w:type="paragraph">
    <w:name w:val="Normal1"/>
    <w:link w:val="Style_610_ch"/>
    <w:pPr>
      <w:widowControl w:val="0"/>
      <w:spacing w:after="20" w:before="20" w:line="360" w:lineRule="atLeast"/>
      <w:ind w:firstLine="454" w:left="0"/>
      <w:jc w:val="both"/>
    </w:pPr>
  </w:style>
  <w:style w:styleId="Style_610_ch" w:type="character">
    <w:name w:val="Normal1"/>
    <w:link w:val="Style_610"/>
  </w:style>
  <w:style w:styleId="Style_611" w:type="paragraph">
    <w:name w:val="WW-Символ сноски"/>
    <w:link w:val="Style_611_ch"/>
    <w:rPr>
      <w:vertAlign w:val="superscript"/>
    </w:rPr>
  </w:style>
  <w:style w:styleId="Style_611_ch" w:type="character">
    <w:name w:val="WW-Символ сноски"/>
    <w:link w:val="Style_611"/>
    <w:rPr>
      <w:vertAlign w:val="superscript"/>
    </w:rPr>
  </w:style>
  <w:style w:styleId="Style_612" w:type="paragraph">
    <w:name w:val="WW-Absatz-Standardschriftart111111111111111111111111111111111"/>
    <w:link w:val="Style_612_ch"/>
  </w:style>
  <w:style w:styleId="Style_612_ch" w:type="character">
    <w:name w:val="WW-Absatz-Standardschriftart111111111111111111111111111111111"/>
    <w:link w:val="Style_612"/>
  </w:style>
  <w:style w:styleId="Style_613" w:type="paragraph">
    <w:name w:val="WW-Absatz-Standardschriftart1111111111111111111111111111111111"/>
    <w:link w:val="Style_613_ch"/>
  </w:style>
  <w:style w:styleId="Style_613_ch" w:type="character">
    <w:name w:val="WW-Absatz-Standardschriftart1111111111111111111111111111111111"/>
    <w:link w:val="Style_613"/>
  </w:style>
  <w:style w:styleId="Style_614" w:type="paragraph">
    <w:name w:val="УГТП-Шифр объекта"/>
    <w:basedOn w:val="Style_1"/>
    <w:link w:val="Style_614_ch"/>
    <w:pPr>
      <w:spacing w:after="0" w:line="240" w:lineRule="auto"/>
      <w:ind/>
      <w:jc w:val="center"/>
    </w:pPr>
    <w:rPr>
      <w:rFonts w:ascii="Arial" w:hAnsi="Arial"/>
      <w:sz w:val="28"/>
    </w:rPr>
  </w:style>
  <w:style w:styleId="Style_614_ch" w:type="character">
    <w:name w:val="УГТП-Шифр объекта"/>
    <w:basedOn w:val="Style_1_ch"/>
    <w:link w:val="Style_614"/>
    <w:rPr>
      <w:rFonts w:ascii="Arial" w:hAnsi="Arial"/>
      <w:sz w:val="28"/>
    </w:rPr>
  </w:style>
  <w:style w:styleId="Style_615" w:type="paragraph">
    <w:name w:val="xl26"/>
    <w:basedOn w:val="Style_10"/>
    <w:link w:val="Style_615_ch"/>
    <w:pPr>
      <w:spacing w:after="280" w:before="280" w:line="360" w:lineRule="atLeast"/>
      <w:ind w:firstLine="709" w:left="0"/>
      <w:jc w:val="both"/>
    </w:pPr>
    <w:rPr>
      <w:rFonts w:ascii="Arial CYR" w:hAnsi="Arial CYR"/>
      <w:b w:val="1"/>
      <w:sz w:val="24"/>
    </w:rPr>
  </w:style>
  <w:style w:styleId="Style_615_ch" w:type="character">
    <w:name w:val="xl26"/>
    <w:basedOn w:val="Style_10_ch"/>
    <w:link w:val="Style_615"/>
    <w:rPr>
      <w:rFonts w:ascii="Arial CYR" w:hAnsi="Arial CYR"/>
      <w:b w:val="1"/>
      <w:sz w:val="24"/>
    </w:rPr>
  </w:style>
  <w:style w:styleId="Style_616" w:type="paragraph">
    <w:name w:val="Style93"/>
    <w:basedOn w:val="Style_10"/>
    <w:link w:val="Style_616_ch"/>
    <w:pPr>
      <w:widowControl w:val="0"/>
      <w:spacing w:after="0" w:line="240" w:lineRule="auto"/>
      <w:ind/>
    </w:pPr>
    <w:rPr>
      <w:sz w:val="24"/>
    </w:rPr>
  </w:style>
  <w:style w:styleId="Style_616_ch" w:type="character">
    <w:name w:val="Style93"/>
    <w:basedOn w:val="Style_10_ch"/>
    <w:link w:val="Style_616"/>
    <w:rPr>
      <w:sz w:val="24"/>
    </w:rPr>
  </w:style>
  <w:style w:styleId="Style_264" w:type="paragraph">
    <w:name w:val="Концепция-список-1"/>
    <w:basedOn w:val="Style_326"/>
    <w:link w:val="Style_264_ch"/>
    <w:pPr>
      <w:spacing w:after="60"/>
      <w:ind/>
    </w:pPr>
    <w:rPr>
      <w:rFonts w:ascii="Arial" w:hAnsi="Arial"/>
      <w:sz w:val="22"/>
    </w:rPr>
  </w:style>
  <w:style w:styleId="Style_264_ch" w:type="character">
    <w:name w:val="Концепция-список-1"/>
    <w:basedOn w:val="Style_326_ch"/>
    <w:link w:val="Style_264"/>
    <w:rPr>
      <w:rFonts w:ascii="Arial" w:hAnsi="Arial"/>
      <w:sz w:val="22"/>
    </w:rPr>
  </w:style>
  <w:style w:styleId="Style_617" w:type="paragraph">
    <w:name w:val="WW8Num13z2"/>
    <w:link w:val="Style_617_ch"/>
    <w:rPr>
      <w:rFonts w:ascii="Wingdings" w:hAnsi="Wingdings"/>
    </w:rPr>
  </w:style>
  <w:style w:styleId="Style_617_ch" w:type="character">
    <w:name w:val="WW8Num13z2"/>
    <w:link w:val="Style_617"/>
    <w:rPr>
      <w:rFonts w:ascii="Wingdings" w:hAnsi="Wingdings"/>
    </w:rPr>
  </w:style>
  <w:style w:styleId="Style_618" w:type="paragraph">
    <w:name w:val="xl181"/>
    <w:basedOn w:val="Style_10"/>
    <w:link w:val="Style_618_ch"/>
    <w:pPr>
      <w:spacing w:after="280" w:before="280" w:line="240" w:lineRule="auto"/>
      <w:ind/>
      <w:jc w:val="center"/>
    </w:pPr>
    <w:rPr>
      <w:b w:val="1"/>
      <w:sz w:val="24"/>
    </w:rPr>
  </w:style>
  <w:style w:styleId="Style_618_ch" w:type="character">
    <w:name w:val="xl181"/>
    <w:basedOn w:val="Style_10_ch"/>
    <w:link w:val="Style_618"/>
    <w:rPr>
      <w:b w:val="1"/>
      <w:sz w:val="24"/>
    </w:rPr>
  </w:style>
  <w:style w:styleId="Style_619" w:type="paragraph">
    <w:name w:val="Style42"/>
    <w:basedOn w:val="Style_10"/>
    <w:link w:val="Style_619_ch"/>
    <w:pPr>
      <w:widowControl w:val="0"/>
      <w:spacing w:after="0" w:line="240" w:lineRule="auto"/>
      <w:ind/>
    </w:pPr>
    <w:rPr>
      <w:sz w:val="24"/>
    </w:rPr>
  </w:style>
  <w:style w:styleId="Style_619_ch" w:type="character">
    <w:name w:val="Style42"/>
    <w:basedOn w:val="Style_10_ch"/>
    <w:link w:val="Style_619"/>
    <w:rPr>
      <w:sz w:val="24"/>
    </w:rPr>
  </w:style>
  <w:style w:styleId="Style_620" w:type="paragraph">
    <w:name w:val="WW8NumSt26z0"/>
    <w:link w:val="Style_620_ch"/>
    <w:rPr>
      <w:rFonts w:ascii="Courier New" w:hAnsi="Courier New"/>
    </w:rPr>
  </w:style>
  <w:style w:styleId="Style_620_ch" w:type="character">
    <w:name w:val="WW8NumSt26z0"/>
    <w:link w:val="Style_620"/>
    <w:rPr>
      <w:rFonts w:ascii="Courier New" w:hAnsi="Courier New"/>
    </w:rPr>
  </w:style>
  <w:style w:styleId="Style_621" w:type="paragraph">
    <w:name w:val="Источник"/>
    <w:basedOn w:val="Style_10"/>
    <w:link w:val="Style_621_ch"/>
    <w:pPr>
      <w:spacing w:after="0" w:line="360" w:lineRule="atLeast"/>
      <w:ind w:firstLine="709" w:left="0"/>
      <w:jc w:val="both"/>
    </w:pPr>
    <w:rPr>
      <w:i w:val="1"/>
      <w:sz w:val="20"/>
    </w:rPr>
  </w:style>
  <w:style w:styleId="Style_621_ch" w:type="character">
    <w:name w:val="Источник"/>
    <w:basedOn w:val="Style_10_ch"/>
    <w:link w:val="Style_621"/>
    <w:rPr>
      <w:i w:val="1"/>
      <w:sz w:val="20"/>
    </w:rPr>
  </w:style>
  <w:style w:styleId="Style_622" w:type="paragraph">
    <w:name w:val="xl127"/>
    <w:basedOn w:val="Style_10"/>
    <w:link w:val="Style_622_ch"/>
    <w:pPr>
      <w:spacing w:after="280" w:before="280" w:line="240" w:lineRule="auto"/>
      <w:ind/>
      <w:jc w:val="center"/>
    </w:pPr>
    <w:rPr>
      <w:sz w:val="18"/>
    </w:rPr>
  </w:style>
  <w:style w:styleId="Style_622_ch" w:type="character">
    <w:name w:val="xl127"/>
    <w:basedOn w:val="Style_10_ch"/>
    <w:link w:val="Style_622"/>
    <w:rPr>
      <w:sz w:val="18"/>
    </w:rPr>
  </w:style>
  <w:style w:styleId="Style_623" w:type="paragraph">
    <w:name w:val="WW8NumSt15z0"/>
    <w:link w:val="Style_623_ch"/>
    <w:rPr>
      <w:rFonts w:ascii="Courier New" w:hAnsi="Courier New"/>
    </w:rPr>
  </w:style>
  <w:style w:styleId="Style_623_ch" w:type="character">
    <w:name w:val="WW8NumSt15z0"/>
    <w:link w:val="Style_623"/>
    <w:rPr>
      <w:rFonts w:ascii="Courier New" w:hAnsi="Courier New"/>
    </w:rPr>
  </w:style>
  <w:style w:styleId="Style_624" w:type="paragraph">
    <w:name w:val="WW-WW8Num8z0"/>
    <w:link w:val="Style_624_ch"/>
    <w:rPr>
      <w:rFonts w:ascii="Courier New" w:hAnsi="Courier New"/>
    </w:rPr>
  </w:style>
  <w:style w:styleId="Style_624_ch" w:type="character">
    <w:name w:val="WW-WW8Num8z0"/>
    <w:link w:val="Style_624"/>
    <w:rPr>
      <w:rFonts w:ascii="Courier New" w:hAnsi="Courier New"/>
    </w:rPr>
  </w:style>
  <w:style w:styleId="Style_625" w:type="paragraph">
    <w:name w:val="WW8Num64z1"/>
    <w:link w:val="Style_625_ch"/>
    <w:rPr>
      <w:rFonts w:ascii="Courier New" w:hAnsi="Courier New"/>
    </w:rPr>
  </w:style>
  <w:style w:styleId="Style_625_ch" w:type="character">
    <w:name w:val="WW8Num64z1"/>
    <w:link w:val="Style_625"/>
    <w:rPr>
      <w:rFonts w:ascii="Courier New" w:hAnsi="Courier New"/>
    </w:rPr>
  </w:style>
  <w:style w:styleId="Style_626" w:type="paragraph">
    <w:name w:val="Исходный текст"/>
    <w:link w:val="Style_626_ch"/>
    <w:rPr>
      <w:rFonts w:ascii="Courier New" w:hAnsi="Courier New"/>
    </w:rPr>
  </w:style>
  <w:style w:styleId="Style_626_ch" w:type="character">
    <w:name w:val="Исходный текст"/>
    <w:link w:val="Style_626"/>
    <w:rPr>
      <w:rFonts w:ascii="Courier New" w:hAnsi="Courier New"/>
    </w:rPr>
  </w:style>
  <w:style w:styleId="Style_627" w:type="paragraph">
    <w:name w:val="xl57"/>
    <w:basedOn w:val="Style_10"/>
    <w:link w:val="Style_627_ch"/>
    <w:pPr>
      <w:spacing w:after="280" w:before="280" w:line="360" w:lineRule="atLeast"/>
      <w:ind w:firstLine="709" w:left="0"/>
      <w:jc w:val="center"/>
    </w:pPr>
    <w:rPr>
      <w:b w:val="1"/>
      <w:sz w:val="24"/>
    </w:rPr>
  </w:style>
  <w:style w:styleId="Style_627_ch" w:type="character">
    <w:name w:val="xl57"/>
    <w:basedOn w:val="Style_10_ch"/>
    <w:link w:val="Style_627"/>
    <w:rPr>
      <w:b w:val="1"/>
      <w:sz w:val="24"/>
    </w:rPr>
  </w:style>
  <w:style w:styleId="Style_628" w:type="paragraph">
    <w:name w:val="Style124"/>
    <w:basedOn w:val="Style_10"/>
    <w:link w:val="Style_628_ch"/>
    <w:pPr>
      <w:widowControl w:val="0"/>
      <w:spacing w:after="0" w:line="240" w:lineRule="auto"/>
      <w:ind/>
    </w:pPr>
    <w:rPr>
      <w:sz w:val="24"/>
    </w:rPr>
  </w:style>
  <w:style w:styleId="Style_628_ch" w:type="character">
    <w:name w:val="Style124"/>
    <w:basedOn w:val="Style_10_ch"/>
    <w:link w:val="Style_628"/>
    <w:rPr>
      <w:sz w:val="24"/>
    </w:rPr>
  </w:style>
  <w:style w:styleId="Style_629" w:type="paragraph">
    <w:name w:val="Style111"/>
    <w:basedOn w:val="Style_10"/>
    <w:link w:val="Style_629_ch"/>
    <w:pPr>
      <w:widowControl w:val="0"/>
      <w:spacing w:after="0" w:line="274" w:lineRule="exact"/>
      <w:ind w:firstLine="576" w:left="0"/>
    </w:pPr>
    <w:rPr>
      <w:sz w:val="24"/>
    </w:rPr>
  </w:style>
  <w:style w:styleId="Style_629_ch" w:type="character">
    <w:name w:val="Style111"/>
    <w:basedOn w:val="Style_10_ch"/>
    <w:link w:val="Style_629"/>
    <w:rPr>
      <w:sz w:val="24"/>
    </w:rPr>
  </w:style>
  <w:style w:styleId="Style_630" w:type="paragraph">
    <w:name w:val="Style22"/>
    <w:basedOn w:val="Style_10"/>
    <w:link w:val="Style_630_ch"/>
    <w:pPr>
      <w:widowControl w:val="0"/>
      <w:spacing w:after="0" w:line="324" w:lineRule="exact"/>
      <w:ind w:firstLine="792" w:left="0"/>
    </w:pPr>
    <w:rPr>
      <w:sz w:val="24"/>
    </w:rPr>
  </w:style>
  <w:style w:styleId="Style_630_ch" w:type="character">
    <w:name w:val="Style22"/>
    <w:basedOn w:val="Style_10_ch"/>
    <w:link w:val="Style_630"/>
    <w:rPr>
      <w:sz w:val="24"/>
    </w:rPr>
  </w:style>
  <w:style w:styleId="Style_631" w:type="paragraph">
    <w:name w:val="xl152"/>
    <w:basedOn w:val="Style_10"/>
    <w:link w:val="Style_631_ch"/>
    <w:pPr>
      <w:spacing w:after="280" w:before="280" w:line="240" w:lineRule="auto"/>
      <w:ind/>
      <w:jc w:val="center"/>
    </w:pPr>
    <w:rPr>
      <w:sz w:val="24"/>
    </w:rPr>
  </w:style>
  <w:style w:styleId="Style_631_ch" w:type="character">
    <w:name w:val="xl152"/>
    <w:basedOn w:val="Style_10_ch"/>
    <w:link w:val="Style_631"/>
    <w:rPr>
      <w:sz w:val="24"/>
    </w:rPr>
  </w:style>
  <w:style w:styleId="Style_632" w:type="paragraph">
    <w:name w:val="FR3"/>
    <w:link w:val="Style_632_ch"/>
    <w:pPr>
      <w:widowControl w:val="0"/>
      <w:spacing w:before="20" w:line="300" w:lineRule="auto"/>
      <w:ind w:hanging="20" w:left="20"/>
      <w:jc w:val="both"/>
    </w:pPr>
    <w:rPr>
      <w:sz w:val="24"/>
    </w:rPr>
  </w:style>
  <w:style w:styleId="Style_632_ch" w:type="character">
    <w:name w:val="FR3"/>
    <w:link w:val="Style_632"/>
    <w:rPr>
      <w:sz w:val="24"/>
    </w:rPr>
  </w:style>
  <w:style w:styleId="Style_633" w:type="paragraph">
    <w:name w:val="Font Style175"/>
    <w:link w:val="Style_633_ch"/>
    <w:rPr>
      <w:rFonts w:ascii="Arial" w:hAnsi="Arial"/>
      <w:b w:val="1"/>
      <w:sz w:val="16"/>
    </w:rPr>
  </w:style>
  <w:style w:styleId="Style_633_ch" w:type="character">
    <w:name w:val="Font Style175"/>
    <w:link w:val="Style_633"/>
    <w:rPr>
      <w:rFonts w:ascii="Arial" w:hAnsi="Arial"/>
      <w:b w:val="1"/>
      <w:sz w:val="16"/>
    </w:rPr>
  </w:style>
  <w:style w:styleId="Style_634" w:type="paragraph">
    <w:name w:val="WW8NumSt8z0"/>
    <w:link w:val="Style_634_ch"/>
    <w:rPr>
      <w:rFonts w:ascii="Courier New" w:hAnsi="Courier New"/>
    </w:rPr>
  </w:style>
  <w:style w:styleId="Style_634_ch" w:type="character">
    <w:name w:val="WW8NumSt8z0"/>
    <w:link w:val="Style_634"/>
    <w:rPr>
      <w:rFonts w:ascii="Courier New" w:hAnsi="Courier New"/>
    </w:rPr>
  </w:style>
  <w:style w:styleId="Style_635" w:type="paragraph">
    <w:name w:val="Heading"/>
    <w:link w:val="Style_635_ch"/>
    <w:pPr>
      <w:widowControl w:val="0"/>
      <w:spacing w:line="360" w:lineRule="atLeast"/>
      <w:ind w:firstLine="709" w:left="0"/>
      <w:jc w:val="both"/>
    </w:pPr>
    <w:rPr>
      <w:rFonts w:ascii="Arial" w:hAnsi="Arial"/>
      <w:b w:val="1"/>
      <w:sz w:val="22"/>
    </w:rPr>
  </w:style>
  <w:style w:styleId="Style_635_ch" w:type="character">
    <w:name w:val="Heading"/>
    <w:link w:val="Style_635"/>
    <w:rPr>
      <w:rFonts w:ascii="Arial" w:hAnsi="Arial"/>
      <w:b w:val="1"/>
      <w:sz w:val="22"/>
    </w:rPr>
  </w:style>
  <w:style w:styleId="Style_636" w:type="paragraph">
    <w:name w:val="TOC Heading"/>
    <w:basedOn w:val="Style_435"/>
    <w:next w:val="Style_10"/>
    <w:link w:val="Style_636_ch"/>
    <w:pPr>
      <w:keepLines w:val="1"/>
      <w:spacing w:before="480" w:line="276" w:lineRule="auto"/>
      <w:ind w:firstLine="0" w:left="0"/>
      <w:jc w:val="center"/>
      <w:outlineLvl w:val="8"/>
    </w:pPr>
    <w:rPr>
      <w:rFonts w:ascii="Times New Roman" w:hAnsi="Times New Roman"/>
      <w:sz w:val="36"/>
    </w:rPr>
  </w:style>
  <w:style w:styleId="Style_636_ch" w:type="character">
    <w:name w:val="TOC Heading"/>
    <w:basedOn w:val="Style_435_ch"/>
    <w:link w:val="Style_636"/>
    <w:rPr>
      <w:rFonts w:ascii="Times New Roman" w:hAnsi="Times New Roman"/>
      <w:sz w:val="36"/>
    </w:rPr>
  </w:style>
  <w:style w:styleId="Style_637" w:type="paragraph">
    <w:name w:val="Font Style121"/>
    <w:link w:val="Style_637_ch"/>
    <w:rPr>
      <w:rFonts w:ascii="Arial" w:hAnsi="Arial"/>
      <w:sz w:val="12"/>
    </w:rPr>
  </w:style>
  <w:style w:styleId="Style_637_ch" w:type="character">
    <w:name w:val="Font Style121"/>
    <w:link w:val="Style_637"/>
    <w:rPr>
      <w:rFonts w:ascii="Arial" w:hAnsi="Arial"/>
      <w:sz w:val="12"/>
    </w:rPr>
  </w:style>
  <w:style w:styleId="Style_638" w:type="paragraph">
    <w:name w:val="???????? ????? ? ???????? 3"/>
    <w:basedOn w:val="Style_10"/>
    <w:link w:val="Style_638_ch"/>
    <w:pPr>
      <w:spacing w:after="0" w:line="240" w:lineRule="auto"/>
      <w:ind w:hanging="3119" w:left="3119"/>
      <w:jc w:val="both"/>
    </w:pPr>
    <w:rPr>
      <w:rFonts w:ascii="SchoolBook" w:hAnsi="SchoolBook"/>
      <w:sz w:val="26"/>
    </w:rPr>
  </w:style>
  <w:style w:styleId="Style_638_ch" w:type="character">
    <w:name w:val="???????? ????? ? ???????? 3"/>
    <w:basedOn w:val="Style_10_ch"/>
    <w:link w:val="Style_638"/>
    <w:rPr>
      <w:rFonts w:ascii="SchoolBook" w:hAnsi="SchoolBook"/>
      <w:sz w:val="26"/>
    </w:rPr>
  </w:style>
  <w:style w:styleId="Style_639" w:type="paragraph">
    <w:name w:val="WW8Num321z0"/>
    <w:link w:val="Style_639_ch"/>
    <w:rPr>
      <w:rFonts w:ascii="Wingdings" w:hAnsi="Wingdings"/>
    </w:rPr>
  </w:style>
  <w:style w:styleId="Style_639_ch" w:type="character">
    <w:name w:val="WW8Num321z0"/>
    <w:link w:val="Style_639"/>
    <w:rPr>
      <w:rFonts w:ascii="Wingdings" w:hAnsi="Wingdings"/>
    </w:rPr>
  </w:style>
  <w:style w:styleId="Style_640" w:type="paragraph">
    <w:name w:val="Style114"/>
    <w:basedOn w:val="Style_10"/>
    <w:link w:val="Style_640_ch"/>
    <w:pPr>
      <w:widowControl w:val="0"/>
      <w:spacing w:after="0" w:line="322" w:lineRule="exact"/>
      <w:ind w:firstLine="360" w:left="0"/>
      <w:jc w:val="both"/>
    </w:pPr>
    <w:rPr>
      <w:sz w:val="24"/>
    </w:rPr>
  </w:style>
  <w:style w:styleId="Style_640_ch" w:type="character">
    <w:name w:val="Style114"/>
    <w:basedOn w:val="Style_10_ch"/>
    <w:link w:val="Style_640"/>
    <w:rPr>
      <w:sz w:val="24"/>
    </w:rPr>
  </w:style>
  <w:style w:styleId="Style_641" w:type="paragraph">
    <w:name w:val="WW-WW8Num38z1"/>
    <w:link w:val="Style_641_ch"/>
    <w:rPr>
      <w:rFonts w:ascii="Wingdings 2" w:hAnsi="Wingdings 2"/>
      <w:sz w:val="18"/>
    </w:rPr>
  </w:style>
  <w:style w:styleId="Style_641_ch" w:type="character">
    <w:name w:val="WW-WW8Num38z1"/>
    <w:link w:val="Style_641"/>
    <w:rPr>
      <w:rFonts w:ascii="Wingdings 2" w:hAnsi="Wingdings 2"/>
      <w:sz w:val="18"/>
    </w:rPr>
  </w:style>
  <w:style w:styleId="Style_642" w:type="paragraph">
    <w:name w:val="WW8Num63z2"/>
    <w:link w:val="Style_642_ch"/>
    <w:rPr>
      <w:rFonts w:ascii="Wingdings" w:hAnsi="Wingdings"/>
    </w:rPr>
  </w:style>
  <w:style w:styleId="Style_642_ch" w:type="character">
    <w:name w:val="WW8Num63z2"/>
    <w:link w:val="Style_642"/>
    <w:rPr>
      <w:rFonts w:ascii="Wingdings" w:hAnsi="Wingdings"/>
    </w:rPr>
  </w:style>
  <w:style w:styleId="Style_643" w:type="paragraph">
    <w:name w:val="xl143"/>
    <w:basedOn w:val="Style_10"/>
    <w:link w:val="Style_643_ch"/>
    <w:pPr>
      <w:spacing w:after="280" w:before="280" w:line="240" w:lineRule="auto"/>
      <w:ind/>
      <w:jc w:val="center"/>
    </w:pPr>
    <w:rPr>
      <w:sz w:val="18"/>
    </w:rPr>
  </w:style>
  <w:style w:styleId="Style_643_ch" w:type="character">
    <w:name w:val="xl143"/>
    <w:basedOn w:val="Style_10_ch"/>
    <w:link w:val="Style_643"/>
    <w:rPr>
      <w:sz w:val="18"/>
    </w:rPr>
  </w:style>
  <w:style w:styleId="Style_644" w:type="paragraph">
    <w:name w:val="Список 1"/>
    <w:basedOn w:val="Style_250"/>
    <w:link w:val="Style_644_ch"/>
    <w:pPr>
      <w:spacing w:after="120"/>
      <w:ind/>
    </w:pPr>
  </w:style>
  <w:style w:styleId="Style_644_ch" w:type="character">
    <w:name w:val="Список 1"/>
    <w:basedOn w:val="Style_250_ch"/>
    <w:link w:val="Style_644"/>
  </w:style>
  <w:style w:styleId="Style_645" w:type="paragraph">
    <w:name w:val="Font Style40"/>
    <w:link w:val="Style_645_ch"/>
    <w:rPr>
      <w:sz w:val="22"/>
    </w:rPr>
  </w:style>
  <w:style w:styleId="Style_645_ch" w:type="character">
    <w:name w:val="Font Style40"/>
    <w:link w:val="Style_645"/>
    <w:rPr>
      <w:sz w:val="22"/>
    </w:rPr>
  </w:style>
  <w:style w:styleId="Style_646" w:type="paragraph">
    <w:name w:val="Style37"/>
    <w:basedOn w:val="Style_10"/>
    <w:link w:val="Style_646_ch"/>
    <w:pPr>
      <w:widowControl w:val="0"/>
      <w:spacing w:after="0" w:line="240" w:lineRule="auto"/>
      <w:ind/>
    </w:pPr>
    <w:rPr>
      <w:sz w:val="24"/>
    </w:rPr>
  </w:style>
  <w:style w:styleId="Style_646_ch" w:type="character">
    <w:name w:val="Style37"/>
    <w:basedOn w:val="Style_10_ch"/>
    <w:link w:val="Style_646"/>
    <w:rPr>
      <w:sz w:val="24"/>
    </w:rPr>
  </w:style>
  <w:style w:styleId="Style_647" w:type="paragraph">
    <w:name w:val="WW-Absatz-Standardschriftart1111"/>
    <w:link w:val="Style_647_ch"/>
  </w:style>
  <w:style w:styleId="Style_647_ch" w:type="character">
    <w:name w:val="WW-Absatz-Standardschriftart1111"/>
    <w:link w:val="Style_647"/>
  </w:style>
  <w:style w:styleId="Style_648" w:type="paragraph">
    <w:name w:val="Font Style123"/>
    <w:link w:val="Style_648_ch"/>
  </w:style>
  <w:style w:styleId="Style_648_ch" w:type="character">
    <w:name w:val="Font Style123"/>
    <w:link w:val="Style_648"/>
  </w:style>
  <w:style w:styleId="Style_649" w:type="paragraph">
    <w:name w:val="Знак Знак Знак Знак Знак Знак1 Знак"/>
    <w:basedOn w:val="Style_10"/>
    <w:link w:val="Style_649_ch"/>
    <w:pPr>
      <w:spacing w:after="0" w:line="240" w:lineRule="auto"/>
      <w:ind/>
    </w:pPr>
    <w:rPr>
      <w:rFonts w:ascii="Verdana" w:hAnsi="Verdana"/>
      <w:sz w:val="20"/>
    </w:rPr>
  </w:style>
  <w:style w:styleId="Style_649_ch" w:type="character">
    <w:name w:val="Знак Знак Знак Знак Знак Знак1 Знак"/>
    <w:basedOn w:val="Style_10_ch"/>
    <w:link w:val="Style_649"/>
    <w:rPr>
      <w:rFonts w:ascii="Verdana" w:hAnsi="Verdana"/>
      <w:sz w:val="20"/>
    </w:rPr>
  </w:style>
  <w:style w:styleId="Style_650" w:type="paragraph">
    <w:name w:val="FR4"/>
    <w:link w:val="Style_650_ch"/>
    <w:pPr>
      <w:widowControl w:val="0"/>
      <w:spacing w:line="396" w:lineRule="auto"/>
      <w:ind w:hanging="640" w:left="640"/>
      <w:jc w:val="both"/>
    </w:pPr>
    <w:rPr>
      <w:sz w:val="12"/>
    </w:rPr>
  </w:style>
  <w:style w:styleId="Style_650_ch" w:type="character">
    <w:name w:val="FR4"/>
    <w:link w:val="Style_650"/>
    <w:rPr>
      <w:sz w:val="12"/>
    </w:rPr>
  </w:style>
  <w:style w:styleId="Style_651" w:type="paragraph">
    <w:name w:val="Маркеры списка"/>
    <w:link w:val="Style_651_ch"/>
    <w:rPr>
      <w:rFonts w:ascii="StarSymbol" w:hAnsi="StarSymbol"/>
      <w:sz w:val="18"/>
    </w:rPr>
  </w:style>
  <w:style w:styleId="Style_651_ch" w:type="character">
    <w:name w:val="Маркеры списка"/>
    <w:link w:val="Style_651"/>
    <w:rPr>
      <w:rFonts w:ascii="StarSymbol" w:hAnsi="StarSymbol"/>
      <w:sz w:val="18"/>
    </w:rPr>
  </w:style>
  <w:style w:styleId="Style_652" w:type="paragraph">
    <w:name w:val="WW8Num26z3"/>
    <w:link w:val="Style_652_ch"/>
    <w:rPr>
      <w:rFonts w:ascii="Symbol" w:hAnsi="Symbol"/>
    </w:rPr>
  </w:style>
  <w:style w:styleId="Style_652_ch" w:type="character">
    <w:name w:val="WW8Num26z3"/>
    <w:link w:val="Style_652"/>
    <w:rPr>
      <w:rFonts w:ascii="Symbol" w:hAnsi="Symbol"/>
    </w:rPr>
  </w:style>
  <w:style w:styleId="Style_7" w:type="paragraph">
    <w:name w:val="Абзац"/>
    <w:basedOn w:val="Style_10"/>
    <w:link w:val="Style_7_ch"/>
    <w:pPr>
      <w:spacing w:after="60" w:before="120" w:line="360" w:lineRule="atLeast"/>
      <w:ind w:firstLine="567" w:left="0"/>
      <w:jc w:val="both"/>
    </w:pPr>
    <w:rPr>
      <w:sz w:val="24"/>
    </w:rPr>
  </w:style>
  <w:style w:styleId="Style_7_ch" w:type="character">
    <w:name w:val="Абзац"/>
    <w:basedOn w:val="Style_10_ch"/>
    <w:link w:val="Style_7"/>
    <w:rPr>
      <w:sz w:val="24"/>
    </w:rPr>
  </w:style>
  <w:style w:styleId="Style_653" w:type="paragraph">
    <w:name w:val="WW8Num39z2"/>
    <w:link w:val="Style_653_ch"/>
    <w:rPr>
      <w:rFonts w:ascii="Wingdings" w:hAnsi="Wingdings"/>
    </w:rPr>
  </w:style>
  <w:style w:styleId="Style_653_ch" w:type="character">
    <w:name w:val="WW8Num39z2"/>
    <w:link w:val="Style_653"/>
    <w:rPr>
      <w:rFonts w:ascii="Wingdings" w:hAnsi="Wingdings"/>
    </w:rPr>
  </w:style>
  <w:style w:styleId="Style_654" w:type="paragraph">
    <w:name w:val="WW8Num56z1"/>
    <w:link w:val="Style_654_ch"/>
  </w:style>
  <w:style w:styleId="Style_654_ch" w:type="character">
    <w:name w:val="WW8Num56z1"/>
    <w:link w:val="Style_654"/>
  </w:style>
  <w:style w:styleId="Style_655" w:type="paragraph">
    <w:name w:val="WW8Num28z0"/>
    <w:link w:val="Style_655_ch"/>
  </w:style>
  <w:style w:styleId="Style_655_ch" w:type="character">
    <w:name w:val="WW8Num28z0"/>
    <w:link w:val="Style_655"/>
  </w:style>
  <w:style w:styleId="Style_656" w:type="paragraph">
    <w:name w:val="WW-WW8Num3z0"/>
    <w:link w:val="Style_656_ch"/>
    <w:rPr>
      <w:rFonts w:ascii="Courier New" w:hAnsi="Courier New"/>
    </w:rPr>
  </w:style>
  <w:style w:styleId="Style_656_ch" w:type="character">
    <w:name w:val="WW-WW8Num3z0"/>
    <w:link w:val="Style_656"/>
    <w:rPr>
      <w:rFonts w:ascii="Courier New" w:hAnsi="Courier New"/>
    </w:rPr>
  </w:style>
  <w:style w:styleId="Style_657" w:type="paragraph">
    <w:name w:val="Мария"/>
    <w:basedOn w:val="Style_10"/>
    <w:link w:val="Style_657_ch"/>
    <w:pPr>
      <w:spacing w:after="120" w:before="240" w:line="360" w:lineRule="atLeast"/>
      <w:ind w:firstLine="709" w:left="0"/>
      <w:jc w:val="both"/>
    </w:pPr>
    <w:rPr>
      <w:sz w:val="26"/>
    </w:rPr>
  </w:style>
  <w:style w:styleId="Style_657_ch" w:type="character">
    <w:name w:val="Мария"/>
    <w:basedOn w:val="Style_10_ch"/>
    <w:link w:val="Style_657"/>
    <w:rPr>
      <w:sz w:val="26"/>
    </w:rPr>
  </w:style>
  <w:style w:styleId="Style_658" w:type="paragraph">
    <w:name w:val="WW8Num20z2"/>
    <w:link w:val="Style_658_ch"/>
    <w:rPr>
      <w:rFonts w:ascii="Wingdings" w:hAnsi="Wingdings"/>
    </w:rPr>
  </w:style>
  <w:style w:styleId="Style_658_ch" w:type="character">
    <w:name w:val="WW8Num20z2"/>
    <w:link w:val="Style_658"/>
    <w:rPr>
      <w:rFonts w:ascii="Wingdings" w:hAnsi="Wingdings"/>
    </w:rPr>
  </w:style>
  <w:style w:styleId="Style_659" w:type="paragraph">
    <w:name w:val="WW-Стандартный HTML"/>
    <w:basedOn w:val="Style_10"/>
    <w:link w:val="Style_659_ch"/>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pPr>
    <w:rPr>
      <w:rFonts w:ascii="Courier New" w:hAnsi="Courier New"/>
      <w:sz w:val="20"/>
    </w:rPr>
  </w:style>
  <w:style w:styleId="Style_659_ch" w:type="character">
    <w:name w:val="WW-Стандартный HTML"/>
    <w:basedOn w:val="Style_10_ch"/>
    <w:link w:val="Style_659"/>
    <w:rPr>
      <w:rFonts w:ascii="Courier New" w:hAnsi="Courier New"/>
      <w:sz w:val="20"/>
    </w:rPr>
  </w:style>
  <w:style w:styleId="Style_660" w:type="paragraph">
    <w:name w:val="xl34"/>
    <w:basedOn w:val="Style_10"/>
    <w:link w:val="Style_660_ch"/>
    <w:pPr>
      <w:spacing w:after="280" w:before="280" w:line="360" w:lineRule="atLeast"/>
      <w:ind w:firstLine="709" w:left="0"/>
      <w:jc w:val="center"/>
    </w:pPr>
    <w:rPr>
      <w:rFonts w:ascii="Arial Narrow" w:hAnsi="Arial Narrow"/>
      <w:sz w:val="24"/>
    </w:rPr>
  </w:style>
  <w:style w:styleId="Style_660_ch" w:type="character">
    <w:name w:val="xl34"/>
    <w:basedOn w:val="Style_10_ch"/>
    <w:link w:val="Style_660"/>
    <w:rPr>
      <w:rFonts w:ascii="Arial Narrow" w:hAnsi="Arial Narrow"/>
      <w:sz w:val="24"/>
    </w:rPr>
  </w:style>
  <w:style w:styleId="Style_661" w:type="paragraph">
    <w:name w:val="WW8Num48z3"/>
    <w:link w:val="Style_661_ch"/>
    <w:rPr>
      <w:rFonts w:ascii="Symbol" w:hAnsi="Symbol"/>
    </w:rPr>
  </w:style>
  <w:style w:styleId="Style_661_ch" w:type="character">
    <w:name w:val="WW8Num48z3"/>
    <w:link w:val="Style_661"/>
    <w:rPr>
      <w:rFonts w:ascii="Symbol" w:hAnsi="Symbol"/>
    </w:rPr>
  </w:style>
  <w:style w:styleId="Style_662" w:type="paragraph">
    <w:name w:val="WW-WW8Num7z0"/>
    <w:link w:val="Style_662_ch"/>
    <w:rPr>
      <w:rFonts w:ascii="Courier New" w:hAnsi="Courier New"/>
    </w:rPr>
  </w:style>
  <w:style w:styleId="Style_662_ch" w:type="character">
    <w:name w:val="WW-WW8Num7z0"/>
    <w:link w:val="Style_662"/>
    <w:rPr>
      <w:rFonts w:ascii="Courier New" w:hAnsi="Courier New"/>
    </w:rPr>
  </w:style>
  <w:style w:styleId="Style_663" w:type="paragraph">
    <w:name w:val="WW-WW8Num14z0"/>
    <w:link w:val="Style_663_ch"/>
    <w:rPr>
      <w:rFonts w:ascii="Courier New" w:hAnsi="Courier New"/>
    </w:rPr>
  </w:style>
  <w:style w:styleId="Style_663_ch" w:type="character">
    <w:name w:val="WW-WW8Num14z0"/>
    <w:link w:val="Style_663"/>
    <w:rPr>
      <w:rFonts w:ascii="Courier New" w:hAnsi="Courier New"/>
    </w:rPr>
  </w:style>
  <w:style w:styleId="Style_664" w:type="paragraph">
    <w:name w:val="font41"/>
    <w:link w:val="Style_664_ch"/>
  </w:style>
  <w:style w:styleId="Style_664_ch" w:type="character">
    <w:name w:val="font41"/>
    <w:link w:val="Style_664"/>
  </w:style>
  <w:style w:styleId="Style_665" w:type="paragraph">
    <w:name w:val="WW8Num16z0"/>
    <w:link w:val="Style_665_ch"/>
    <w:rPr>
      <w:rFonts w:ascii="Courier New" w:hAnsi="Courier New"/>
    </w:rPr>
  </w:style>
  <w:style w:styleId="Style_665_ch" w:type="character">
    <w:name w:val="WW8Num16z0"/>
    <w:link w:val="Style_665"/>
    <w:rPr>
      <w:rFonts w:ascii="Courier New" w:hAnsi="Courier New"/>
    </w:rPr>
  </w:style>
  <w:style w:styleId="Style_666" w:type="paragraph">
    <w:name w:val="Знак Знак Знак Знак"/>
    <w:basedOn w:val="Style_10"/>
    <w:link w:val="Style_666_ch"/>
    <w:pPr>
      <w:spacing w:afterAutospacing="on" w:beforeAutospacing="on" w:line="240" w:lineRule="auto"/>
      <w:ind/>
      <w:jc w:val="both"/>
    </w:pPr>
    <w:rPr>
      <w:rFonts w:ascii="Tahoma" w:hAnsi="Tahoma"/>
      <w:sz w:val="20"/>
    </w:rPr>
  </w:style>
  <w:style w:styleId="Style_666_ch" w:type="character">
    <w:name w:val="Знак Знак Знак Знак"/>
    <w:basedOn w:val="Style_10_ch"/>
    <w:link w:val="Style_666"/>
    <w:rPr>
      <w:rFonts w:ascii="Tahoma" w:hAnsi="Tahoma"/>
      <w:sz w:val="20"/>
    </w:rPr>
  </w:style>
  <w:style w:styleId="Style_667" w:type="paragraph">
    <w:name w:val="?????????1"/>
    <w:basedOn w:val="Style_10"/>
    <w:link w:val="Style_667_ch"/>
    <w:pPr>
      <w:widowControl w:val="0"/>
      <w:spacing w:after="0" w:line="240" w:lineRule="auto"/>
      <w:ind/>
    </w:pPr>
    <w:rPr>
      <w:sz w:val="24"/>
    </w:rPr>
  </w:style>
  <w:style w:styleId="Style_667_ch" w:type="character">
    <w:name w:val="?????????1"/>
    <w:basedOn w:val="Style_10_ch"/>
    <w:link w:val="Style_667"/>
    <w:rPr>
      <w:sz w:val="24"/>
    </w:rPr>
  </w:style>
  <w:style w:styleId="Style_668" w:type="paragraph">
    <w:name w:val="СПИСОК"/>
    <w:basedOn w:val="Style_10"/>
    <w:link w:val="Style_668_ch"/>
    <w:pPr>
      <w:tabs>
        <w:tab w:leader="none" w:pos="720" w:val="left"/>
      </w:tabs>
      <w:spacing w:after="120" w:line="312" w:lineRule="auto"/>
      <w:ind w:right="567"/>
      <w:jc w:val="both"/>
    </w:pPr>
    <w:rPr>
      <w:sz w:val="26"/>
    </w:rPr>
  </w:style>
  <w:style w:styleId="Style_668_ch" w:type="character">
    <w:name w:val="СПИСОК"/>
    <w:basedOn w:val="Style_10_ch"/>
    <w:link w:val="Style_668"/>
    <w:rPr>
      <w:sz w:val="26"/>
    </w:rPr>
  </w:style>
  <w:style w:styleId="Style_669" w:type="paragraph">
    <w:name w:val="основной текст Знак"/>
    <w:basedOn w:val="Style_10"/>
    <w:link w:val="Style_669_ch"/>
    <w:pPr>
      <w:spacing w:after="120" w:line="360" w:lineRule="atLeast"/>
      <w:ind w:firstLine="851" w:left="0"/>
      <w:jc w:val="both"/>
    </w:pPr>
    <w:rPr>
      <w:rFonts w:ascii="Arial" w:hAnsi="Arial"/>
      <w:sz w:val="28"/>
    </w:rPr>
  </w:style>
  <w:style w:styleId="Style_669_ch" w:type="character">
    <w:name w:val="основной текст Знак"/>
    <w:basedOn w:val="Style_10_ch"/>
    <w:link w:val="Style_669"/>
    <w:rPr>
      <w:rFonts w:ascii="Arial" w:hAnsi="Arial"/>
      <w:sz w:val="28"/>
    </w:rPr>
  </w:style>
  <w:style w:styleId="Style_670" w:type="paragraph">
    <w:name w:val="Revision"/>
    <w:link w:val="Style_670_ch"/>
    <w:pPr>
      <w:widowControl w:val="0"/>
      <w:spacing w:line="360" w:lineRule="atLeast"/>
      <w:ind/>
      <w:jc w:val="both"/>
    </w:pPr>
    <w:rPr>
      <w:sz w:val="24"/>
    </w:rPr>
  </w:style>
  <w:style w:styleId="Style_670_ch" w:type="character">
    <w:name w:val="Revision"/>
    <w:link w:val="Style_670"/>
    <w:rPr>
      <w:sz w:val="24"/>
    </w:rPr>
  </w:style>
  <w:style w:styleId="Style_671" w:type="paragraph">
    <w:name w:val="Список 21"/>
    <w:basedOn w:val="Style_10"/>
    <w:link w:val="Style_671_ch"/>
    <w:pPr>
      <w:spacing w:after="0" w:line="240" w:lineRule="auto"/>
      <w:ind w:hanging="283" w:left="566"/>
    </w:pPr>
    <w:rPr>
      <w:sz w:val="20"/>
    </w:rPr>
  </w:style>
  <w:style w:styleId="Style_671_ch" w:type="character">
    <w:name w:val="Список 21"/>
    <w:basedOn w:val="Style_10_ch"/>
    <w:link w:val="Style_671"/>
    <w:rPr>
      <w:sz w:val="20"/>
    </w:rPr>
  </w:style>
  <w:style w:styleId="Style_3" w:type="paragraph">
    <w:name w:val="No Spacing"/>
    <w:link w:val="Style_3_ch"/>
    <w:rPr>
      <w:sz w:val="24"/>
    </w:rPr>
  </w:style>
  <w:style w:styleId="Style_3_ch" w:type="character">
    <w:name w:val="No Spacing"/>
    <w:link w:val="Style_3"/>
    <w:rPr>
      <w:sz w:val="24"/>
    </w:rPr>
  </w:style>
  <w:style w:styleId="Style_672" w:type="paragraph">
    <w:name w:val="WW8Num8z1"/>
    <w:link w:val="Style_672_ch"/>
    <w:rPr>
      <w:rFonts w:ascii="Courier New" w:hAnsi="Courier New"/>
    </w:rPr>
  </w:style>
  <w:style w:styleId="Style_672_ch" w:type="character">
    <w:name w:val="WW8Num8z1"/>
    <w:link w:val="Style_672"/>
    <w:rPr>
      <w:rFonts w:ascii="Courier New" w:hAnsi="Courier New"/>
    </w:rPr>
  </w:style>
  <w:style w:styleId="Style_673" w:type="paragraph">
    <w:name w:val="Font Style185"/>
    <w:link w:val="Style_673_ch"/>
    <w:rPr>
      <w:rFonts w:ascii="Arial" w:hAnsi="Arial"/>
      <w:b w:val="1"/>
      <w:spacing w:val="-30"/>
      <w:sz w:val="34"/>
    </w:rPr>
  </w:style>
  <w:style w:styleId="Style_673_ch" w:type="character">
    <w:name w:val="Font Style185"/>
    <w:link w:val="Style_673"/>
    <w:rPr>
      <w:rFonts w:ascii="Arial" w:hAnsi="Arial"/>
      <w:b w:val="1"/>
      <w:spacing w:val="-30"/>
      <w:sz w:val="34"/>
    </w:rPr>
  </w:style>
  <w:style w:styleId="Style_674" w:type="paragraph">
    <w:name w:val="s4"/>
    <w:link w:val="Style_674_ch"/>
  </w:style>
  <w:style w:styleId="Style_674_ch" w:type="character">
    <w:name w:val="s4"/>
    <w:link w:val="Style_674"/>
  </w:style>
  <w:style w:styleId="Style_675" w:type="paragraph">
    <w:name w:val="font201"/>
    <w:link w:val="Style_675_ch"/>
    <w:rPr>
      <w:vertAlign w:val="subscript"/>
    </w:rPr>
  </w:style>
  <w:style w:styleId="Style_675_ch" w:type="character">
    <w:name w:val="font201"/>
    <w:link w:val="Style_675"/>
    <w:rPr>
      <w:vertAlign w:val="subscript"/>
    </w:rPr>
  </w:style>
  <w:style w:styleId="Style_676" w:type="paragraph">
    <w:name w:val="WW8Num50z1"/>
    <w:link w:val="Style_676_ch"/>
    <w:rPr>
      <w:rFonts w:ascii="Courier New" w:hAnsi="Courier New"/>
    </w:rPr>
  </w:style>
  <w:style w:styleId="Style_676_ch" w:type="character">
    <w:name w:val="WW8Num50z1"/>
    <w:link w:val="Style_676"/>
    <w:rPr>
      <w:rFonts w:ascii="Courier New" w:hAnsi="Courier New"/>
    </w:rPr>
  </w:style>
  <w:style w:styleId="Style_677" w:type="paragraph">
    <w:name w:val="Знак"/>
    <w:basedOn w:val="Style_10"/>
    <w:link w:val="Style_677_ch"/>
    <w:pPr>
      <w:spacing w:after="0" w:line="240" w:lineRule="auto"/>
      <w:ind/>
    </w:pPr>
    <w:rPr>
      <w:sz w:val="28"/>
    </w:rPr>
  </w:style>
  <w:style w:styleId="Style_677_ch" w:type="character">
    <w:name w:val="Знак"/>
    <w:basedOn w:val="Style_10_ch"/>
    <w:link w:val="Style_677"/>
    <w:rPr>
      <w:sz w:val="28"/>
    </w:rPr>
  </w:style>
  <w:style w:styleId="Style_678" w:type="paragraph">
    <w:name w:val="Normal + 10 пт полужирный По центру Слева:  -02 см Справ... Знак"/>
    <w:basedOn w:val="Style_10"/>
    <w:link w:val="Style_678_ch"/>
    <w:pPr>
      <w:spacing w:after="0" w:line="360" w:lineRule="atLeast"/>
      <w:ind w:firstLine="0" w:left="-113" w:right="-113"/>
      <w:jc w:val="center"/>
    </w:pPr>
    <w:rPr>
      <w:b w:val="1"/>
      <w:sz w:val="20"/>
    </w:rPr>
  </w:style>
  <w:style w:styleId="Style_678_ch" w:type="character">
    <w:name w:val="Normal + 10 пт полужирный По центру Слева:  -02 см Справ... Знак"/>
    <w:basedOn w:val="Style_10_ch"/>
    <w:link w:val="Style_678"/>
    <w:rPr>
      <w:b w:val="1"/>
      <w:sz w:val="20"/>
    </w:rPr>
  </w:style>
  <w:style w:styleId="Style_679" w:type="paragraph">
    <w:name w:val="Style106"/>
    <w:basedOn w:val="Style_10"/>
    <w:link w:val="Style_679_ch"/>
    <w:pPr>
      <w:widowControl w:val="0"/>
      <w:spacing w:after="0" w:line="483" w:lineRule="exact"/>
      <w:ind w:firstLine="446" w:left="0"/>
    </w:pPr>
    <w:rPr>
      <w:sz w:val="24"/>
    </w:rPr>
  </w:style>
  <w:style w:styleId="Style_679_ch" w:type="character">
    <w:name w:val="Style106"/>
    <w:basedOn w:val="Style_10_ch"/>
    <w:link w:val="Style_679"/>
    <w:rPr>
      <w:sz w:val="24"/>
    </w:rPr>
  </w:style>
  <w:style w:styleId="Style_680" w:type="paragraph">
    <w:name w:val="Основной текст с отступом 21"/>
    <w:basedOn w:val="Style_10"/>
    <w:link w:val="Style_680_ch"/>
    <w:pPr>
      <w:widowControl w:val="0"/>
      <w:spacing w:after="120" w:line="480" w:lineRule="auto"/>
      <w:ind w:firstLine="0" w:left="283"/>
    </w:pPr>
    <w:rPr>
      <w:sz w:val="24"/>
    </w:rPr>
  </w:style>
  <w:style w:styleId="Style_680_ch" w:type="character">
    <w:name w:val="Основной текст с отступом 21"/>
    <w:basedOn w:val="Style_10_ch"/>
    <w:link w:val="Style_680"/>
    <w:rPr>
      <w:sz w:val="24"/>
    </w:rPr>
  </w:style>
  <w:style w:styleId="Style_681" w:type="paragraph">
    <w:name w:val="WW8NumSt27z0"/>
    <w:link w:val="Style_681_ch"/>
    <w:rPr>
      <w:rFonts w:ascii="Courier New" w:hAnsi="Courier New"/>
    </w:rPr>
  </w:style>
  <w:style w:styleId="Style_681_ch" w:type="character">
    <w:name w:val="WW8NumSt27z0"/>
    <w:link w:val="Style_681"/>
    <w:rPr>
      <w:rFonts w:ascii="Courier New" w:hAnsi="Courier New"/>
    </w:rPr>
  </w:style>
  <w:style w:styleId="Style_682" w:type="paragraph">
    <w:name w:val="heading 5"/>
    <w:basedOn w:val="Style_10"/>
    <w:next w:val="Style_10"/>
    <w:link w:val="Style_682_ch"/>
    <w:uiPriority w:val="9"/>
    <w:qFormat/>
    <w:pPr>
      <w:tabs>
        <w:tab w:leader="none" w:pos="0" w:val="left"/>
      </w:tabs>
      <w:spacing w:after="60" w:before="240" w:line="240" w:lineRule="auto"/>
      <w:ind/>
      <w:outlineLvl w:val="4"/>
    </w:pPr>
    <w:rPr>
      <w:b w:val="1"/>
      <w:i w:val="1"/>
      <w:sz w:val="26"/>
    </w:rPr>
  </w:style>
  <w:style w:styleId="Style_682_ch" w:type="character">
    <w:name w:val="heading 5"/>
    <w:basedOn w:val="Style_10_ch"/>
    <w:link w:val="Style_682"/>
    <w:rPr>
      <w:b w:val="1"/>
      <w:i w:val="1"/>
      <w:sz w:val="26"/>
    </w:rPr>
  </w:style>
  <w:style w:styleId="Style_683" w:type="paragraph">
    <w:name w:val="WW8Num26z1"/>
    <w:link w:val="Style_683_ch"/>
    <w:rPr>
      <w:rFonts w:ascii="Courier New" w:hAnsi="Courier New"/>
    </w:rPr>
  </w:style>
  <w:style w:styleId="Style_683_ch" w:type="character">
    <w:name w:val="WW8Num26z1"/>
    <w:link w:val="Style_683"/>
    <w:rPr>
      <w:rFonts w:ascii="Courier New" w:hAnsi="Courier New"/>
    </w:rPr>
  </w:style>
  <w:style w:styleId="Style_684" w:type="paragraph">
    <w:name w:val="xl160"/>
    <w:basedOn w:val="Style_10"/>
    <w:link w:val="Style_684_ch"/>
    <w:pPr>
      <w:spacing w:after="280" w:before="280" w:line="240" w:lineRule="auto"/>
      <w:ind/>
      <w:jc w:val="center"/>
    </w:pPr>
    <w:rPr>
      <w:sz w:val="24"/>
    </w:rPr>
  </w:style>
  <w:style w:styleId="Style_684_ch" w:type="character">
    <w:name w:val="xl160"/>
    <w:basedOn w:val="Style_10_ch"/>
    <w:link w:val="Style_684"/>
    <w:rPr>
      <w:sz w:val="24"/>
    </w:rPr>
  </w:style>
  <w:style w:styleId="Style_685" w:type="paragraph">
    <w:name w:val="WW8Num48z2"/>
    <w:link w:val="Style_685_ch"/>
    <w:rPr>
      <w:rFonts w:ascii="Wingdings" w:hAnsi="Wingdings"/>
    </w:rPr>
  </w:style>
  <w:style w:styleId="Style_685_ch" w:type="character">
    <w:name w:val="WW8Num48z2"/>
    <w:link w:val="Style_685"/>
    <w:rPr>
      <w:rFonts w:ascii="Wingdings" w:hAnsi="Wingdings"/>
    </w:rPr>
  </w:style>
  <w:style w:styleId="Style_686" w:type="paragraph">
    <w:name w:val="Style100"/>
    <w:basedOn w:val="Style_10"/>
    <w:link w:val="Style_686_ch"/>
    <w:pPr>
      <w:widowControl w:val="0"/>
      <w:spacing w:after="0" w:line="240" w:lineRule="auto"/>
      <w:ind/>
    </w:pPr>
    <w:rPr>
      <w:sz w:val="24"/>
    </w:rPr>
  </w:style>
  <w:style w:styleId="Style_686_ch" w:type="character">
    <w:name w:val="Style100"/>
    <w:basedOn w:val="Style_10_ch"/>
    <w:link w:val="Style_686"/>
    <w:rPr>
      <w:sz w:val="24"/>
    </w:rPr>
  </w:style>
  <w:style w:styleId="Style_687" w:type="paragraph">
    <w:name w:val="xl89"/>
    <w:basedOn w:val="Style_10"/>
    <w:link w:val="Style_687_ch"/>
    <w:pPr>
      <w:spacing w:afterAutospacing="on" w:beforeAutospacing="on" w:line="240" w:lineRule="auto"/>
      <w:ind/>
      <w:jc w:val="center"/>
    </w:pPr>
    <w:rPr>
      <w:sz w:val="24"/>
    </w:rPr>
  </w:style>
  <w:style w:styleId="Style_687_ch" w:type="character">
    <w:name w:val="xl89"/>
    <w:basedOn w:val="Style_10_ch"/>
    <w:link w:val="Style_687"/>
    <w:rPr>
      <w:sz w:val="24"/>
    </w:rPr>
  </w:style>
  <w:style w:styleId="Style_688" w:type="paragraph">
    <w:name w:val="WW-Absatz-Standardschriftart111111111111111111111"/>
    <w:link w:val="Style_688_ch"/>
  </w:style>
  <w:style w:styleId="Style_688_ch" w:type="character">
    <w:name w:val="WW-Absatz-Standardschriftart111111111111111111111"/>
    <w:link w:val="Style_688"/>
  </w:style>
  <w:style w:styleId="Style_689" w:type="paragraph">
    <w:name w:val="WW8Num22z2"/>
    <w:link w:val="Style_689_ch"/>
    <w:rPr>
      <w:rFonts w:ascii="Wingdings" w:hAnsi="Wingdings"/>
    </w:rPr>
  </w:style>
  <w:style w:styleId="Style_689_ch" w:type="character">
    <w:name w:val="WW8Num22z2"/>
    <w:link w:val="Style_689"/>
    <w:rPr>
      <w:rFonts w:ascii="Wingdings" w:hAnsi="Wingdings"/>
    </w:rPr>
  </w:style>
  <w:style w:styleId="Style_690" w:type="paragraph">
    <w:name w:val="WW8Num29z1"/>
    <w:link w:val="Style_690_ch"/>
    <w:rPr>
      <w:rFonts w:ascii="Wingdings" w:hAnsi="Wingdings"/>
    </w:rPr>
  </w:style>
  <w:style w:styleId="Style_690_ch" w:type="character">
    <w:name w:val="WW8Num29z1"/>
    <w:link w:val="Style_690"/>
    <w:rPr>
      <w:rFonts w:ascii="Wingdings" w:hAnsi="Wingdings"/>
    </w:rPr>
  </w:style>
  <w:style w:styleId="Style_691" w:type="paragraph">
    <w:name w:val="Font Style71"/>
    <w:link w:val="Style_691_ch"/>
    <w:rPr>
      <w:rFonts w:ascii="Trebuchet MS" w:hAnsi="Trebuchet MS"/>
      <w:spacing w:val="-10"/>
      <w:sz w:val="14"/>
    </w:rPr>
  </w:style>
  <w:style w:styleId="Style_691_ch" w:type="character">
    <w:name w:val="Font Style71"/>
    <w:link w:val="Style_691"/>
    <w:rPr>
      <w:rFonts w:ascii="Trebuchet MS" w:hAnsi="Trebuchet MS"/>
      <w:spacing w:val="-10"/>
      <w:sz w:val="14"/>
    </w:rPr>
  </w:style>
  <w:style w:styleId="Style_692" w:type="paragraph">
    <w:name w:val="WW-Absatz-Standardschriftart111111111111111111111111"/>
    <w:link w:val="Style_692_ch"/>
  </w:style>
  <w:style w:styleId="Style_692_ch" w:type="character">
    <w:name w:val="WW-Absatz-Standardschriftart111111111111111111111111"/>
    <w:link w:val="Style_692"/>
  </w:style>
  <w:style w:styleId="Style_693" w:type="paragraph">
    <w:name w:val="S_Маркированный"/>
    <w:basedOn w:val="Style_694"/>
    <w:link w:val="Style_693_ch"/>
    <w:pPr>
      <w:spacing w:line="360" w:lineRule="auto"/>
      <w:ind/>
      <w:jc w:val="both"/>
    </w:pPr>
    <w:rPr>
      <w:sz w:val="24"/>
    </w:rPr>
  </w:style>
  <w:style w:styleId="Style_693_ch" w:type="character">
    <w:name w:val="S_Маркированный"/>
    <w:basedOn w:val="Style_694_ch"/>
    <w:link w:val="Style_693"/>
    <w:rPr>
      <w:sz w:val="24"/>
    </w:rPr>
  </w:style>
  <w:style w:styleId="Style_695" w:type="paragraph">
    <w:name w:val="WW-Список 2"/>
    <w:basedOn w:val="Style_10"/>
    <w:link w:val="Style_695_ch"/>
    <w:pPr>
      <w:spacing w:after="0" w:line="240" w:lineRule="auto"/>
      <w:ind w:hanging="283" w:left="566"/>
    </w:pPr>
    <w:rPr>
      <w:sz w:val="20"/>
    </w:rPr>
  </w:style>
  <w:style w:styleId="Style_695_ch" w:type="character">
    <w:name w:val="WW-Список 2"/>
    <w:basedOn w:val="Style_10_ch"/>
    <w:link w:val="Style_695"/>
    <w:rPr>
      <w:sz w:val="20"/>
    </w:rPr>
  </w:style>
  <w:style w:styleId="Style_696" w:type="paragraph">
    <w:name w:val="WW8Num34z3"/>
    <w:link w:val="Style_696_ch"/>
    <w:rPr>
      <w:rFonts w:ascii="Symbol" w:hAnsi="Symbol"/>
    </w:rPr>
  </w:style>
  <w:style w:styleId="Style_696_ch" w:type="character">
    <w:name w:val="WW8Num34z3"/>
    <w:link w:val="Style_696"/>
    <w:rPr>
      <w:rFonts w:ascii="Symbol" w:hAnsi="Symbol"/>
    </w:rPr>
  </w:style>
  <w:style w:styleId="Style_697" w:type="paragraph">
    <w:name w:val="xl154"/>
    <w:basedOn w:val="Style_10"/>
    <w:link w:val="Style_697_ch"/>
    <w:pPr>
      <w:spacing w:after="280" w:before="280" w:line="240" w:lineRule="auto"/>
      <w:ind/>
      <w:jc w:val="center"/>
    </w:pPr>
    <w:rPr>
      <w:b w:val="1"/>
    </w:rPr>
  </w:style>
  <w:style w:styleId="Style_697_ch" w:type="character">
    <w:name w:val="xl154"/>
    <w:basedOn w:val="Style_10_ch"/>
    <w:link w:val="Style_697"/>
    <w:rPr>
      <w:b w:val="1"/>
    </w:rPr>
  </w:style>
  <w:style w:styleId="Style_698" w:type="paragraph">
    <w:name w:val="WW8Num55z2"/>
    <w:link w:val="Style_698_ch"/>
    <w:rPr>
      <w:rFonts w:ascii="Wingdings" w:hAnsi="Wingdings"/>
    </w:rPr>
  </w:style>
  <w:style w:styleId="Style_698_ch" w:type="character">
    <w:name w:val="WW8Num55z2"/>
    <w:link w:val="Style_698"/>
    <w:rPr>
      <w:rFonts w:ascii="Wingdings" w:hAnsi="Wingdings"/>
    </w:rPr>
  </w:style>
  <w:style w:styleId="Style_699" w:type="paragraph">
    <w:name w:val="WW-Absatz-Standardschriftart1111111111111"/>
    <w:link w:val="Style_699_ch"/>
  </w:style>
  <w:style w:styleId="Style_699_ch" w:type="character">
    <w:name w:val="WW-Absatz-Standardschriftart1111111111111"/>
    <w:link w:val="Style_699"/>
  </w:style>
  <w:style w:styleId="Style_700" w:type="paragraph">
    <w:name w:val="Font Style142"/>
    <w:link w:val="Style_700_ch"/>
    <w:rPr>
      <w:sz w:val="8"/>
    </w:rPr>
  </w:style>
  <w:style w:styleId="Style_700_ch" w:type="character">
    <w:name w:val="Font Style142"/>
    <w:link w:val="Style_700"/>
    <w:rPr>
      <w:sz w:val="8"/>
    </w:rPr>
  </w:style>
  <w:style w:styleId="Style_701" w:type="paragraph">
    <w:name w:val="WW8Num53z1"/>
    <w:link w:val="Style_701_ch"/>
    <w:rPr>
      <w:rFonts w:ascii="Courier New" w:hAnsi="Courier New"/>
    </w:rPr>
  </w:style>
  <w:style w:styleId="Style_701_ch" w:type="character">
    <w:name w:val="WW8Num53z1"/>
    <w:link w:val="Style_701"/>
    <w:rPr>
      <w:rFonts w:ascii="Courier New" w:hAnsi="Courier New"/>
    </w:rPr>
  </w:style>
  <w:style w:styleId="Style_702" w:type="paragraph">
    <w:name w:val="Название объекта2"/>
    <w:basedOn w:val="Style_10"/>
    <w:next w:val="Style_10"/>
    <w:link w:val="Style_702_ch"/>
    <w:pPr>
      <w:spacing w:after="0" w:line="240" w:lineRule="auto"/>
      <w:ind/>
    </w:pPr>
    <w:rPr>
      <w:b w:val="1"/>
      <w:sz w:val="20"/>
    </w:rPr>
  </w:style>
  <w:style w:styleId="Style_702_ch" w:type="character">
    <w:name w:val="Название объекта2"/>
    <w:basedOn w:val="Style_10_ch"/>
    <w:link w:val="Style_702"/>
    <w:rPr>
      <w:b w:val="1"/>
      <w:sz w:val="20"/>
    </w:rPr>
  </w:style>
  <w:style w:styleId="Style_703" w:type="paragraph">
    <w:name w:val="Основной текст ДБ"/>
    <w:basedOn w:val="Style_10"/>
    <w:link w:val="Style_703_ch"/>
    <w:pPr>
      <w:spacing w:after="0" w:before="120" w:line="312" w:lineRule="auto"/>
      <w:ind w:firstLine="851" w:left="0"/>
      <w:jc w:val="both"/>
    </w:pPr>
    <w:rPr>
      <w:sz w:val="24"/>
    </w:rPr>
  </w:style>
  <w:style w:styleId="Style_703_ch" w:type="character">
    <w:name w:val="Основной текст ДБ"/>
    <w:basedOn w:val="Style_10_ch"/>
    <w:link w:val="Style_703"/>
    <w:rPr>
      <w:sz w:val="24"/>
    </w:rPr>
  </w:style>
  <w:style w:styleId="Style_6" w:type="paragraph">
    <w:name w:val="List Paragraph"/>
    <w:basedOn w:val="Style_10"/>
    <w:link w:val="Style_6_ch"/>
    <w:pPr>
      <w:spacing w:after="0" w:line="240" w:lineRule="auto"/>
      <w:ind w:firstLine="0" w:left="720"/>
    </w:pPr>
    <w:rPr>
      <w:sz w:val="24"/>
    </w:rPr>
  </w:style>
  <w:style w:styleId="Style_6_ch" w:type="character">
    <w:name w:val="List Paragraph"/>
    <w:basedOn w:val="Style_10_ch"/>
    <w:link w:val="Style_6"/>
    <w:rPr>
      <w:sz w:val="24"/>
    </w:rPr>
  </w:style>
  <w:style w:styleId="Style_704" w:type="paragraph">
    <w:name w:val="Style102"/>
    <w:basedOn w:val="Style_10"/>
    <w:link w:val="Style_704_ch"/>
    <w:pPr>
      <w:widowControl w:val="0"/>
      <w:spacing w:after="0" w:line="480" w:lineRule="exact"/>
      <w:ind w:firstLine="432" w:left="0"/>
      <w:jc w:val="both"/>
    </w:pPr>
    <w:rPr>
      <w:sz w:val="24"/>
    </w:rPr>
  </w:style>
  <w:style w:styleId="Style_704_ch" w:type="character">
    <w:name w:val="Style102"/>
    <w:basedOn w:val="Style_10_ch"/>
    <w:link w:val="Style_704"/>
    <w:rPr>
      <w:sz w:val="24"/>
    </w:rPr>
  </w:style>
  <w:style w:styleId="Style_705" w:type="paragraph">
    <w:name w:val="WW8Num41z2"/>
    <w:link w:val="Style_705_ch"/>
    <w:rPr>
      <w:rFonts w:ascii="Wingdings" w:hAnsi="Wingdings"/>
    </w:rPr>
  </w:style>
  <w:style w:styleId="Style_705_ch" w:type="character">
    <w:name w:val="WW8Num41z2"/>
    <w:link w:val="Style_705"/>
    <w:rPr>
      <w:rFonts w:ascii="Wingdings" w:hAnsi="Wingdings"/>
    </w:rPr>
  </w:style>
  <w:style w:styleId="Style_706" w:type="paragraph">
    <w:name w:val="Font Style13"/>
    <w:link w:val="Style_706_ch"/>
    <w:rPr>
      <w:sz w:val="26"/>
    </w:rPr>
  </w:style>
  <w:style w:styleId="Style_706_ch" w:type="character">
    <w:name w:val="Font Style13"/>
    <w:link w:val="Style_706"/>
    <w:rPr>
      <w:sz w:val="26"/>
    </w:rPr>
  </w:style>
  <w:style w:styleId="Style_707" w:type="paragraph">
    <w:name w:val="Заголовок 1 Знак1"/>
    <w:link w:val="Style_707_ch"/>
    <w:rPr>
      <w:rFonts w:ascii="Arial" w:hAnsi="Arial"/>
      <w:b w:val="1"/>
      <w:caps w:val="1"/>
      <w:sz w:val="28"/>
    </w:rPr>
  </w:style>
  <w:style w:styleId="Style_707_ch" w:type="character">
    <w:name w:val="Заголовок 1 Знак1"/>
    <w:link w:val="Style_707"/>
    <w:rPr>
      <w:rFonts w:ascii="Arial" w:hAnsi="Arial"/>
      <w:b w:val="1"/>
      <w:caps w:val="1"/>
      <w:sz w:val="28"/>
    </w:rPr>
  </w:style>
  <w:style w:styleId="Style_708" w:type="paragraph">
    <w:name w:val="УГТП-Боковой штамп"/>
    <w:basedOn w:val="Style_10"/>
    <w:link w:val="Style_708_ch"/>
    <w:pPr>
      <w:spacing w:after="0" w:line="240" w:lineRule="auto"/>
      <w:ind/>
      <w:jc w:val="center"/>
    </w:pPr>
    <w:rPr>
      <w:rFonts w:ascii="Arial" w:hAnsi="Arial"/>
      <w:sz w:val="18"/>
    </w:rPr>
  </w:style>
  <w:style w:styleId="Style_708_ch" w:type="character">
    <w:name w:val="УГТП-Боковой штамп"/>
    <w:basedOn w:val="Style_10_ch"/>
    <w:link w:val="Style_708"/>
    <w:rPr>
      <w:rFonts w:ascii="Arial" w:hAnsi="Arial"/>
      <w:sz w:val="18"/>
    </w:rPr>
  </w:style>
  <w:style w:styleId="Style_709" w:type="paragraph">
    <w:name w:val="index heading"/>
    <w:basedOn w:val="Style_10"/>
    <w:next w:val="Style_710"/>
    <w:link w:val="Style_709_ch"/>
    <w:pPr>
      <w:widowControl w:val="0"/>
      <w:spacing w:after="0" w:line="240" w:lineRule="auto"/>
      <w:ind/>
    </w:pPr>
    <w:rPr>
      <w:rFonts w:ascii="Arial" w:hAnsi="Arial"/>
      <w:sz w:val="24"/>
    </w:rPr>
  </w:style>
  <w:style w:styleId="Style_709_ch" w:type="character">
    <w:name w:val="index heading"/>
    <w:basedOn w:val="Style_10_ch"/>
    <w:link w:val="Style_709"/>
    <w:rPr>
      <w:rFonts w:ascii="Arial" w:hAnsi="Arial"/>
      <w:sz w:val="24"/>
    </w:rPr>
  </w:style>
  <w:style w:styleId="Style_711" w:type="paragraph">
    <w:name w:val="Содержимое таблицы"/>
    <w:basedOn w:val="Style_74"/>
    <w:link w:val="Style_711_ch"/>
  </w:style>
  <w:style w:styleId="Style_711_ch" w:type="character">
    <w:name w:val="Содержимое таблицы"/>
    <w:basedOn w:val="Style_74_ch"/>
    <w:link w:val="Style_711"/>
  </w:style>
  <w:style w:styleId="Style_712" w:type="paragraph">
    <w:name w:val="xl42"/>
    <w:basedOn w:val="Style_10"/>
    <w:link w:val="Style_712_ch"/>
    <w:pPr>
      <w:spacing w:after="280" w:before="280" w:line="360" w:lineRule="atLeast"/>
      <w:ind w:firstLine="709" w:left="0"/>
      <w:jc w:val="both"/>
    </w:pPr>
    <w:rPr>
      <w:sz w:val="24"/>
    </w:rPr>
  </w:style>
  <w:style w:styleId="Style_712_ch" w:type="character">
    <w:name w:val="xl42"/>
    <w:basedOn w:val="Style_10_ch"/>
    <w:link w:val="Style_712"/>
    <w:rPr>
      <w:sz w:val="24"/>
    </w:rPr>
  </w:style>
  <w:style w:styleId="Style_713" w:type="paragraph">
    <w:name w:val="xl107"/>
    <w:basedOn w:val="Style_10"/>
    <w:link w:val="Style_713_ch"/>
    <w:pPr>
      <w:spacing w:afterAutospacing="on" w:beforeAutospacing="on" w:line="240" w:lineRule="auto"/>
      <w:ind/>
      <w:jc w:val="center"/>
    </w:pPr>
    <w:rPr>
      <w:sz w:val="24"/>
    </w:rPr>
  </w:style>
  <w:style w:styleId="Style_713_ch" w:type="character">
    <w:name w:val="xl107"/>
    <w:basedOn w:val="Style_10_ch"/>
    <w:link w:val="Style_713"/>
    <w:rPr>
      <w:sz w:val="24"/>
    </w:rPr>
  </w:style>
  <w:style w:styleId="Style_714" w:type="paragraph">
    <w:name w:val="Номер строки1"/>
    <w:link w:val="Style_714_ch"/>
  </w:style>
  <w:style w:styleId="Style_714_ch" w:type="character">
    <w:name w:val="Номер строки1"/>
    <w:link w:val="Style_714"/>
  </w:style>
  <w:style w:styleId="Style_715" w:type="paragraph">
    <w:name w:val="Обычный1"/>
    <w:link w:val="Style_715_ch"/>
    <w:rPr>
      <w:sz w:val="22"/>
    </w:rPr>
  </w:style>
  <w:style w:styleId="Style_715_ch" w:type="character">
    <w:name w:val="Обычный1"/>
    <w:link w:val="Style_715"/>
    <w:rPr>
      <w:sz w:val="22"/>
    </w:rPr>
  </w:style>
  <w:style w:styleId="Style_716" w:type="paragraph">
    <w:name w:val="WW8Num321z3"/>
    <w:link w:val="Style_716_ch"/>
    <w:rPr>
      <w:rFonts w:ascii="Symbol" w:hAnsi="Symbol"/>
    </w:rPr>
  </w:style>
  <w:style w:styleId="Style_716_ch" w:type="character">
    <w:name w:val="WW8Num321z3"/>
    <w:link w:val="Style_716"/>
    <w:rPr>
      <w:rFonts w:ascii="Symbol" w:hAnsi="Symbol"/>
    </w:rPr>
  </w:style>
  <w:style w:styleId="Style_717" w:type="paragraph">
    <w:name w:val="???????? ????? ? ???????? 21"/>
    <w:basedOn w:val="Style_10"/>
    <w:link w:val="Style_717_ch"/>
    <w:pPr>
      <w:widowControl w:val="0"/>
      <w:spacing w:after="120" w:line="480" w:lineRule="auto"/>
      <w:ind w:firstLine="0" w:left="283"/>
    </w:pPr>
    <w:rPr>
      <w:sz w:val="24"/>
    </w:rPr>
  </w:style>
  <w:style w:styleId="Style_717_ch" w:type="character">
    <w:name w:val="???????? ????? ? ???????? 21"/>
    <w:basedOn w:val="Style_10_ch"/>
    <w:link w:val="Style_717"/>
    <w:rPr>
      <w:sz w:val="24"/>
    </w:rPr>
  </w:style>
  <w:style w:styleId="Style_718" w:type="paragraph">
    <w:name w:val="WW8Num5z2"/>
    <w:link w:val="Style_718_ch"/>
    <w:rPr>
      <w:rFonts w:ascii="Wingdings" w:hAnsi="Wingdings"/>
    </w:rPr>
  </w:style>
  <w:style w:styleId="Style_718_ch" w:type="character">
    <w:name w:val="WW8Num5z2"/>
    <w:link w:val="Style_718"/>
    <w:rPr>
      <w:rFonts w:ascii="Wingdings" w:hAnsi="Wingdings"/>
    </w:rPr>
  </w:style>
  <w:style w:styleId="Style_719" w:type="paragraph">
    <w:name w:val="Красная строка2"/>
    <w:basedOn w:val="Style_74"/>
    <w:link w:val="Style_719_ch"/>
    <w:pPr>
      <w:ind w:firstLine="210" w:left="0"/>
    </w:pPr>
  </w:style>
  <w:style w:styleId="Style_719_ch" w:type="character">
    <w:name w:val="Красная строка2"/>
    <w:basedOn w:val="Style_74_ch"/>
    <w:link w:val="Style_719"/>
  </w:style>
  <w:style w:styleId="Style_720" w:type="paragraph">
    <w:name w:val="WW8Num30z1"/>
    <w:link w:val="Style_720_ch"/>
    <w:rPr>
      <w:rFonts w:ascii="Courier New" w:hAnsi="Courier New"/>
    </w:rPr>
  </w:style>
  <w:style w:styleId="Style_720_ch" w:type="character">
    <w:name w:val="WW8Num30z1"/>
    <w:link w:val="Style_720"/>
    <w:rPr>
      <w:rFonts w:ascii="Courier New" w:hAnsi="Courier New"/>
    </w:rPr>
  </w:style>
  <w:style w:styleId="Style_435" w:type="paragraph">
    <w:name w:val="heading 1"/>
    <w:basedOn w:val="Style_10"/>
    <w:next w:val="Style_10"/>
    <w:link w:val="Style_435_ch"/>
    <w:uiPriority w:val="9"/>
    <w:qFormat/>
    <w:pPr>
      <w:keepNext w:val="1"/>
      <w:tabs>
        <w:tab w:leader="none" w:pos="0" w:val="left"/>
      </w:tabs>
      <w:spacing w:after="0" w:line="240" w:lineRule="auto"/>
      <w:ind w:firstLine="709" w:left="0"/>
      <w:jc w:val="both"/>
      <w:outlineLvl w:val="0"/>
    </w:pPr>
    <w:rPr>
      <w:rFonts w:ascii="Arial" w:hAnsi="Arial"/>
      <w:b w:val="1"/>
      <w:sz w:val="28"/>
    </w:rPr>
  </w:style>
  <w:style w:styleId="Style_435_ch" w:type="character">
    <w:name w:val="heading 1"/>
    <w:basedOn w:val="Style_10_ch"/>
    <w:link w:val="Style_435"/>
    <w:rPr>
      <w:rFonts w:ascii="Arial" w:hAnsi="Arial"/>
      <w:b w:val="1"/>
      <w:sz w:val="28"/>
    </w:rPr>
  </w:style>
  <w:style w:styleId="Style_721" w:type="paragraph">
    <w:name w:val="s2"/>
    <w:link w:val="Style_721_ch"/>
  </w:style>
  <w:style w:styleId="Style_721_ch" w:type="character">
    <w:name w:val="s2"/>
    <w:link w:val="Style_721"/>
  </w:style>
  <w:style w:styleId="Style_722" w:type="paragraph">
    <w:name w:val="Основной текст с отступом 2 Знак1"/>
    <w:link w:val="Style_722_ch"/>
    <w:rPr>
      <w:sz w:val="22"/>
    </w:rPr>
  </w:style>
  <w:style w:styleId="Style_722_ch" w:type="character">
    <w:name w:val="Основной текст с отступом 2 Знак1"/>
    <w:link w:val="Style_722"/>
    <w:rPr>
      <w:sz w:val="22"/>
    </w:rPr>
  </w:style>
  <w:style w:styleId="Style_723" w:type="paragraph">
    <w:name w:val="Font Style33"/>
    <w:link w:val="Style_723_ch"/>
    <w:rPr>
      <w:b w:val="1"/>
      <w:i w:val="1"/>
      <w:sz w:val="16"/>
    </w:rPr>
  </w:style>
  <w:style w:styleId="Style_723_ch" w:type="character">
    <w:name w:val="Font Style33"/>
    <w:link w:val="Style_723"/>
    <w:rPr>
      <w:b w:val="1"/>
      <w:i w:val="1"/>
      <w:sz w:val="16"/>
    </w:rPr>
  </w:style>
  <w:style w:styleId="Style_724" w:type="paragraph">
    <w:name w:val="WW8Num47z2"/>
    <w:link w:val="Style_724_ch"/>
    <w:rPr>
      <w:rFonts w:ascii="Wingdings" w:hAnsi="Wingdings"/>
    </w:rPr>
  </w:style>
  <w:style w:styleId="Style_724_ch" w:type="character">
    <w:name w:val="WW8Num47z2"/>
    <w:link w:val="Style_724"/>
    <w:rPr>
      <w:rFonts w:ascii="Wingdings" w:hAnsi="Wingdings"/>
    </w:rPr>
  </w:style>
  <w:style w:styleId="Style_725" w:type="paragraph">
    <w:name w:val="WW-Текст"/>
    <w:basedOn w:val="Style_10"/>
    <w:link w:val="Style_725_ch"/>
    <w:pPr>
      <w:spacing w:after="0" w:line="240" w:lineRule="auto"/>
      <w:ind/>
    </w:pPr>
    <w:rPr>
      <w:rFonts w:ascii="Courier New" w:hAnsi="Courier New"/>
      <w:sz w:val="20"/>
    </w:rPr>
  </w:style>
  <w:style w:styleId="Style_725_ch" w:type="character">
    <w:name w:val="WW-Текст"/>
    <w:basedOn w:val="Style_10_ch"/>
    <w:link w:val="Style_725"/>
    <w:rPr>
      <w:rFonts w:ascii="Courier New" w:hAnsi="Courier New"/>
      <w:sz w:val="20"/>
    </w:rPr>
  </w:style>
  <w:style w:styleId="Style_726" w:type="paragraph">
    <w:name w:val="WW8Num192z0"/>
    <w:link w:val="Style_726_ch"/>
    <w:rPr>
      <w:rFonts w:ascii="Wingdings" w:hAnsi="Wingdings"/>
    </w:rPr>
  </w:style>
  <w:style w:styleId="Style_726_ch" w:type="character">
    <w:name w:val="WW8Num192z0"/>
    <w:link w:val="Style_726"/>
    <w:rPr>
      <w:rFonts w:ascii="Wingdings" w:hAnsi="Wingdings"/>
    </w:rPr>
  </w:style>
  <w:style w:styleId="Style_727" w:type="paragraph">
    <w:name w:val="Font Style12"/>
    <w:link w:val="Style_727_ch"/>
    <w:rPr>
      <w:rFonts w:ascii="Arial" w:hAnsi="Arial"/>
      <w:sz w:val="26"/>
    </w:rPr>
  </w:style>
  <w:style w:styleId="Style_727_ch" w:type="character">
    <w:name w:val="Font Style12"/>
    <w:link w:val="Style_727"/>
    <w:rPr>
      <w:rFonts w:ascii="Arial" w:hAnsi="Arial"/>
      <w:sz w:val="26"/>
    </w:rPr>
  </w:style>
  <w:style w:styleId="Style_728" w:type="paragraph">
    <w:name w:val="WW-WW8Num35z0"/>
    <w:link w:val="Style_728_ch"/>
    <w:rPr>
      <w:rFonts w:ascii="Courier New" w:hAnsi="Courier New"/>
    </w:rPr>
  </w:style>
  <w:style w:styleId="Style_728_ch" w:type="character">
    <w:name w:val="WW-WW8Num35z0"/>
    <w:link w:val="Style_728"/>
    <w:rPr>
      <w:rFonts w:ascii="Courier New" w:hAnsi="Courier New"/>
    </w:rPr>
  </w:style>
  <w:style w:styleId="Style_729" w:type="paragraph">
    <w:name w:val="Обычный_IG"/>
    <w:basedOn w:val="Style_10"/>
    <w:link w:val="Style_729_ch"/>
    <w:pPr>
      <w:spacing w:after="0" w:line="360" w:lineRule="auto"/>
      <w:ind w:firstLine="709" w:left="0"/>
      <w:jc w:val="both"/>
    </w:pPr>
    <w:rPr>
      <w:sz w:val="28"/>
    </w:rPr>
  </w:style>
  <w:style w:styleId="Style_729_ch" w:type="character">
    <w:name w:val="Обычный_IG"/>
    <w:basedOn w:val="Style_10_ch"/>
    <w:link w:val="Style_729"/>
    <w:rPr>
      <w:sz w:val="28"/>
    </w:rPr>
  </w:style>
  <w:style w:styleId="Style_730" w:type="paragraph">
    <w:name w:val="Style44"/>
    <w:basedOn w:val="Style_10"/>
    <w:link w:val="Style_730_ch"/>
    <w:pPr>
      <w:widowControl w:val="0"/>
      <w:spacing w:after="0" w:line="437" w:lineRule="exact"/>
      <w:ind w:firstLine="422" w:left="0"/>
      <w:jc w:val="both"/>
    </w:pPr>
    <w:rPr>
      <w:sz w:val="24"/>
    </w:rPr>
  </w:style>
  <w:style w:styleId="Style_730_ch" w:type="character">
    <w:name w:val="Style44"/>
    <w:basedOn w:val="Style_10_ch"/>
    <w:link w:val="Style_730"/>
    <w:rPr>
      <w:sz w:val="24"/>
    </w:rPr>
  </w:style>
  <w:style w:styleId="Style_731" w:type="paragraph">
    <w:name w:val="Основной шрифт абзаца3"/>
    <w:link w:val="Style_731_ch"/>
  </w:style>
  <w:style w:styleId="Style_731_ch" w:type="character">
    <w:name w:val="Основной шрифт абзаца3"/>
    <w:link w:val="Style_731"/>
  </w:style>
  <w:style w:styleId="Style_732" w:type="paragraph">
    <w:name w:val="xl48"/>
    <w:basedOn w:val="Style_10"/>
    <w:link w:val="Style_732_ch"/>
    <w:pPr>
      <w:spacing w:after="280" w:before="280" w:line="360" w:lineRule="atLeast"/>
      <w:ind w:firstLine="709" w:left="0"/>
      <w:jc w:val="both"/>
    </w:pPr>
    <w:rPr>
      <w:rFonts w:ascii="Arial Narrow" w:hAnsi="Arial Narrow"/>
      <w:b w:val="1"/>
      <w:sz w:val="24"/>
    </w:rPr>
  </w:style>
  <w:style w:styleId="Style_732_ch" w:type="character">
    <w:name w:val="xl48"/>
    <w:basedOn w:val="Style_10_ch"/>
    <w:link w:val="Style_732"/>
    <w:rPr>
      <w:rFonts w:ascii="Arial Narrow" w:hAnsi="Arial Narrow"/>
      <w:b w:val="1"/>
      <w:sz w:val="24"/>
    </w:rPr>
  </w:style>
  <w:style w:styleId="Style_733" w:type="paragraph">
    <w:name w:val="Название таблицы ДБ"/>
    <w:basedOn w:val="Style_10"/>
    <w:link w:val="Style_733_ch"/>
    <w:pPr>
      <w:spacing w:after="0" w:line="360" w:lineRule="atLeast"/>
      <w:ind/>
      <w:jc w:val="center"/>
    </w:pPr>
    <w:rPr>
      <w:i w:val="1"/>
      <w:sz w:val="20"/>
    </w:rPr>
  </w:style>
  <w:style w:styleId="Style_733_ch" w:type="character">
    <w:name w:val="Название таблицы ДБ"/>
    <w:basedOn w:val="Style_10_ch"/>
    <w:link w:val="Style_733"/>
    <w:rPr>
      <w:i w:val="1"/>
      <w:sz w:val="20"/>
    </w:rPr>
  </w:style>
  <w:style w:styleId="Style_734" w:type="paragraph">
    <w:name w:val="xl36"/>
    <w:basedOn w:val="Style_10"/>
    <w:link w:val="Style_734_ch"/>
    <w:pPr>
      <w:spacing w:after="280" w:before="280" w:line="240" w:lineRule="auto"/>
      <w:ind/>
      <w:jc w:val="center"/>
    </w:pPr>
    <w:rPr>
      <w:sz w:val="28"/>
    </w:rPr>
  </w:style>
  <w:style w:styleId="Style_734_ch" w:type="character">
    <w:name w:val="xl36"/>
    <w:basedOn w:val="Style_10_ch"/>
    <w:link w:val="Style_734"/>
    <w:rPr>
      <w:sz w:val="28"/>
    </w:rPr>
  </w:style>
  <w:style w:styleId="Style_735" w:type="paragraph">
    <w:name w:val="1oaenoiacia6"/>
    <w:basedOn w:val="Style_10"/>
    <w:link w:val="Style_735_ch"/>
    <w:pPr>
      <w:spacing w:after="0" w:line="360" w:lineRule="atLeast"/>
      <w:ind w:firstLine="284" w:left="0"/>
      <w:jc w:val="both"/>
    </w:pPr>
    <w:rPr>
      <w:sz w:val="18"/>
    </w:rPr>
  </w:style>
  <w:style w:styleId="Style_735_ch" w:type="character">
    <w:name w:val="1oaenoiacia6"/>
    <w:basedOn w:val="Style_10_ch"/>
    <w:link w:val="Style_735"/>
    <w:rPr>
      <w:sz w:val="18"/>
    </w:rPr>
  </w:style>
  <w:style w:styleId="Style_736" w:type="paragraph">
    <w:name w:val="font51"/>
    <w:link w:val="Style_736_ch"/>
  </w:style>
  <w:style w:styleId="Style_736_ch" w:type="character">
    <w:name w:val="font51"/>
    <w:link w:val="Style_736"/>
  </w:style>
  <w:style w:styleId="Style_737" w:type="paragraph">
    <w:name w:val="xl72"/>
    <w:basedOn w:val="Style_10"/>
    <w:link w:val="Style_737_ch"/>
    <w:pPr>
      <w:spacing w:afterAutospacing="on" w:beforeAutospacing="on" w:line="240" w:lineRule="auto"/>
      <w:ind/>
    </w:pPr>
    <w:rPr>
      <w:sz w:val="26"/>
    </w:rPr>
  </w:style>
  <w:style w:styleId="Style_737_ch" w:type="character">
    <w:name w:val="xl72"/>
    <w:basedOn w:val="Style_10_ch"/>
    <w:link w:val="Style_737"/>
    <w:rPr>
      <w:sz w:val="26"/>
    </w:rPr>
  </w:style>
  <w:style w:styleId="Style_738" w:type="paragraph">
    <w:name w:val="Font Style22"/>
    <w:link w:val="Style_738_ch"/>
    <w:rPr>
      <w:b w:val="1"/>
      <w:sz w:val="14"/>
    </w:rPr>
  </w:style>
  <w:style w:styleId="Style_738_ch" w:type="character">
    <w:name w:val="Font Style22"/>
    <w:link w:val="Style_738"/>
    <w:rPr>
      <w:b w:val="1"/>
      <w:sz w:val="14"/>
    </w:rPr>
  </w:style>
  <w:style w:styleId="Style_739" w:type="paragraph">
    <w:name w:val="WW-WW8Num18z0"/>
    <w:link w:val="Style_739_ch"/>
    <w:rPr>
      <w:rFonts w:ascii="Courier New" w:hAnsi="Courier New"/>
    </w:rPr>
  </w:style>
  <w:style w:styleId="Style_739_ch" w:type="character">
    <w:name w:val="WW-WW8Num18z0"/>
    <w:link w:val="Style_739"/>
    <w:rPr>
      <w:rFonts w:ascii="Courier New" w:hAnsi="Courier New"/>
    </w:rPr>
  </w:style>
  <w:style w:styleId="Style_740" w:type="paragraph">
    <w:name w:val="Style14"/>
    <w:basedOn w:val="Style_10"/>
    <w:link w:val="Style_740_ch"/>
    <w:pPr>
      <w:widowControl w:val="0"/>
      <w:spacing w:after="0" w:line="240" w:lineRule="auto"/>
      <w:ind/>
    </w:pPr>
    <w:rPr>
      <w:sz w:val="24"/>
    </w:rPr>
  </w:style>
  <w:style w:styleId="Style_740_ch" w:type="character">
    <w:name w:val="Style14"/>
    <w:basedOn w:val="Style_10_ch"/>
    <w:link w:val="Style_740"/>
    <w:rPr>
      <w:sz w:val="24"/>
    </w:rPr>
  </w:style>
  <w:style w:styleId="Style_741" w:type="paragraph">
    <w:name w:val="Основной текст 33"/>
    <w:basedOn w:val="Style_10"/>
    <w:link w:val="Style_741_ch"/>
    <w:pPr>
      <w:spacing w:after="0" w:line="240" w:lineRule="auto"/>
      <w:ind/>
    </w:pPr>
    <w:rPr>
      <w:sz w:val="28"/>
    </w:rPr>
  </w:style>
  <w:style w:styleId="Style_741_ch" w:type="character">
    <w:name w:val="Основной текст 33"/>
    <w:basedOn w:val="Style_10_ch"/>
    <w:link w:val="Style_741"/>
    <w:rPr>
      <w:sz w:val="28"/>
    </w:rPr>
  </w:style>
  <w:style w:styleId="Style_742" w:type="paragraph">
    <w:name w:val="WW-Название объекта"/>
    <w:basedOn w:val="Style_10"/>
    <w:next w:val="Style_10"/>
    <w:link w:val="Style_742_ch"/>
    <w:pPr>
      <w:spacing w:after="0" w:line="240" w:lineRule="auto"/>
      <w:ind/>
    </w:pPr>
    <w:rPr>
      <w:b w:val="1"/>
      <w:sz w:val="20"/>
    </w:rPr>
  </w:style>
  <w:style w:styleId="Style_742_ch" w:type="character">
    <w:name w:val="WW-Название объекта"/>
    <w:basedOn w:val="Style_10_ch"/>
    <w:link w:val="Style_742"/>
    <w:rPr>
      <w:b w:val="1"/>
      <w:sz w:val="20"/>
    </w:rPr>
  </w:style>
  <w:style w:styleId="Style_743" w:type="paragraph">
    <w:name w:val="WW-Заголовок"/>
    <w:basedOn w:val="Style_10"/>
    <w:next w:val="Style_74"/>
    <w:link w:val="Style_743_ch"/>
    <w:pPr>
      <w:keepNext w:val="1"/>
      <w:widowControl w:val="0"/>
      <w:spacing w:after="120" w:before="240" w:line="240" w:lineRule="auto"/>
      <w:ind/>
    </w:pPr>
    <w:rPr>
      <w:rFonts w:ascii="Arial" w:hAnsi="Arial"/>
      <w:sz w:val="28"/>
    </w:rPr>
  </w:style>
  <w:style w:styleId="Style_743_ch" w:type="character">
    <w:name w:val="WW-Заголовок"/>
    <w:basedOn w:val="Style_10_ch"/>
    <w:link w:val="Style_743"/>
    <w:rPr>
      <w:rFonts w:ascii="Arial" w:hAnsi="Arial"/>
      <w:sz w:val="28"/>
    </w:rPr>
  </w:style>
  <w:style w:styleId="Style_744" w:type="paragraph">
    <w:name w:val="WW8Num67z2"/>
    <w:link w:val="Style_744_ch"/>
    <w:rPr>
      <w:rFonts w:ascii="Wingdings" w:hAnsi="Wingdings"/>
    </w:rPr>
  </w:style>
  <w:style w:styleId="Style_744_ch" w:type="character">
    <w:name w:val="WW8Num67z2"/>
    <w:link w:val="Style_744"/>
    <w:rPr>
      <w:rFonts w:ascii="Wingdings" w:hAnsi="Wingdings"/>
    </w:rPr>
  </w:style>
  <w:style w:styleId="Style_745" w:type="paragraph">
    <w:name w:val="Font Style41"/>
    <w:link w:val="Style_745_ch"/>
    <w:rPr>
      <w:spacing w:val="10"/>
    </w:rPr>
  </w:style>
  <w:style w:styleId="Style_745_ch" w:type="character">
    <w:name w:val="Font Style41"/>
    <w:link w:val="Style_745"/>
    <w:rPr>
      <w:spacing w:val="10"/>
    </w:rPr>
  </w:style>
  <w:style w:styleId="Style_746" w:type="paragraph">
    <w:name w:val="WW8Num18z2"/>
    <w:link w:val="Style_746_ch"/>
    <w:rPr>
      <w:rFonts w:ascii="Wingdings" w:hAnsi="Wingdings"/>
    </w:rPr>
  </w:style>
  <w:style w:styleId="Style_746_ch" w:type="character">
    <w:name w:val="WW8Num18z2"/>
    <w:link w:val="Style_746"/>
    <w:rPr>
      <w:rFonts w:ascii="Wingdings" w:hAnsi="Wingdings"/>
    </w:rPr>
  </w:style>
  <w:style w:styleId="Style_747" w:type="paragraph">
    <w:name w:val="А_текст"/>
    <w:link w:val="Style_747_ch"/>
    <w:pPr>
      <w:widowControl w:val="0"/>
      <w:spacing w:line="360" w:lineRule="atLeast"/>
      <w:ind w:firstLine="709" w:left="-284"/>
      <w:jc w:val="both"/>
    </w:pPr>
    <w:rPr>
      <w:sz w:val="28"/>
    </w:rPr>
  </w:style>
  <w:style w:styleId="Style_747_ch" w:type="character">
    <w:name w:val="А_текст"/>
    <w:link w:val="Style_747"/>
    <w:rPr>
      <w:sz w:val="28"/>
    </w:rPr>
  </w:style>
  <w:style w:styleId="Style_748" w:type="paragraph">
    <w:name w:val="Внутренний адрес"/>
    <w:basedOn w:val="Style_74"/>
    <w:link w:val="Style_748_ch"/>
    <w:pPr>
      <w:spacing w:after="0" w:line="240" w:lineRule="atLeast"/>
      <w:ind w:firstLine="709" w:left="0"/>
      <w:jc w:val="both"/>
    </w:pPr>
    <w:rPr>
      <w:sz w:val="22"/>
    </w:rPr>
  </w:style>
  <w:style w:styleId="Style_748_ch" w:type="character">
    <w:name w:val="Внутренний адрес"/>
    <w:basedOn w:val="Style_74_ch"/>
    <w:link w:val="Style_748"/>
    <w:rPr>
      <w:sz w:val="22"/>
    </w:rPr>
  </w:style>
  <w:style w:styleId="Style_749" w:type="paragraph">
    <w:name w:val="WW8Num41z0"/>
    <w:link w:val="Style_749_ch"/>
    <w:rPr>
      <w:rFonts w:ascii="Symbol" w:hAnsi="Symbol"/>
    </w:rPr>
  </w:style>
  <w:style w:styleId="Style_749_ch" w:type="character">
    <w:name w:val="WW8Num41z0"/>
    <w:link w:val="Style_749"/>
    <w:rPr>
      <w:rFonts w:ascii="Symbol" w:hAnsi="Symbol"/>
    </w:rPr>
  </w:style>
  <w:style w:styleId="Style_750" w:type="paragraph">
    <w:name w:val="sdendnote"/>
    <w:basedOn w:val="Style_10"/>
    <w:link w:val="Style_750_ch"/>
    <w:pPr>
      <w:spacing w:after="0" w:before="280" w:line="240" w:lineRule="auto"/>
      <w:ind w:hanging="284" w:left="284"/>
    </w:pPr>
    <w:rPr>
      <w:sz w:val="20"/>
    </w:rPr>
  </w:style>
  <w:style w:styleId="Style_750_ch" w:type="character">
    <w:name w:val="sdendnote"/>
    <w:basedOn w:val="Style_10_ch"/>
    <w:link w:val="Style_750"/>
    <w:rPr>
      <w:sz w:val="20"/>
    </w:rPr>
  </w:style>
  <w:style w:styleId="Style_751" w:type="paragraph">
    <w:name w:val="WW8Num29z0"/>
    <w:link w:val="Style_751_ch"/>
  </w:style>
  <w:style w:styleId="Style_751_ch" w:type="character">
    <w:name w:val="WW8Num29z0"/>
    <w:link w:val="Style_751"/>
  </w:style>
  <w:style w:styleId="Style_752" w:type="paragraph">
    <w:name w:val="WW8Num24z1"/>
    <w:link w:val="Style_752_ch"/>
    <w:rPr>
      <w:rFonts w:ascii="Courier New" w:hAnsi="Courier New"/>
    </w:rPr>
  </w:style>
  <w:style w:styleId="Style_752_ch" w:type="character">
    <w:name w:val="WW8Num24z1"/>
    <w:link w:val="Style_752"/>
    <w:rPr>
      <w:rFonts w:ascii="Courier New" w:hAnsi="Courier New"/>
    </w:rPr>
  </w:style>
  <w:style w:styleId="Style_753" w:type="paragraph">
    <w:name w:val="Font Style24"/>
    <w:link w:val="Style_753_ch"/>
    <w:rPr>
      <w:sz w:val="14"/>
    </w:rPr>
  </w:style>
  <w:style w:styleId="Style_753_ch" w:type="character">
    <w:name w:val="Font Style24"/>
    <w:link w:val="Style_753"/>
    <w:rPr>
      <w:sz w:val="14"/>
    </w:rPr>
  </w:style>
  <w:style w:styleId="Style_754" w:type="paragraph">
    <w:name w:val="Style35"/>
    <w:basedOn w:val="Style_10"/>
    <w:link w:val="Style_754_ch"/>
    <w:pPr>
      <w:widowControl w:val="0"/>
      <w:spacing w:after="0" w:line="240" w:lineRule="auto"/>
      <w:ind/>
    </w:pPr>
    <w:rPr>
      <w:sz w:val="24"/>
    </w:rPr>
  </w:style>
  <w:style w:styleId="Style_754_ch" w:type="character">
    <w:name w:val="Style35"/>
    <w:basedOn w:val="Style_10_ch"/>
    <w:link w:val="Style_754"/>
    <w:rPr>
      <w:sz w:val="24"/>
    </w:rPr>
  </w:style>
  <w:style w:styleId="Style_755" w:type="paragraph">
    <w:name w:val="WW-WW8Num21z0"/>
    <w:link w:val="Style_755_ch"/>
    <w:rPr>
      <w:rFonts w:ascii="Courier New" w:hAnsi="Courier New"/>
    </w:rPr>
  </w:style>
  <w:style w:styleId="Style_755_ch" w:type="character">
    <w:name w:val="WW-WW8Num21z0"/>
    <w:link w:val="Style_755"/>
    <w:rPr>
      <w:rFonts w:ascii="Courier New" w:hAnsi="Courier New"/>
    </w:rPr>
  </w:style>
  <w:style w:styleId="Style_756" w:type="paragraph">
    <w:name w:val="xl87"/>
    <w:basedOn w:val="Style_10"/>
    <w:link w:val="Style_756_ch"/>
    <w:pPr>
      <w:spacing w:after="280" w:before="280" w:line="240" w:lineRule="auto"/>
      <w:ind/>
    </w:pPr>
    <w:rPr>
      <w:sz w:val="24"/>
    </w:rPr>
  </w:style>
  <w:style w:styleId="Style_756_ch" w:type="character">
    <w:name w:val="xl87"/>
    <w:basedOn w:val="Style_10_ch"/>
    <w:link w:val="Style_756"/>
    <w:rPr>
      <w:sz w:val="24"/>
    </w:rPr>
  </w:style>
  <w:style w:styleId="Style_757" w:type="paragraph">
    <w:name w:val="xl176"/>
    <w:basedOn w:val="Style_10"/>
    <w:link w:val="Style_757_ch"/>
    <w:pPr>
      <w:spacing w:after="280" w:before="280" w:line="240" w:lineRule="auto"/>
      <w:ind/>
      <w:jc w:val="center"/>
    </w:pPr>
    <w:rPr>
      <w:b w:val="1"/>
      <w:sz w:val="24"/>
    </w:rPr>
  </w:style>
  <w:style w:styleId="Style_757_ch" w:type="character">
    <w:name w:val="xl176"/>
    <w:basedOn w:val="Style_10_ch"/>
    <w:link w:val="Style_757"/>
    <w:rPr>
      <w:b w:val="1"/>
      <w:sz w:val="24"/>
    </w:rPr>
  </w:style>
  <w:style w:styleId="Style_758" w:type="paragraph">
    <w:name w:val="Style1"/>
    <w:basedOn w:val="Style_10"/>
    <w:link w:val="Style_758_ch"/>
    <w:pPr>
      <w:widowControl w:val="0"/>
      <w:spacing w:after="0" w:line="240" w:lineRule="auto"/>
      <w:ind/>
    </w:pPr>
    <w:rPr>
      <w:sz w:val="24"/>
    </w:rPr>
  </w:style>
  <w:style w:styleId="Style_758_ch" w:type="character">
    <w:name w:val="Style1"/>
    <w:basedOn w:val="Style_10_ch"/>
    <w:link w:val="Style_758"/>
    <w:rPr>
      <w:sz w:val="24"/>
    </w:rPr>
  </w:style>
  <w:style w:styleId="Style_759" w:type="paragraph">
    <w:name w:val="WW8Num169z3"/>
    <w:link w:val="Style_759_ch"/>
    <w:rPr>
      <w:rFonts w:ascii="Symbol" w:hAnsi="Symbol"/>
    </w:rPr>
  </w:style>
  <w:style w:styleId="Style_759_ch" w:type="character">
    <w:name w:val="WW8Num169z3"/>
    <w:link w:val="Style_759"/>
    <w:rPr>
      <w:rFonts w:ascii="Symbol" w:hAnsi="Symbol"/>
    </w:rPr>
  </w:style>
  <w:style w:styleId="Style_760" w:type="paragraph">
    <w:name w:val="Font Style120"/>
    <w:link w:val="Style_760_ch"/>
    <w:rPr>
      <w:rFonts w:ascii="Arial" w:hAnsi="Arial"/>
      <w:b w:val="1"/>
      <w:sz w:val="14"/>
    </w:rPr>
  </w:style>
  <w:style w:styleId="Style_760_ch" w:type="character">
    <w:name w:val="Font Style120"/>
    <w:link w:val="Style_760"/>
    <w:rPr>
      <w:rFonts w:ascii="Arial" w:hAnsi="Arial"/>
      <w:b w:val="1"/>
      <w:sz w:val="14"/>
    </w:rPr>
  </w:style>
  <w:style w:styleId="Style_761" w:type="paragraph">
    <w:name w:val="Font Style155"/>
    <w:link w:val="Style_761_ch"/>
    <w:rPr>
      <w:sz w:val="12"/>
    </w:rPr>
  </w:style>
  <w:style w:styleId="Style_761_ch" w:type="character">
    <w:name w:val="Font Style155"/>
    <w:link w:val="Style_761"/>
    <w:rPr>
      <w:sz w:val="12"/>
    </w:rPr>
  </w:style>
  <w:style w:styleId="Style_762" w:type="paragraph">
    <w:name w:val="Заголграф"/>
    <w:basedOn w:val="Style_216"/>
    <w:link w:val="Style_762_ch"/>
    <w:pPr>
      <w:spacing w:after="240" w:before="120" w:line="360" w:lineRule="atLeast"/>
      <w:ind/>
      <w:jc w:val="center"/>
      <w:outlineLvl w:val="8"/>
    </w:pPr>
    <w:rPr>
      <w:rFonts w:ascii="Times New Roman" w:hAnsi="Times New Roman"/>
      <w:sz w:val="22"/>
    </w:rPr>
  </w:style>
  <w:style w:styleId="Style_762_ch" w:type="character">
    <w:name w:val="Заголграф"/>
    <w:basedOn w:val="Style_216_ch"/>
    <w:link w:val="Style_762"/>
    <w:rPr>
      <w:rFonts w:ascii="Times New Roman" w:hAnsi="Times New Roman"/>
      <w:sz w:val="22"/>
    </w:rPr>
  </w:style>
  <w:style w:styleId="Style_763" w:type="paragraph">
    <w:name w:val="WW8NumSt3z0"/>
    <w:link w:val="Style_763_ch"/>
    <w:rPr>
      <w:rFonts w:ascii="Courier New" w:hAnsi="Courier New"/>
    </w:rPr>
  </w:style>
  <w:style w:styleId="Style_763_ch" w:type="character">
    <w:name w:val="WW8NumSt3z0"/>
    <w:link w:val="Style_763"/>
    <w:rPr>
      <w:rFonts w:ascii="Courier New" w:hAnsi="Courier New"/>
    </w:rPr>
  </w:style>
  <w:style w:styleId="Style_764" w:type="paragraph">
    <w:name w:val="xl63"/>
    <w:basedOn w:val="Style_10"/>
    <w:link w:val="Style_764_ch"/>
    <w:pPr>
      <w:spacing w:after="280" w:before="280" w:line="240" w:lineRule="auto"/>
      <w:ind/>
      <w:jc w:val="center"/>
    </w:pPr>
    <w:rPr>
      <w:sz w:val="18"/>
    </w:rPr>
  </w:style>
  <w:style w:styleId="Style_764_ch" w:type="character">
    <w:name w:val="xl63"/>
    <w:basedOn w:val="Style_10_ch"/>
    <w:link w:val="Style_764"/>
    <w:rPr>
      <w:sz w:val="18"/>
    </w:rPr>
  </w:style>
  <w:style w:styleId="Style_765" w:type="paragraph">
    <w:name w:val="xl106"/>
    <w:basedOn w:val="Style_10"/>
    <w:link w:val="Style_765_ch"/>
    <w:pPr>
      <w:spacing w:afterAutospacing="on" w:beforeAutospacing="on" w:line="240" w:lineRule="auto"/>
      <w:ind/>
      <w:jc w:val="center"/>
    </w:pPr>
    <w:rPr>
      <w:sz w:val="24"/>
    </w:rPr>
  </w:style>
  <w:style w:styleId="Style_765_ch" w:type="character">
    <w:name w:val="xl106"/>
    <w:basedOn w:val="Style_10_ch"/>
    <w:link w:val="Style_765"/>
    <w:rPr>
      <w:sz w:val="24"/>
    </w:rPr>
  </w:style>
  <w:style w:styleId="Style_766" w:type="paragraph">
    <w:name w:val="WW8Num12z3"/>
    <w:link w:val="Style_766_ch"/>
    <w:rPr>
      <w:rFonts w:ascii="Symbol" w:hAnsi="Symbol"/>
    </w:rPr>
  </w:style>
  <w:style w:styleId="Style_766_ch" w:type="character">
    <w:name w:val="WW8Num12z3"/>
    <w:link w:val="Style_766"/>
    <w:rPr>
      <w:rFonts w:ascii="Symbol" w:hAnsi="Symbol"/>
    </w:rPr>
  </w:style>
  <w:style w:styleId="Style_767" w:type="paragraph">
    <w:name w:val="WW8Num340z2"/>
    <w:link w:val="Style_767_ch"/>
    <w:rPr>
      <w:rFonts w:ascii="Wingdings" w:hAnsi="Wingdings"/>
    </w:rPr>
  </w:style>
  <w:style w:styleId="Style_767_ch" w:type="character">
    <w:name w:val="WW8Num340z2"/>
    <w:link w:val="Style_767"/>
    <w:rPr>
      <w:rFonts w:ascii="Wingdings" w:hAnsi="Wingdings"/>
    </w:rPr>
  </w:style>
  <w:style w:styleId="Style_768" w:type="paragraph">
    <w:name w:val="Подглавы"/>
    <w:basedOn w:val="Style_10"/>
    <w:link w:val="Style_768_ch"/>
    <w:pPr>
      <w:keepNext w:val="1"/>
      <w:widowControl w:val="0"/>
      <w:spacing w:after="0" w:line="240" w:lineRule="auto"/>
      <w:ind/>
      <w:jc w:val="center"/>
      <w:outlineLvl w:val="1"/>
    </w:pPr>
    <w:rPr>
      <w:b w:val="1"/>
      <w:sz w:val="24"/>
    </w:rPr>
  </w:style>
  <w:style w:styleId="Style_768_ch" w:type="character">
    <w:name w:val="Подглавы"/>
    <w:basedOn w:val="Style_10_ch"/>
    <w:link w:val="Style_768"/>
    <w:rPr>
      <w:b w:val="1"/>
      <w:sz w:val="24"/>
    </w:rPr>
  </w:style>
  <w:style w:styleId="Style_769" w:type="paragraph">
    <w:name w:val="xl93"/>
    <w:basedOn w:val="Style_10"/>
    <w:link w:val="Style_769_ch"/>
    <w:pPr>
      <w:spacing w:afterAutospacing="on" w:beforeAutospacing="on" w:line="240" w:lineRule="auto"/>
      <w:ind/>
    </w:pPr>
    <w:rPr>
      <w:sz w:val="24"/>
    </w:rPr>
  </w:style>
  <w:style w:styleId="Style_769_ch" w:type="character">
    <w:name w:val="xl93"/>
    <w:basedOn w:val="Style_10_ch"/>
    <w:link w:val="Style_769"/>
    <w:rPr>
      <w:sz w:val="24"/>
    </w:rPr>
  </w:style>
  <w:style w:styleId="Style_770" w:type="paragraph">
    <w:name w:val="Стиль Обычный (веб) + 14 пт По ширине Слева:  0 см Первая строка..."/>
    <w:basedOn w:val="Style_10"/>
    <w:next w:val="Style_725"/>
    <w:link w:val="Style_770_ch"/>
    <w:pPr>
      <w:spacing w:after="0" w:line="240" w:lineRule="auto"/>
      <w:ind w:firstLine="900" w:left="0"/>
      <w:jc w:val="both"/>
    </w:pPr>
    <w:rPr>
      <w:sz w:val="28"/>
    </w:rPr>
  </w:style>
  <w:style w:styleId="Style_770_ch" w:type="character">
    <w:name w:val="Стиль Обычный (веб) + 14 пт По ширине Слева:  0 см Первая строка..."/>
    <w:basedOn w:val="Style_10_ch"/>
    <w:link w:val="Style_770"/>
    <w:rPr>
      <w:sz w:val="28"/>
    </w:rPr>
  </w:style>
  <w:style w:styleId="Style_771" w:type="paragraph">
    <w:name w:val="Нормальный"/>
    <w:link w:val="Style_771_ch"/>
    <w:pPr>
      <w:ind/>
      <w:jc w:val="center"/>
    </w:pPr>
    <w:rPr>
      <w:sz w:val="24"/>
    </w:rPr>
  </w:style>
  <w:style w:styleId="Style_771_ch" w:type="character">
    <w:name w:val="Нормальный"/>
    <w:link w:val="Style_771"/>
    <w:rPr>
      <w:sz w:val="24"/>
    </w:rPr>
  </w:style>
  <w:style w:styleId="Style_772" w:type="paragraph">
    <w:name w:val="WW8Num21z3"/>
    <w:link w:val="Style_772_ch"/>
    <w:rPr>
      <w:rFonts w:ascii="Symbol" w:hAnsi="Symbol"/>
    </w:rPr>
  </w:style>
  <w:style w:styleId="Style_772_ch" w:type="character">
    <w:name w:val="WW8Num21z3"/>
    <w:link w:val="Style_772"/>
    <w:rPr>
      <w:rFonts w:ascii="Symbol" w:hAnsi="Symbol"/>
    </w:rPr>
  </w:style>
  <w:style w:styleId="Style_773" w:type="paragraph">
    <w:name w:val="Font Style183"/>
    <w:link w:val="Style_773_ch"/>
    <w:rPr>
      <w:rFonts w:ascii="Sylfaen" w:hAnsi="Sylfaen"/>
      <w:b w:val="1"/>
      <w:i w:val="1"/>
      <w:sz w:val="12"/>
    </w:rPr>
  </w:style>
  <w:style w:styleId="Style_773_ch" w:type="character">
    <w:name w:val="Font Style183"/>
    <w:link w:val="Style_773"/>
    <w:rPr>
      <w:rFonts w:ascii="Sylfaen" w:hAnsi="Sylfaen"/>
      <w:b w:val="1"/>
      <w:i w:val="1"/>
      <w:sz w:val="12"/>
    </w:rPr>
  </w:style>
  <w:style w:styleId="Style_774" w:type="paragraph">
    <w:name w:val="xl41"/>
    <w:basedOn w:val="Style_10"/>
    <w:link w:val="Style_774_ch"/>
    <w:pPr>
      <w:spacing w:after="280" w:before="280" w:line="360" w:lineRule="atLeast"/>
      <w:ind w:firstLine="709" w:left="0"/>
      <w:jc w:val="both"/>
    </w:pPr>
    <w:rPr>
      <w:b w:val="1"/>
      <w:sz w:val="24"/>
    </w:rPr>
  </w:style>
  <w:style w:styleId="Style_774_ch" w:type="character">
    <w:name w:val="xl41"/>
    <w:basedOn w:val="Style_10_ch"/>
    <w:link w:val="Style_774"/>
    <w:rPr>
      <w:b w:val="1"/>
      <w:sz w:val="24"/>
    </w:rPr>
  </w:style>
  <w:style w:styleId="Style_775" w:type="paragraph">
    <w:name w:val="WW8Num46z3"/>
    <w:link w:val="Style_775_ch"/>
    <w:rPr>
      <w:rFonts w:ascii="Symbol" w:hAnsi="Symbol"/>
    </w:rPr>
  </w:style>
  <w:style w:styleId="Style_775_ch" w:type="character">
    <w:name w:val="WW8Num46z3"/>
    <w:link w:val="Style_775"/>
    <w:rPr>
      <w:rFonts w:ascii="Symbol" w:hAnsi="Symbol"/>
    </w:rPr>
  </w:style>
  <w:style w:styleId="Style_776" w:type="paragraph">
    <w:name w:val="Hyperlink"/>
    <w:link w:val="Style_776_ch"/>
    <w:rPr>
      <w:color w:val="0000FF"/>
      <w:u w:val="single"/>
    </w:rPr>
  </w:style>
  <w:style w:styleId="Style_776_ch" w:type="character">
    <w:name w:val="Hyperlink"/>
    <w:link w:val="Style_776"/>
    <w:rPr>
      <w:color w:val="0000FF"/>
      <w:u w:val="single"/>
    </w:rPr>
  </w:style>
  <w:style w:styleId="Style_777" w:type="paragraph">
    <w:name w:val="Footnote"/>
    <w:basedOn w:val="Style_10"/>
    <w:link w:val="Style_777_ch"/>
    <w:pPr>
      <w:widowControl w:val="0"/>
      <w:spacing w:after="0" w:line="240" w:lineRule="auto"/>
      <w:ind/>
    </w:pPr>
    <w:rPr>
      <w:sz w:val="24"/>
    </w:rPr>
  </w:style>
  <w:style w:styleId="Style_777_ch" w:type="character">
    <w:name w:val="Footnote"/>
    <w:basedOn w:val="Style_10_ch"/>
    <w:link w:val="Style_777"/>
    <w:rPr>
      <w:sz w:val="24"/>
    </w:rPr>
  </w:style>
  <w:style w:styleId="Style_778" w:type="paragraph">
    <w:name w:val="Style82"/>
    <w:basedOn w:val="Style_10"/>
    <w:link w:val="Style_778_ch"/>
    <w:pPr>
      <w:widowControl w:val="0"/>
      <w:spacing w:after="0" w:line="317" w:lineRule="exact"/>
      <w:ind w:firstLine="571" w:left="0"/>
      <w:jc w:val="both"/>
    </w:pPr>
    <w:rPr>
      <w:sz w:val="24"/>
    </w:rPr>
  </w:style>
  <w:style w:styleId="Style_778_ch" w:type="character">
    <w:name w:val="Style82"/>
    <w:basedOn w:val="Style_10_ch"/>
    <w:link w:val="Style_778"/>
    <w:rPr>
      <w:sz w:val="24"/>
    </w:rPr>
  </w:style>
  <w:style w:styleId="Style_779" w:type="paragraph">
    <w:name w:val="Font Style154"/>
    <w:link w:val="Style_779_ch"/>
    <w:rPr>
      <w:sz w:val="24"/>
    </w:rPr>
  </w:style>
  <w:style w:styleId="Style_779_ch" w:type="character">
    <w:name w:val="Font Style154"/>
    <w:link w:val="Style_779"/>
    <w:rPr>
      <w:sz w:val="24"/>
    </w:rPr>
  </w:style>
  <w:style w:styleId="Style_780" w:type="paragraph">
    <w:name w:val="heading 8"/>
    <w:basedOn w:val="Style_10"/>
    <w:next w:val="Style_10"/>
    <w:link w:val="Style_780_ch"/>
    <w:uiPriority w:val="9"/>
    <w:qFormat/>
    <w:pPr>
      <w:tabs>
        <w:tab w:leader="none" w:pos="0" w:val="left"/>
      </w:tabs>
      <w:spacing w:after="60" w:before="240" w:line="240" w:lineRule="auto"/>
      <w:ind/>
      <w:outlineLvl w:val="7"/>
    </w:pPr>
    <w:rPr>
      <w:i w:val="1"/>
      <w:sz w:val="24"/>
    </w:rPr>
  </w:style>
  <w:style w:styleId="Style_780_ch" w:type="character">
    <w:name w:val="heading 8"/>
    <w:basedOn w:val="Style_10_ch"/>
    <w:link w:val="Style_780"/>
    <w:rPr>
      <w:i w:val="1"/>
      <w:sz w:val="24"/>
    </w:rPr>
  </w:style>
  <w:style w:styleId="Style_781" w:type="paragraph">
    <w:name w:val="Font Style84"/>
    <w:link w:val="Style_781_ch"/>
    <w:rPr>
      <w:sz w:val="18"/>
    </w:rPr>
  </w:style>
  <w:style w:styleId="Style_781_ch" w:type="character">
    <w:name w:val="Font Style84"/>
    <w:link w:val="Style_781"/>
    <w:rPr>
      <w:sz w:val="18"/>
    </w:rPr>
  </w:style>
  <w:style w:styleId="Style_782" w:type="paragraph">
    <w:name w:val="xl88"/>
    <w:basedOn w:val="Style_10"/>
    <w:link w:val="Style_782_ch"/>
    <w:pPr>
      <w:spacing w:afterAutospacing="on" w:beforeAutospacing="on" w:line="240" w:lineRule="auto"/>
      <w:ind/>
    </w:pPr>
    <w:rPr>
      <w:sz w:val="24"/>
    </w:rPr>
  </w:style>
  <w:style w:styleId="Style_782_ch" w:type="character">
    <w:name w:val="xl88"/>
    <w:basedOn w:val="Style_10_ch"/>
    <w:link w:val="Style_782"/>
    <w:rPr>
      <w:sz w:val="24"/>
    </w:rPr>
  </w:style>
  <w:style w:styleId="Style_539" w:type="paragraph">
    <w:name w:val="?????????? ???????"/>
    <w:basedOn w:val="Style_10"/>
    <w:link w:val="Style_539_ch"/>
    <w:pPr>
      <w:widowControl w:val="0"/>
      <w:spacing w:after="0" w:line="240" w:lineRule="auto"/>
      <w:ind/>
    </w:pPr>
    <w:rPr>
      <w:sz w:val="24"/>
    </w:rPr>
  </w:style>
  <w:style w:styleId="Style_539_ch" w:type="character">
    <w:name w:val="?????????? ???????"/>
    <w:basedOn w:val="Style_10_ch"/>
    <w:link w:val="Style_539"/>
    <w:rPr>
      <w:sz w:val="24"/>
    </w:rPr>
  </w:style>
  <w:style w:styleId="Style_710" w:type="paragraph">
    <w:name w:val="index 1"/>
    <w:basedOn w:val="Style_10"/>
    <w:next w:val="Style_10"/>
    <w:link w:val="Style_710_ch"/>
    <w:pPr>
      <w:spacing w:after="0" w:line="240" w:lineRule="auto"/>
      <w:ind w:hanging="200" w:left="200"/>
    </w:pPr>
    <w:rPr>
      <w:sz w:val="20"/>
    </w:rPr>
  </w:style>
  <w:style w:styleId="Style_710_ch" w:type="character">
    <w:name w:val="index 1"/>
    <w:basedOn w:val="Style_10_ch"/>
    <w:link w:val="Style_710"/>
    <w:rPr>
      <w:sz w:val="20"/>
    </w:rPr>
  </w:style>
  <w:style w:styleId="Style_783" w:type="paragraph">
    <w:name w:val="xl64"/>
    <w:basedOn w:val="Style_10"/>
    <w:link w:val="Style_783_ch"/>
    <w:pPr>
      <w:spacing w:after="280" w:before="280" w:line="240" w:lineRule="auto"/>
      <w:ind/>
    </w:pPr>
    <w:rPr>
      <w:b w:val="1"/>
      <w:sz w:val="24"/>
    </w:rPr>
  </w:style>
  <w:style w:styleId="Style_783_ch" w:type="character">
    <w:name w:val="xl64"/>
    <w:basedOn w:val="Style_10_ch"/>
    <w:link w:val="Style_783"/>
    <w:rPr>
      <w:b w:val="1"/>
      <w:sz w:val="24"/>
    </w:rPr>
  </w:style>
  <w:style w:styleId="Style_784" w:type="paragraph">
    <w:name w:val="WW8Num23z2"/>
    <w:link w:val="Style_784_ch"/>
    <w:rPr>
      <w:rFonts w:ascii="Wingdings" w:hAnsi="Wingdings"/>
    </w:rPr>
  </w:style>
  <w:style w:styleId="Style_784_ch" w:type="character">
    <w:name w:val="WW8Num23z2"/>
    <w:link w:val="Style_784"/>
    <w:rPr>
      <w:rFonts w:ascii="Wingdings" w:hAnsi="Wingdings"/>
    </w:rPr>
  </w:style>
  <w:style w:styleId="Style_785" w:type="paragraph">
    <w:name w:val="Замещающий текст1"/>
    <w:link w:val="Style_785_ch"/>
    <w:rPr>
      <w:color w:val="808080"/>
    </w:rPr>
  </w:style>
  <w:style w:styleId="Style_785_ch" w:type="character">
    <w:name w:val="Замещающий текст1"/>
    <w:link w:val="Style_785"/>
    <w:rPr>
      <w:color w:val="808080"/>
    </w:rPr>
  </w:style>
  <w:style w:styleId="Style_786" w:type="paragraph">
    <w:name w:val="WW-Absatz-Standardschriftart"/>
    <w:link w:val="Style_786_ch"/>
  </w:style>
  <w:style w:styleId="Style_786_ch" w:type="character">
    <w:name w:val="WW-Absatz-Standardschriftart"/>
    <w:link w:val="Style_786"/>
  </w:style>
  <w:style w:styleId="Style_787" w:type="paragraph">
    <w:name w:val="font251"/>
    <w:link w:val="Style_787_ch"/>
    <w:rPr>
      <w:b w:val="1"/>
      <w:vertAlign w:val="superscript"/>
    </w:rPr>
  </w:style>
  <w:style w:styleId="Style_787_ch" w:type="character">
    <w:name w:val="font251"/>
    <w:link w:val="Style_787"/>
    <w:rPr>
      <w:b w:val="1"/>
      <w:vertAlign w:val="superscript"/>
    </w:rPr>
  </w:style>
  <w:style w:styleId="Style_788" w:type="paragraph">
    <w:name w:val="Выделение1"/>
    <w:link w:val="Style_788_ch"/>
    <w:rPr>
      <w:i w:val="1"/>
    </w:rPr>
  </w:style>
  <w:style w:styleId="Style_788_ch" w:type="character">
    <w:name w:val="Выделение1"/>
    <w:link w:val="Style_788"/>
    <w:rPr>
      <w:i w:val="1"/>
    </w:rPr>
  </w:style>
  <w:style w:styleId="Style_789" w:type="paragraph">
    <w:name w:val="Основной текст 35"/>
    <w:basedOn w:val="Style_10"/>
    <w:link w:val="Style_789_ch"/>
    <w:pPr>
      <w:spacing w:after="0" w:line="240" w:lineRule="auto"/>
      <w:ind/>
    </w:pPr>
    <w:rPr>
      <w:sz w:val="28"/>
    </w:rPr>
  </w:style>
  <w:style w:styleId="Style_789_ch" w:type="character">
    <w:name w:val="Основной текст 35"/>
    <w:basedOn w:val="Style_10_ch"/>
    <w:link w:val="Style_789"/>
    <w:rPr>
      <w:sz w:val="28"/>
    </w:rPr>
  </w:style>
  <w:style w:styleId="Style_790" w:type="paragraph">
    <w:name w:val="???????? ????? 31"/>
    <w:basedOn w:val="Style_10"/>
    <w:link w:val="Style_790_ch"/>
    <w:pPr>
      <w:widowControl w:val="0"/>
      <w:spacing w:after="120" w:line="240" w:lineRule="auto"/>
      <w:ind/>
    </w:pPr>
    <w:rPr>
      <w:sz w:val="16"/>
    </w:rPr>
  </w:style>
  <w:style w:styleId="Style_790_ch" w:type="character">
    <w:name w:val="???????? ????? 31"/>
    <w:basedOn w:val="Style_10_ch"/>
    <w:link w:val="Style_790"/>
    <w:rPr>
      <w:sz w:val="16"/>
    </w:rPr>
  </w:style>
  <w:style w:styleId="Style_791" w:type="paragraph">
    <w:name w:val="WW-Absatz-Standardschriftart1111111111111111111111111"/>
    <w:link w:val="Style_791_ch"/>
  </w:style>
  <w:style w:styleId="Style_791_ch" w:type="character">
    <w:name w:val="WW-Absatz-Standardschriftart1111111111111111111111111"/>
    <w:link w:val="Style_791"/>
  </w:style>
  <w:style w:styleId="Style_792" w:type="paragraph">
    <w:name w:val="Style27"/>
    <w:basedOn w:val="Style_10"/>
    <w:link w:val="Style_792_ch"/>
    <w:pPr>
      <w:widowControl w:val="0"/>
      <w:spacing w:after="0" w:line="240" w:lineRule="auto"/>
      <w:ind/>
    </w:pPr>
    <w:rPr>
      <w:sz w:val="24"/>
    </w:rPr>
  </w:style>
  <w:style w:styleId="Style_792_ch" w:type="character">
    <w:name w:val="Style27"/>
    <w:basedOn w:val="Style_10_ch"/>
    <w:link w:val="Style_792"/>
    <w:rPr>
      <w:sz w:val="24"/>
    </w:rPr>
  </w:style>
  <w:style w:styleId="Style_793" w:type="paragraph">
    <w:name w:val="toc 1"/>
    <w:basedOn w:val="Style_10"/>
    <w:next w:val="Style_10"/>
    <w:link w:val="Style_793_ch"/>
    <w:uiPriority w:val="39"/>
    <w:pPr>
      <w:widowControl w:val="0"/>
      <w:spacing w:after="100" w:line="240" w:lineRule="auto"/>
      <w:ind/>
    </w:pPr>
    <w:rPr>
      <w:sz w:val="24"/>
    </w:rPr>
  </w:style>
  <w:style w:styleId="Style_793_ch" w:type="character">
    <w:name w:val="toc 1"/>
    <w:basedOn w:val="Style_10_ch"/>
    <w:link w:val="Style_793"/>
    <w:rPr>
      <w:sz w:val="24"/>
    </w:rPr>
  </w:style>
  <w:style w:styleId="Style_794" w:type="paragraph">
    <w:name w:val="WW-Основной шрифт абзаца1"/>
    <w:link w:val="Style_794_ch"/>
  </w:style>
  <w:style w:styleId="Style_794_ch" w:type="character">
    <w:name w:val="WW-Основной шрифт абзаца1"/>
    <w:link w:val="Style_794"/>
  </w:style>
  <w:style w:styleId="Style_795" w:type="paragraph">
    <w:name w:val="Название книги1"/>
    <w:link w:val="Style_795_ch"/>
    <w:rPr>
      <w:rFonts w:ascii="Cambria" w:hAnsi="Cambria"/>
      <w:b w:val="1"/>
      <w:i w:val="1"/>
      <w:sz w:val="24"/>
    </w:rPr>
  </w:style>
  <w:style w:styleId="Style_795_ch" w:type="character">
    <w:name w:val="Название книги1"/>
    <w:link w:val="Style_795"/>
    <w:rPr>
      <w:rFonts w:ascii="Cambria" w:hAnsi="Cambria"/>
      <w:b w:val="1"/>
      <w:i w:val="1"/>
      <w:sz w:val="24"/>
    </w:rPr>
  </w:style>
  <w:style w:styleId="Style_796" w:type="paragraph">
    <w:name w:val="Style8"/>
    <w:basedOn w:val="Style_10"/>
    <w:link w:val="Style_796_ch"/>
    <w:pPr>
      <w:widowControl w:val="0"/>
      <w:spacing w:after="0" w:line="638" w:lineRule="exact"/>
      <w:ind/>
      <w:jc w:val="right"/>
    </w:pPr>
    <w:rPr>
      <w:sz w:val="24"/>
    </w:rPr>
  </w:style>
  <w:style w:styleId="Style_796_ch" w:type="character">
    <w:name w:val="Style8"/>
    <w:basedOn w:val="Style_10_ch"/>
    <w:link w:val="Style_796"/>
    <w:rPr>
      <w:sz w:val="24"/>
    </w:rPr>
  </w:style>
  <w:style w:styleId="Style_797" w:type="paragraph">
    <w:name w:val="WW-WW8Num30z0"/>
    <w:link w:val="Style_797_ch"/>
    <w:rPr>
      <w:rFonts w:ascii="Courier New" w:hAnsi="Courier New"/>
    </w:rPr>
  </w:style>
  <w:style w:styleId="Style_797_ch" w:type="character">
    <w:name w:val="WW-WW8Num30z0"/>
    <w:link w:val="Style_797"/>
    <w:rPr>
      <w:rFonts w:ascii="Courier New" w:hAnsi="Courier New"/>
    </w:rPr>
  </w:style>
  <w:style w:styleId="Style_798" w:type="paragraph">
    <w:name w:val="Font Style59"/>
    <w:link w:val="Style_798_ch"/>
    <w:rPr>
      <w:rFonts w:ascii="Trebuchet MS" w:hAnsi="Trebuchet MS"/>
      <w:smallCaps w:val="1"/>
      <w:sz w:val="18"/>
    </w:rPr>
  </w:style>
  <w:style w:styleId="Style_798_ch" w:type="character">
    <w:name w:val="Font Style59"/>
    <w:link w:val="Style_798"/>
    <w:rPr>
      <w:rFonts w:ascii="Trebuchet MS" w:hAnsi="Trebuchet MS"/>
      <w:smallCaps w:val="1"/>
      <w:sz w:val="18"/>
    </w:rPr>
  </w:style>
  <w:style w:styleId="Style_799" w:type="paragraph">
    <w:name w:val="xl174"/>
    <w:basedOn w:val="Style_10"/>
    <w:link w:val="Style_799_ch"/>
    <w:pPr>
      <w:spacing w:after="280" w:before="280" w:line="240" w:lineRule="auto"/>
      <w:ind/>
      <w:jc w:val="center"/>
    </w:pPr>
    <w:rPr>
      <w:sz w:val="24"/>
    </w:rPr>
  </w:style>
  <w:style w:styleId="Style_799_ch" w:type="character">
    <w:name w:val="xl174"/>
    <w:basedOn w:val="Style_10_ch"/>
    <w:link w:val="Style_799"/>
    <w:rPr>
      <w:sz w:val="24"/>
    </w:rPr>
  </w:style>
  <w:style w:styleId="Style_800" w:type="paragraph">
    <w:name w:val="Style30"/>
    <w:basedOn w:val="Style_10"/>
    <w:link w:val="Style_800_ch"/>
    <w:pPr>
      <w:widowControl w:val="0"/>
      <w:spacing w:after="0" w:line="274" w:lineRule="exact"/>
      <w:ind w:firstLine="96" w:left="0"/>
    </w:pPr>
    <w:rPr>
      <w:sz w:val="24"/>
    </w:rPr>
  </w:style>
  <w:style w:styleId="Style_800_ch" w:type="character">
    <w:name w:val="Style30"/>
    <w:basedOn w:val="Style_10_ch"/>
    <w:link w:val="Style_800"/>
    <w:rPr>
      <w:sz w:val="24"/>
    </w:rPr>
  </w:style>
  <w:style w:styleId="Style_801" w:type="paragraph">
    <w:name w:val="НАЗВАНИЕ КК"/>
    <w:basedOn w:val="Style_10"/>
    <w:link w:val="Style_801_ch"/>
    <w:pPr>
      <w:spacing w:after="0" w:line="360" w:lineRule="atLeast"/>
      <w:ind/>
      <w:jc w:val="center"/>
    </w:pPr>
    <w:rPr>
      <w:b w:val="1"/>
      <w:sz w:val="28"/>
    </w:rPr>
  </w:style>
  <w:style w:styleId="Style_801_ch" w:type="character">
    <w:name w:val="НАЗВАНИЕ КК"/>
    <w:basedOn w:val="Style_10_ch"/>
    <w:link w:val="Style_801"/>
    <w:rPr>
      <w:b w:val="1"/>
      <w:sz w:val="28"/>
    </w:rPr>
  </w:style>
  <w:style w:styleId="Style_802" w:type="paragraph">
    <w:name w:val="WW8Num43z0"/>
    <w:link w:val="Style_802_ch"/>
    <w:rPr>
      <w:rFonts w:ascii="Wingdings" w:hAnsi="Wingdings"/>
    </w:rPr>
  </w:style>
  <w:style w:styleId="Style_802_ch" w:type="character">
    <w:name w:val="WW8Num43z0"/>
    <w:link w:val="Style_802"/>
    <w:rPr>
      <w:rFonts w:ascii="Wingdings" w:hAnsi="Wingdings"/>
    </w:rPr>
  </w:style>
  <w:style w:styleId="Style_803" w:type="paragraph">
    <w:name w:val="xl132"/>
    <w:basedOn w:val="Style_10"/>
    <w:link w:val="Style_803_ch"/>
    <w:pPr>
      <w:spacing w:after="280" w:before="280" w:line="240" w:lineRule="auto"/>
      <w:ind/>
      <w:jc w:val="center"/>
    </w:pPr>
    <w:rPr>
      <w:sz w:val="24"/>
    </w:rPr>
  </w:style>
  <w:style w:styleId="Style_803_ch" w:type="character">
    <w:name w:val="xl132"/>
    <w:basedOn w:val="Style_10_ch"/>
    <w:link w:val="Style_803"/>
    <w:rPr>
      <w:sz w:val="24"/>
    </w:rPr>
  </w:style>
  <w:style w:styleId="Style_804" w:type="paragraph">
    <w:name w:val="Font Style161"/>
    <w:link w:val="Style_804_ch"/>
    <w:rPr>
      <w:b w:val="1"/>
      <w:sz w:val="24"/>
    </w:rPr>
  </w:style>
  <w:style w:styleId="Style_804_ch" w:type="character">
    <w:name w:val="Font Style161"/>
    <w:link w:val="Style_804"/>
    <w:rPr>
      <w:b w:val="1"/>
      <w:sz w:val="24"/>
    </w:rPr>
  </w:style>
  <w:style w:styleId="Style_805" w:type="paragraph">
    <w:name w:val="Font Style173"/>
    <w:link w:val="Style_805_ch"/>
    <w:rPr>
      <w:rFonts w:ascii="SimHei" w:hAnsi="SimHei"/>
      <w:b w:val="1"/>
      <w:spacing w:val="-20"/>
      <w:sz w:val="22"/>
    </w:rPr>
  </w:style>
  <w:style w:styleId="Style_805_ch" w:type="character">
    <w:name w:val="Font Style173"/>
    <w:link w:val="Style_805"/>
    <w:rPr>
      <w:rFonts w:ascii="SimHei" w:hAnsi="SimHei"/>
      <w:b w:val="1"/>
      <w:spacing w:val="-20"/>
      <w:sz w:val="22"/>
    </w:rPr>
  </w:style>
  <w:style w:styleId="Style_806" w:type="paragraph">
    <w:name w:val="Style5"/>
    <w:basedOn w:val="Style_10"/>
    <w:link w:val="Style_806_ch"/>
    <w:pPr>
      <w:widowControl w:val="0"/>
      <w:spacing w:after="0" w:line="461" w:lineRule="exact"/>
      <w:ind/>
      <w:jc w:val="center"/>
    </w:pPr>
    <w:rPr>
      <w:sz w:val="24"/>
    </w:rPr>
  </w:style>
  <w:style w:styleId="Style_806_ch" w:type="character">
    <w:name w:val="Style5"/>
    <w:basedOn w:val="Style_10_ch"/>
    <w:link w:val="Style_806"/>
    <w:rPr>
      <w:sz w:val="24"/>
    </w:rPr>
  </w:style>
  <w:style w:styleId="Style_807" w:type="paragraph">
    <w:name w:val="Подзаголовок Знак"/>
    <w:link w:val="Style_807_ch"/>
    <w:rPr>
      <w:rFonts w:ascii="Arial" w:hAnsi="Arial"/>
      <w:i w:val="1"/>
      <w:sz w:val="28"/>
    </w:rPr>
  </w:style>
  <w:style w:styleId="Style_807_ch" w:type="character">
    <w:name w:val="Подзаголовок Знак"/>
    <w:link w:val="Style_807"/>
    <w:rPr>
      <w:rFonts w:ascii="Arial" w:hAnsi="Arial"/>
      <w:i w:val="1"/>
      <w:sz w:val="28"/>
    </w:rPr>
  </w:style>
  <w:style w:styleId="Style_808" w:type="paragraph">
    <w:name w:val="WW-Absatz-Standardschriftart11111111111111"/>
    <w:link w:val="Style_808_ch"/>
  </w:style>
  <w:style w:styleId="Style_808_ch" w:type="character">
    <w:name w:val="WW-Absatz-Standardschriftart11111111111111"/>
    <w:link w:val="Style_808"/>
  </w:style>
  <w:style w:styleId="Style_809" w:type="paragraph">
    <w:name w:val="font20"/>
    <w:basedOn w:val="Style_10"/>
    <w:link w:val="Style_809_ch"/>
    <w:pPr>
      <w:spacing w:afterAutospacing="on" w:beforeAutospacing="on" w:line="240" w:lineRule="auto"/>
      <w:ind/>
    </w:pPr>
    <w:rPr>
      <w:sz w:val="16"/>
    </w:rPr>
  </w:style>
  <w:style w:styleId="Style_809_ch" w:type="character">
    <w:name w:val="font20"/>
    <w:basedOn w:val="Style_10_ch"/>
    <w:link w:val="Style_809"/>
    <w:rPr>
      <w:sz w:val="16"/>
    </w:rPr>
  </w:style>
  <w:style w:styleId="Style_810" w:type="paragraph">
    <w:name w:val="WW8Num36z0"/>
    <w:link w:val="Style_810_ch"/>
    <w:rPr>
      <w:rFonts w:ascii="Symbol" w:hAnsi="Symbol"/>
    </w:rPr>
  </w:style>
  <w:style w:styleId="Style_810_ch" w:type="character">
    <w:name w:val="WW8Num36z0"/>
    <w:link w:val="Style_810"/>
    <w:rPr>
      <w:rFonts w:ascii="Symbol" w:hAnsi="Symbol"/>
    </w:rPr>
  </w:style>
  <w:style w:styleId="Style_811" w:type="paragraph">
    <w:name w:val="Block Text"/>
    <w:basedOn w:val="Style_10"/>
    <w:link w:val="Style_811_ch"/>
    <w:pPr>
      <w:spacing w:after="0" w:before="5" w:line="480" w:lineRule="auto"/>
      <w:ind w:firstLine="0" w:left="426" w:right="14"/>
      <w:jc w:val="both"/>
    </w:pPr>
    <w:rPr>
      <w:rFonts w:ascii="CG Times" w:hAnsi="CG Times"/>
      <w:sz w:val="24"/>
    </w:rPr>
  </w:style>
  <w:style w:styleId="Style_811_ch" w:type="character">
    <w:name w:val="Block Text"/>
    <w:basedOn w:val="Style_10_ch"/>
    <w:link w:val="Style_811"/>
    <w:rPr>
      <w:rFonts w:ascii="CG Times" w:hAnsi="CG Times"/>
      <w:sz w:val="24"/>
    </w:rPr>
  </w:style>
  <w:style w:styleId="Style_812" w:type="paragraph">
    <w:name w:val="Нумерованный_список_IG"/>
    <w:basedOn w:val="Style_10"/>
    <w:link w:val="Style_812_ch"/>
    <w:pPr>
      <w:tabs>
        <w:tab w:leader="none" w:pos="1134" w:val="left"/>
      </w:tabs>
      <w:spacing w:after="0" w:line="360" w:lineRule="auto"/>
      <w:ind w:firstLine="720" w:left="-152"/>
      <w:jc w:val="both"/>
    </w:pPr>
    <w:rPr>
      <w:sz w:val="28"/>
    </w:rPr>
  </w:style>
  <w:style w:styleId="Style_812_ch" w:type="character">
    <w:name w:val="Нумерованный_список_IG"/>
    <w:basedOn w:val="Style_10_ch"/>
    <w:link w:val="Style_812"/>
    <w:rPr>
      <w:sz w:val="28"/>
    </w:rPr>
  </w:style>
  <w:style w:styleId="Style_813" w:type="paragraph">
    <w:name w:val="S_Обычный в таблице"/>
    <w:basedOn w:val="Style_10"/>
    <w:link w:val="Style_813_ch"/>
    <w:pPr>
      <w:spacing w:after="0" w:line="360" w:lineRule="auto"/>
      <w:ind/>
      <w:jc w:val="center"/>
    </w:pPr>
    <w:rPr>
      <w:sz w:val="24"/>
    </w:rPr>
  </w:style>
  <w:style w:styleId="Style_813_ch" w:type="character">
    <w:name w:val="S_Обычный в таблице"/>
    <w:basedOn w:val="Style_10_ch"/>
    <w:link w:val="Style_813"/>
    <w:rPr>
      <w:sz w:val="24"/>
    </w:rPr>
  </w:style>
  <w:style w:styleId="Style_814" w:type="paragraph">
    <w:name w:val="coordinates1"/>
    <w:link w:val="Style_814_ch"/>
  </w:style>
  <w:style w:styleId="Style_814_ch" w:type="character">
    <w:name w:val="coordinates1"/>
    <w:link w:val="Style_814"/>
  </w:style>
  <w:style w:styleId="Style_815" w:type="paragraph">
    <w:name w:val="íàçâàíèå"/>
    <w:basedOn w:val="Style_10"/>
    <w:link w:val="Style_815_ch"/>
    <w:pPr>
      <w:widowControl w:val="0"/>
      <w:spacing w:after="0" w:line="360" w:lineRule="atLeast"/>
      <w:ind/>
    </w:pPr>
    <w:rPr>
      <w:sz w:val="24"/>
    </w:rPr>
  </w:style>
  <w:style w:styleId="Style_815_ch" w:type="character">
    <w:name w:val="íàçâàíèå"/>
    <w:basedOn w:val="Style_10_ch"/>
    <w:link w:val="Style_815"/>
    <w:rPr>
      <w:sz w:val="24"/>
    </w:rPr>
  </w:style>
  <w:style w:styleId="Style_816" w:type="paragraph">
    <w:name w:val="WW-???????? ????? 3"/>
    <w:basedOn w:val="Style_10"/>
    <w:link w:val="Style_816_ch"/>
    <w:pPr>
      <w:widowControl w:val="0"/>
      <w:spacing w:after="120" w:line="240" w:lineRule="auto"/>
      <w:ind/>
    </w:pPr>
    <w:rPr>
      <w:sz w:val="16"/>
    </w:rPr>
  </w:style>
  <w:style w:styleId="Style_816_ch" w:type="character">
    <w:name w:val="WW-???????? ????? 3"/>
    <w:basedOn w:val="Style_10_ch"/>
    <w:link w:val="Style_816"/>
    <w:rPr>
      <w:sz w:val="16"/>
    </w:rPr>
  </w:style>
  <w:style w:styleId="Style_817" w:type="paragraph">
    <w:name w:val="Header and Footer"/>
    <w:link w:val="Style_817_ch"/>
    <w:pPr>
      <w:ind/>
      <w:jc w:val="both"/>
    </w:pPr>
    <w:rPr>
      <w:rFonts w:ascii="XO Thames" w:hAnsi="XO Thames"/>
    </w:rPr>
  </w:style>
  <w:style w:styleId="Style_817_ch" w:type="character">
    <w:name w:val="Header and Footer"/>
    <w:link w:val="Style_817"/>
    <w:rPr>
      <w:rFonts w:ascii="XO Thames" w:hAnsi="XO Thames"/>
    </w:rPr>
  </w:style>
  <w:style w:styleId="Style_818" w:type="paragraph">
    <w:name w:val="Font Style165"/>
    <w:link w:val="Style_818_ch"/>
    <w:rPr>
      <w:b w:val="1"/>
      <w:i w:val="1"/>
      <w:sz w:val="8"/>
    </w:rPr>
  </w:style>
  <w:style w:styleId="Style_818_ch" w:type="character">
    <w:name w:val="Font Style165"/>
    <w:link w:val="Style_818"/>
    <w:rPr>
      <w:b w:val="1"/>
      <w:i w:val="1"/>
      <w:sz w:val="8"/>
    </w:rPr>
  </w:style>
  <w:style w:styleId="Style_819" w:type="paragraph">
    <w:name w:val="font12"/>
    <w:basedOn w:val="Style_10"/>
    <w:link w:val="Style_819_ch"/>
    <w:pPr>
      <w:spacing w:afterAutospacing="on" w:beforeAutospacing="on" w:line="240" w:lineRule="auto"/>
      <w:ind/>
    </w:pPr>
    <w:rPr>
      <w:b w:val="1"/>
      <w:sz w:val="14"/>
    </w:rPr>
  </w:style>
  <w:style w:styleId="Style_819_ch" w:type="character">
    <w:name w:val="font12"/>
    <w:basedOn w:val="Style_10_ch"/>
    <w:link w:val="Style_819"/>
    <w:rPr>
      <w:b w:val="1"/>
      <w:sz w:val="14"/>
    </w:rPr>
  </w:style>
  <w:style w:styleId="Style_820" w:type="paragraph">
    <w:name w:val="Style51"/>
    <w:basedOn w:val="Style_10"/>
    <w:link w:val="Style_820_ch"/>
    <w:pPr>
      <w:widowControl w:val="0"/>
      <w:spacing w:after="0" w:line="120" w:lineRule="exact"/>
      <w:ind/>
      <w:jc w:val="both"/>
    </w:pPr>
    <w:rPr>
      <w:sz w:val="24"/>
    </w:rPr>
  </w:style>
  <w:style w:styleId="Style_820_ch" w:type="character">
    <w:name w:val="Style51"/>
    <w:basedOn w:val="Style_10_ch"/>
    <w:link w:val="Style_820"/>
    <w:rPr>
      <w:sz w:val="24"/>
    </w:rPr>
  </w:style>
  <w:style w:styleId="Style_821" w:type="paragraph">
    <w:name w:val="WW-Absatz-Standardschriftart1111111111"/>
    <w:link w:val="Style_821_ch"/>
  </w:style>
  <w:style w:styleId="Style_821_ch" w:type="character">
    <w:name w:val="WW-Absatz-Standardschriftart1111111111"/>
    <w:link w:val="Style_821"/>
  </w:style>
  <w:style w:styleId="Style_822" w:type="paragraph">
    <w:name w:val="Style78"/>
    <w:basedOn w:val="Style_10"/>
    <w:link w:val="Style_822_ch"/>
    <w:pPr>
      <w:widowControl w:val="0"/>
      <w:spacing w:after="0" w:line="317" w:lineRule="exact"/>
      <w:ind/>
    </w:pPr>
    <w:rPr>
      <w:sz w:val="24"/>
    </w:rPr>
  </w:style>
  <w:style w:styleId="Style_822_ch" w:type="character">
    <w:name w:val="Style78"/>
    <w:basedOn w:val="Style_10_ch"/>
    <w:link w:val="Style_822"/>
    <w:rPr>
      <w:sz w:val="24"/>
    </w:rPr>
  </w:style>
  <w:style w:styleId="Style_823" w:type="paragraph">
    <w:name w:val="WW8Num62z3"/>
    <w:link w:val="Style_823_ch"/>
    <w:rPr>
      <w:rFonts w:ascii="Symbol" w:hAnsi="Symbol"/>
    </w:rPr>
  </w:style>
  <w:style w:styleId="Style_823_ch" w:type="character">
    <w:name w:val="WW8Num62z3"/>
    <w:link w:val="Style_823"/>
    <w:rPr>
      <w:rFonts w:ascii="Symbol" w:hAnsi="Symbol"/>
    </w:rPr>
  </w:style>
  <w:style w:styleId="Style_824" w:type="paragraph">
    <w:name w:val="Style97"/>
    <w:basedOn w:val="Style_10"/>
    <w:link w:val="Style_824_ch"/>
    <w:pPr>
      <w:widowControl w:val="0"/>
      <w:spacing w:after="0" w:line="240" w:lineRule="auto"/>
      <w:ind/>
    </w:pPr>
    <w:rPr>
      <w:sz w:val="24"/>
    </w:rPr>
  </w:style>
  <w:style w:styleId="Style_824_ch" w:type="character">
    <w:name w:val="Style97"/>
    <w:basedOn w:val="Style_10_ch"/>
    <w:link w:val="Style_824"/>
    <w:rPr>
      <w:sz w:val="24"/>
    </w:rPr>
  </w:style>
  <w:style w:styleId="Style_825" w:type="paragraph">
    <w:name w:val="WW8Num12z1"/>
    <w:link w:val="Style_825_ch"/>
    <w:rPr>
      <w:rFonts w:ascii="Courier New" w:hAnsi="Courier New"/>
    </w:rPr>
  </w:style>
  <w:style w:styleId="Style_825_ch" w:type="character">
    <w:name w:val="WW8Num12z1"/>
    <w:link w:val="Style_825"/>
    <w:rPr>
      <w:rFonts w:ascii="Courier New" w:hAnsi="Courier New"/>
    </w:rPr>
  </w:style>
  <w:style w:styleId="Style_826" w:type="paragraph">
    <w:name w:val="xl109"/>
    <w:basedOn w:val="Style_10"/>
    <w:link w:val="Style_826_ch"/>
    <w:pPr>
      <w:spacing w:afterAutospacing="on" w:beforeAutospacing="on" w:line="240" w:lineRule="auto"/>
      <w:ind/>
    </w:pPr>
    <w:rPr>
      <w:sz w:val="24"/>
    </w:rPr>
  </w:style>
  <w:style w:styleId="Style_826_ch" w:type="character">
    <w:name w:val="xl109"/>
    <w:basedOn w:val="Style_10_ch"/>
    <w:link w:val="Style_826"/>
    <w:rPr>
      <w:sz w:val="24"/>
    </w:rPr>
  </w:style>
  <w:style w:styleId="Style_827" w:type="paragraph">
    <w:name w:val="WW8Num45z2"/>
    <w:link w:val="Style_827_ch"/>
    <w:rPr>
      <w:rFonts w:ascii="Wingdings" w:hAnsi="Wingdings"/>
    </w:rPr>
  </w:style>
  <w:style w:styleId="Style_827_ch" w:type="character">
    <w:name w:val="WW8Num45z2"/>
    <w:link w:val="Style_827"/>
    <w:rPr>
      <w:rFonts w:ascii="Wingdings" w:hAnsi="Wingdings"/>
    </w:rPr>
  </w:style>
  <w:style w:styleId="Style_828" w:type="paragraph">
    <w:name w:val="WW8Num25z4"/>
    <w:link w:val="Style_828_ch"/>
    <w:rPr>
      <w:rFonts w:ascii="Courier New" w:hAnsi="Courier New"/>
    </w:rPr>
  </w:style>
  <w:style w:styleId="Style_828_ch" w:type="character">
    <w:name w:val="WW8Num25z4"/>
    <w:link w:val="Style_828"/>
    <w:rPr>
      <w:rFonts w:ascii="Courier New" w:hAnsi="Courier New"/>
    </w:rPr>
  </w:style>
  <w:style w:styleId="Style_829" w:type="paragraph">
    <w:name w:val="WW8Num24z0"/>
    <w:link w:val="Style_829_ch"/>
    <w:rPr>
      <w:rFonts w:ascii="Symbol" w:hAnsi="Symbol"/>
    </w:rPr>
  </w:style>
  <w:style w:styleId="Style_829_ch" w:type="character">
    <w:name w:val="WW8Num24z0"/>
    <w:link w:val="Style_829"/>
    <w:rPr>
      <w:rFonts w:ascii="Symbol" w:hAnsi="Symbol"/>
    </w:rPr>
  </w:style>
  <w:style w:styleId="Style_830" w:type="paragraph">
    <w:name w:val="Font Style152"/>
    <w:link w:val="Style_830_ch"/>
    <w:rPr>
      <w:rFonts w:ascii="Candara" w:hAnsi="Candara"/>
      <w:b w:val="1"/>
      <w:sz w:val="10"/>
    </w:rPr>
  </w:style>
  <w:style w:styleId="Style_830_ch" w:type="character">
    <w:name w:val="Font Style152"/>
    <w:link w:val="Style_830"/>
    <w:rPr>
      <w:rFonts w:ascii="Candara" w:hAnsi="Candara"/>
      <w:b w:val="1"/>
      <w:sz w:val="10"/>
    </w:rPr>
  </w:style>
  <w:style w:styleId="Style_831" w:type="paragraph">
    <w:name w:val="WW-WW8Num10z0"/>
    <w:link w:val="Style_831_ch"/>
    <w:rPr>
      <w:rFonts w:ascii="Courier New" w:hAnsi="Courier New"/>
    </w:rPr>
  </w:style>
  <w:style w:styleId="Style_831_ch" w:type="character">
    <w:name w:val="WW-WW8Num10z0"/>
    <w:link w:val="Style_831"/>
    <w:rPr>
      <w:rFonts w:ascii="Courier New" w:hAnsi="Courier New"/>
    </w:rPr>
  </w:style>
  <w:style w:styleId="Style_832" w:type="paragraph">
    <w:name w:val="Новый абзац"/>
    <w:basedOn w:val="Style_10"/>
    <w:link w:val="Style_832_ch"/>
    <w:pPr>
      <w:spacing w:after="120" w:line="240" w:lineRule="auto"/>
      <w:ind w:firstLine="567" w:left="0"/>
      <w:jc w:val="both"/>
    </w:pPr>
    <w:rPr>
      <w:rFonts w:ascii="Arial" w:hAnsi="Arial"/>
      <w:sz w:val="24"/>
    </w:rPr>
  </w:style>
  <w:style w:styleId="Style_832_ch" w:type="character">
    <w:name w:val="Новый абзац"/>
    <w:basedOn w:val="Style_10_ch"/>
    <w:link w:val="Style_832"/>
    <w:rPr>
      <w:rFonts w:ascii="Arial" w:hAnsi="Arial"/>
      <w:sz w:val="24"/>
    </w:rPr>
  </w:style>
  <w:style w:styleId="Style_833" w:type="paragraph">
    <w:name w:val="УГТП-Обозначение"/>
    <w:basedOn w:val="Style_10"/>
    <w:link w:val="Style_833_ch"/>
    <w:pPr>
      <w:spacing w:after="0" w:line="240" w:lineRule="auto"/>
      <w:ind/>
    </w:pPr>
    <w:rPr>
      <w:rFonts w:ascii="Arial" w:hAnsi="Arial"/>
      <w:sz w:val="20"/>
    </w:rPr>
  </w:style>
  <w:style w:styleId="Style_833_ch" w:type="character">
    <w:name w:val="УГТП-Обозначение"/>
    <w:basedOn w:val="Style_10_ch"/>
    <w:link w:val="Style_833"/>
    <w:rPr>
      <w:rFonts w:ascii="Arial" w:hAnsi="Arial"/>
      <w:sz w:val="20"/>
    </w:rPr>
  </w:style>
  <w:style w:styleId="Style_834" w:type="paragraph">
    <w:name w:val="Font Style167"/>
    <w:link w:val="Style_834_ch"/>
    <w:rPr>
      <w:rFonts w:ascii="Arial" w:hAnsi="Arial"/>
      <w:b w:val="1"/>
    </w:rPr>
  </w:style>
  <w:style w:styleId="Style_834_ch" w:type="character">
    <w:name w:val="Font Style167"/>
    <w:link w:val="Style_834"/>
    <w:rPr>
      <w:rFonts w:ascii="Arial" w:hAnsi="Arial"/>
      <w:b w:val="1"/>
    </w:rPr>
  </w:style>
  <w:style w:styleId="Style_835" w:type="paragraph">
    <w:name w:val="WW8Num42z1"/>
    <w:link w:val="Style_835_ch"/>
    <w:rPr>
      <w:rFonts w:ascii="Courier New" w:hAnsi="Courier New"/>
    </w:rPr>
  </w:style>
  <w:style w:styleId="Style_835_ch" w:type="character">
    <w:name w:val="WW8Num42z1"/>
    <w:link w:val="Style_835"/>
    <w:rPr>
      <w:rFonts w:ascii="Courier New" w:hAnsi="Courier New"/>
    </w:rPr>
  </w:style>
  <w:style w:styleId="Style_836" w:type="paragraph">
    <w:name w:val="xl104"/>
    <w:basedOn w:val="Style_10"/>
    <w:link w:val="Style_836_ch"/>
    <w:pPr>
      <w:spacing w:afterAutospacing="on" w:beforeAutospacing="on" w:line="240" w:lineRule="auto"/>
      <w:ind/>
      <w:jc w:val="center"/>
    </w:pPr>
    <w:rPr>
      <w:sz w:val="24"/>
    </w:rPr>
  </w:style>
  <w:style w:styleId="Style_836_ch" w:type="character">
    <w:name w:val="xl104"/>
    <w:basedOn w:val="Style_10_ch"/>
    <w:link w:val="Style_836"/>
    <w:rPr>
      <w:sz w:val="24"/>
    </w:rPr>
  </w:style>
  <w:style w:styleId="Style_837" w:type="paragraph">
    <w:name w:val="WW8Num32z2"/>
    <w:link w:val="Style_837_ch"/>
    <w:rPr>
      <w:rFonts w:ascii="Wingdings" w:hAnsi="Wingdings"/>
    </w:rPr>
  </w:style>
  <w:style w:styleId="Style_837_ch" w:type="character">
    <w:name w:val="WW8Num32z2"/>
    <w:link w:val="Style_837"/>
    <w:rPr>
      <w:rFonts w:ascii="Wingdings" w:hAnsi="Wingdings"/>
    </w:rPr>
  </w:style>
  <w:style w:styleId="Style_838" w:type="paragraph">
    <w:name w:val="Style99"/>
    <w:basedOn w:val="Style_10"/>
    <w:link w:val="Style_838_ch"/>
    <w:pPr>
      <w:widowControl w:val="0"/>
      <w:spacing w:after="0" w:line="240" w:lineRule="auto"/>
      <w:ind/>
    </w:pPr>
    <w:rPr>
      <w:sz w:val="24"/>
    </w:rPr>
  </w:style>
  <w:style w:styleId="Style_838_ch" w:type="character">
    <w:name w:val="Style99"/>
    <w:basedOn w:val="Style_10_ch"/>
    <w:link w:val="Style_838"/>
    <w:rPr>
      <w:sz w:val="24"/>
    </w:rPr>
  </w:style>
  <w:style w:styleId="Style_839" w:type="paragraph">
    <w:name w:val="WW8NumSt12z0"/>
    <w:link w:val="Style_839_ch"/>
    <w:rPr>
      <w:rFonts w:ascii="Courier New" w:hAnsi="Courier New"/>
    </w:rPr>
  </w:style>
  <w:style w:styleId="Style_839_ch" w:type="character">
    <w:name w:val="WW8NumSt12z0"/>
    <w:link w:val="Style_839"/>
    <w:rPr>
      <w:rFonts w:ascii="Courier New" w:hAnsi="Courier New"/>
    </w:rPr>
  </w:style>
  <w:style w:styleId="Style_840" w:type="paragraph">
    <w:name w:val="Содержимое врезки"/>
    <w:basedOn w:val="Style_74"/>
    <w:link w:val="Style_840_ch"/>
  </w:style>
  <w:style w:styleId="Style_840_ch" w:type="character">
    <w:name w:val="Содержимое врезки"/>
    <w:basedOn w:val="Style_74_ch"/>
    <w:link w:val="Style_840"/>
  </w:style>
  <w:style w:styleId="Style_841" w:type="paragraph">
    <w:name w:val="WW8Num34z0"/>
    <w:link w:val="Style_841_ch"/>
    <w:rPr>
      <w:rFonts w:ascii="Symbol" w:hAnsi="Symbol"/>
    </w:rPr>
  </w:style>
  <w:style w:styleId="Style_841_ch" w:type="character">
    <w:name w:val="WW8Num34z0"/>
    <w:link w:val="Style_841"/>
    <w:rPr>
      <w:rFonts w:ascii="Symbol" w:hAnsi="Symbol"/>
    </w:rPr>
  </w:style>
  <w:style w:styleId="Style_842" w:type="paragraph">
    <w:name w:val="Обычный отступ1"/>
    <w:basedOn w:val="Style_10"/>
    <w:link w:val="Style_842_ch"/>
    <w:pPr>
      <w:spacing w:after="0" w:line="240" w:lineRule="auto"/>
      <w:ind w:firstLine="0" w:left="708"/>
    </w:pPr>
    <w:rPr>
      <w:sz w:val="20"/>
    </w:rPr>
  </w:style>
  <w:style w:styleId="Style_842_ch" w:type="character">
    <w:name w:val="Обычный отступ1"/>
    <w:basedOn w:val="Style_10_ch"/>
    <w:link w:val="Style_842"/>
    <w:rPr>
      <w:sz w:val="20"/>
    </w:rPr>
  </w:style>
  <w:style w:styleId="Style_843" w:type="paragraph">
    <w:name w:val="Под формулой"/>
    <w:basedOn w:val="Style_771"/>
    <w:link w:val="Style_843_ch"/>
    <w:pPr>
      <w:ind w:firstLine="0" w:left="567"/>
      <w:jc w:val="left"/>
    </w:pPr>
    <w:rPr>
      <w:sz w:val="22"/>
    </w:rPr>
  </w:style>
  <w:style w:styleId="Style_843_ch" w:type="character">
    <w:name w:val="Под формулой"/>
    <w:basedOn w:val="Style_771_ch"/>
    <w:link w:val="Style_843"/>
    <w:rPr>
      <w:sz w:val="22"/>
    </w:rPr>
  </w:style>
  <w:style w:styleId="Style_844" w:type="paragraph">
    <w:name w:val="Body Text First Indent"/>
    <w:basedOn w:val="Style_74"/>
    <w:link w:val="Style_844_ch"/>
    <w:pPr>
      <w:ind w:firstLine="210" w:left="0"/>
    </w:pPr>
    <w:rPr>
      <w:rFonts w:ascii="Calibri" w:hAnsi="Calibri"/>
    </w:rPr>
  </w:style>
  <w:style w:styleId="Style_844_ch" w:type="character">
    <w:name w:val="Body Text First Indent"/>
    <w:basedOn w:val="Style_74_ch"/>
    <w:link w:val="Style_844"/>
    <w:rPr>
      <w:rFonts w:ascii="Calibri" w:hAnsi="Calibri"/>
    </w:rPr>
  </w:style>
  <w:style w:styleId="Style_845" w:type="paragraph">
    <w:name w:val="xl172"/>
    <w:basedOn w:val="Style_10"/>
    <w:link w:val="Style_845_ch"/>
    <w:pPr>
      <w:spacing w:after="280" w:before="280" w:line="240" w:lineRule="auto"/>
      <w:ind/>
      <w:jc w:val="center"/>
    </w:pPr>
    <w:rPr>
      <w:sz w:val="24"/>
    </w:rPr>
  </w:style>
  <w:style w:styleId="Style_845_ch" w:type="character">
    <w:name w:val="xl172"/>
    <w:basedOn w:val="Style_10_ch"/>
    <w:link w:val="Style_845"/>
    <w:rPr>
      <w:sz w:val="24"/>
    </w:rPr>
  </w:style>
  <w:style w:styleId="Style_846" w:type="paragraph">
    <w:name w:val="WW8Num10z1"/>
    <w:link w:val="Style_846_ch"/>
    <w:rPr>
      <w:rFonts w:ascii="Courier New" w:hAnsi="Courier New"/>
    </w:rPr>
  </w:style>
  <w:style w:styleId="Style_846_ch" w:type="character">
    <w:name w:val="WW8Num10z1"/>
    <w:link w:val="Style_846"/>
    <w:rPr>
      <w:rFonts w:ascii="Courier New" w:hAnsi="Courier New"/>
    </w:rPr>
  </w:style>
  <w:style w:styleId="Style_847" w:type="paragraph">
    <w:name w:val="Font Style164"/>
    <w:link w:val="Style_847_ch"/>
    <w:rPr>
      <w:b w:val="1"/>
      <w:sz w:val="8"/>
    </w:rPr>
  </w:style>
  <w:style w:styleId="Style_847_ch" w:type="character">
    <w:name w:val="Font Style164"/>
    <w:link w:val="Style_847"/>
    <w:rPr>
      <w:b w:val="1"/>
      <w:sz w:val="8"/>
    </w:rPr>
  </w:style>
  <w:style w:styleId="Style_848" w:type="paragraph">
    <w:name w:val="Список-1"/>
    <w:basedOn w:val="Style_10"/>
    <w:link w:val="Style_848_ch"/>
    <w:pPr>
      <w:tabs>
        <w:tab w:leader="none" w:pos="1069" w:val="left"/>
      </w:tabs>
      <w:spacing w:after="60" w:line="360" w:lineRule="atLeast"/>
      <w:ind w:firstLine="0" w:left="-4254"/>
      <w:jc w:val="both"/>
    </w:pPr>
    <w:rPr>
      <w:sz w:val="24"/>
    </w:rPr>
  </w:style>
  <w:style w:styleId="Style_848_ch" w:type="character">
    <w:name w:val="Список-1"/>
    <w:basedOn w:val="Style_10_ch"/>
    <w:link w:val="Style_848"/>
    <w:rPr>
      <w:sz w:val="24"/>
    </w:rPr>
  </w:style>
  <w:style w:styleId="Style_849" w:type="paragraph">
    <w:name w:val="WW-Текст выноски"/>
    <w:basedOn w:val="Style_10"/>
    <w:link w:val="Style_849_ch"/>
    <w:pPr>
      <w:spacing w:after="0" w:line="240" w:lineRule="auto"/>
      <w:ind/>
    </w:pPr>
    <w:rPr>
      <w:rFonts w:ascii="Tahoma" w:hAnsi="Tahoma"/>
      <w:sz w:val="16"/>
    </w:rPr>
  </w:style>
  <w:style w:styleId="Style_849_ch" w:type="character">
    <w:name w:val="WW-Текст выноски"/>
    <w:basedOn w:val="Style_10_ch"/>
    <w:link w:val="Style_849"/>
    <w:rPr>
      <w:rFonts w:ascii="Tahoma" w:hAnsi="Tahoma"/>
      <w:sz w:val="16"/>
    </w:rPr>
  </w:style>
  <w:style w:styleId="Style_850" w:type="paragraph">
    <w:name w:val="WW8Num37z2"/>
    <w:link w:val="Style_850_ch"/>
    <w:rPr>
      <w:rFonts w:ascii="Wingdings" w:hAnsi="Wingdings"/>
      <w:sz w:val="24"/>
    </w:rPr>
  </w:style>
  <w:style w:styleId="Style_850_ch" w:type="character">
    <w:name w:val="WW8Num37z2"/>
    <w:link w:val="Style_850"/>
    <w:rPr>
      <w:rFonts w:ascii="Wingdings" w:hAnsi="Wingdings"/>
      <w:sz w:val="24"/>
    </w:rPr>
  </w:style>
  <w:style w:styleId="Style_851" w:type="paragraph">
    <w:name w:val="WW8Num67z1"/>
    <w:link w:val="Style_851_ch"/>
    <w:rPr>
      <w:rFonts w:ascii="Courier New" w:hAnsi="Courier New"/>
    </w:rPr>
  </w:style>
  <w:style w:styleId="Style_851_ch" w:type="character">
    <w:name w:val="WW8Num67z1"/>
    <w:link w:val="Style_851"/>
    <w:rPr>
      <w:rFonts w:ascii="Courier New" w:hAnsi="Courier New"/>
    </w:rPr>
  </w:style>
  <w:style w:styleId="Style_852" w:type="paragraph">
    <w:name w:val="Знак концевой сноски1"/>
    <w:link w:val="Style_852_ch"/>
    <w:rPr>
      <w:vertAlign w:val="superscript"/>
    </w:rPr>
  </w:style>
  <w:style w:styleId="Style_852_ch" w:type="character">
    <w:name w:val="Знак концевой сноски1"/>
    <w:link w:val="Style_852"/>
    <w:rPr>
      <w:vertAlign w:val="superscript"/>
    </w:rPr>
  </w:style>
  <w:style w:styleId="Style_853" w:type="paragraph">
    <w:name w:val="xl59"/>
    <w:basedOn w:val="Style_10"/>
    <w:link w:val="Style_853_ch"/>
    <w:pPr>
      <w:spacing w:after="280" w:before="280" w:line="360" w:lineRule="atLeast"/>
      <w:ind w:firstLine="709" w:left="0"/>
      <w:jc w:val="both"/>
    </w:pPr>
    <w:rPr>
      <w:rFonts w:ascii="Arial Narrow" w:hAnsi="Arial Narrow"/>
      <w:sz w:val="24"/>
    </w:rPr>
  </w:style>
  <w:style w:styleId="Style_853_ch" w:type="character">
    <w:name w:val="xl59"/>
    <w:basedOn w:val="Style_10_ch"/>
    <w:link w:val="Style_853"/>
    <w:rPr>
      <w:rFonts w:ascii="Arial Narrow" w:hAnsi="Arial Narrow"/>
      <w:sz w:val="24"/>
    </w:rPr>
  </w:style>
  <w:style w:styleId="Style_854" w:type="paragraph">
    <w:name w:val="WW8Num60z2"/>
    <w:link w:val="Style_854_ch"/>
    <w:rPr>
      <w:rFonts w:ascii="Wingdings" w:hAnsi="Wingdings"/>
    </w:rPr>
  </w:style>
  <w:style w:styleId="Style_854_ch" w:type="character">
    <w:name w:val="WW8Num60z2"/>
    <w:link w:val="Style_854"/>
    <w:rPr>
      <w:rFonts w:ascii="Wingdings" w:hAnsi="Wingdings"/>
    </w:rPr>
  </w:style>
  <w:style w:styleId="Style_855" w:type="paragraph">
    <w:name w:val="WW-WW8Num5z0"/>
    <w:link w:val="Style_855_ch"/>
    <w:rPr>
      <w:rFonts w:ascii="Courier New" w:hAnsi="Courier New"/>
    </w:rPr>
  </w:style>
  <w:style w:styleId="Style_855_ch" w:type="character">
    <w:name w:val="WW-WW8Num5z0"/>
    <w:link w:val="Style_855"/>
    <w:rPr>
      <w:rFonts w:ascii="Courier New" w:hAnsi="Courier New"/>
    </w:rPr>
  </w:style>
  <w:style w:styleId="Style_856" w:type="paragraph">
    <w:name w:val="style1"/>
    <w:basedOn w:val="Style_10"/>
    <w:link w:val="Style_856_ch"/>
    <w:pPr>
      <w:spacing w:after="280" w:before="280" w:line="360" w:lineRule="atLeast"/>
      <w:ind w:firstLine="709" w:left="0"/>
      <w:jc w:val="both"/>
    </w:pPr>
    <w:rPr>
      <w:sz w:val="28"/>
    </w:rPr>
  </w:style>
  <w:style w:styleId="Style_856_ch" w:type="character">
    <w:name w:val="style1"/>
    <w:basedOn w:val="Style_10_ch"/>
    <w:link w:val="Style_856"/>
    <w:rPr>
      <w:sz w:val="28"/>
    </w:rPr>
  </w:style>
  <w:style w:styleId="Style_857" w:type="paragraph">
    <w:name w:val="Основной шрифт абзаца1"/>
    <w:link w:val="Style_857_ch"/>
  </w:style>
  <w:style w:styleId="Style_857_ch" w:type="character">
    <w:name w:val="Основной шрифт абзаца1"/>
    <w:link w:val="Style_857"/>
  </w:style>
  <w:style w:styleId="Style_858" w:type="paragraph">
    <w:name w:val="Font Style53"/>
    <w:link w:val="Style_858_ch"/>
    <w:rPr>
      <w:sz w:val="26"/>
    </w:rPr>
  </w:style>
  <w:style w:styleId="Style_858_ch" w:type="character">
    <w:name w:val="Font Style53"/>
    <w:link w:val="Style_858"/>
    <w:rPr>
      <w:sz w:val="26"/>
    </w:rPr>
  </w:style>
  <w:style w:styleId="Style_859" w:type="paragraph">
    <w:name w:val="Intense Quote"/>
    <w:basedOn w:val="Style_10"/>
    <w:next w:val="Style_10"/>
    <w:link w:val="Style_859_ch"/>
    <w:pPr>
      <w:spacing w:after="0" w:line="360" w:lineRule="atLeast"/>
      <w:ind w:firstLine="0" w:left="720" w:right="720"/>
    </w:pPr>
    <w:rPr>
      <w:b w:val="1"/>
      <w:i w:val="1"/>
      <w:sz w:val="24"/>
    </w:rPr>
  </w:style>
  <w:style w:styleId="Style_859_ch" w:type="character">
    <w:name w:val="Intense Quote"/>
    <w:basedOn w:val="Style_10_ch"/>
    <w:link w:val="Style_859"/>
    <w:rPr>
      <w:b w:val="1"/>
      <w:i w:val="1"/>
      <w:sz w:val="24"/>
    </w:rPr>
  </w:style>
  <w:style w:styleId="Style_860" w:type="paragraph">
    <w:name w:val="xl133"/>
    <w:basedOn w:val="Style_10"/>
    <w:link w:val="Style_860_ch"/>
    <w:pPr>
      <w:spacing w:after="280" w:before="280" w:line="240" w:lineRule="auto"/>
      <w:ind/>
      <w:jc w:val="center"/>
    </w:pPr>
    <w:rPr>
      <w:sz w:val="24"/>
    </w:rPr>
  </w:style>
  <w:style w:styleId="Style_860_ch" w:type="character">
    <w:name w:val="xl133"/>
    <w:basedOn w:val="Style_10_ch"/>
    <w:link w:val="Style_860"/>
    <w:rPr>
      <w:sz w:val="24"/>
    </w:rPr>
  </w:style>
  <w:style w:styleId="Style_861" w:type="paragraph">
    <w:name w:val="xl114"/>
    <w:basedOn w:val="Style_10"/>
    <w:link w:val="Style_861_ch"/>
    <w:pPr>
      <w:spacing w:afterAutospacing="on" w:beforeAutospacing="on" w:line="240" w:lineRule="auto"/>
      <w:ind/>
      <w:jc w:val="center"/>
    </w:pPr>
    <w:rPr>
      <w:sz w:val="24"/>
    </w:rPr>
  </w:style>
  <w:style w:styleId="Style_861_ch" w:type="character">
    <w:name w:val="xl114"/>
    <w:basedOn w:val="Style_10_ch"/>
    <w:link w:val="Style_861"/>
    <w:rPr>
      <w:sz w:val="24"/>
    </w:rPr>
  </w:style>
  <w:style w:styleId="Style_862" w:type="paragraph">
    <w:name w:val="S_Нумерованный_3.1"/>
    <w:basedOn w:val="Style_10"/>
    <w:link w:val="Style_862_ch"/>
    <w:pPr>
      <w:spacing w:after="0" w:line="240" w:lineRule="auto"/>
      <w:ind w:firstLine="624" w:left="0"/>
      <w:jc w:val="both"/>
    </w:pPr>
    <w:rPr>
      <w:sz w:val="28"/>
    </w:rPr>
  </w:style>
  <w:style w:styleId="Style_862_ch" w:type="character">
    <w:name w:val="S_Нумерованный_3.1"/>
    <w:basedOn w:val="Style_10_ch"/>
    <w:link w:val="Style_862"/>
    <w:rPr>
      <w:sz w:val="28"/>
    </w:rPr>
  </w:style>
  <w:style w:styleId="Style_863" w:type="paragraph">
    <w:name w:val="WW8Num59z0"/>
    <w:link w:val="Style_863_ch"/>
    <w:rPr>
      <w:sz w:val="24"/>
    </w:rPr>
  </w:style>
  <w:style w:styleId="Style_863_ch" w:type="character">
    <w:name w:val="WW8Num59z0"/>
    <w:link w:val="Style_863"/>
    <w:rPr>
      <w:sz w:val="24"/>
    </w:rPr>
  </w:style>
  <w:style w:styleId="Style_864" w:type="paragraph">
    <w:name w:val="WW-?????? ??????"/>
    <w:link w:val="Style_864_ch"/>
  </w:style>
  <w:style w:styleId="Style_864_ch" w:type="character">
    <w:name w:val="WW-?????? ??????"/>
    <w:link w:val="Style_864"/>
  </w:style>
  <w:style w:styleId="Style_865" w:type="paragraph">
    <w:name w:val="xl56"/>
    <w:basedOn w:val="Style_10"/>
    <w:link w:val="Style_865_ch"/>
    <w:pPr>
      <w:spacing w:after="280" w:before="280" w:line="360" w:lineRule="atLeast"/>
      <w:ind w:firstLine="709" w:left="0"/>
      <w:jc w:val="center"/>
    </w:pPr>
    <w:rPr>
      <w:b w:val="1"/>
      <w:sz w:val="24"/>
    </w:rPr>
  </w:style>
  <w:style w:styleId="Style_865_ch" w:type="character">
    <w:name w:val="xl56"/>
    <w:basedOn w:val="Style_10_ch"/>
    <w:link w:val="Style_865"/>
    <w:rPr>
      <w:b w:val="1"/>
      <w:sz w:val="24"/>
    </w:rPr>
  </w:style>
  <w:style w:styleId="Style_866" w:type="paragraph">
    <w:name w:val="WW-Absatz-Standardschriftart1111111111111111111111111111111"/>
    <w:link w:val="Style_866_ch"/>
  </w:style>
  <w:style w:styleId="Style_866_ch" w:type="character">
    <w:name w:val="WW-Absatz-Standardschriftart1111111111111111111111111111111"/>
    <w:link w:val="Style_866"/>
  </w:style>
  <w:style w:styleId="Style_867" w:type="paragraph">
    <w:name w:val="WW8Num27z2"/>
    <w:link w:val="Style_867_ch"/>
    <w:rPr>
      <w:rFonts w:ascii="Wingdings" w:hAnsi="Wingdings"/>
    </w:rPr>
  </w:style>
  <w:style w:styleId="Style_867_ch" w:type="character">
    <w:name w:val="WW8Num27z2"/>
    <w:link w:val="Style_867"/>
    <w:rPr>
      <w:rFonts w:ascii="Wingdings" w:hAnsi="Wingdings"/>
    </w:rPr>
  </w:style>
  <w:style w:styleId="Style_868" w:type="paragraph">
    <w:name w:val="xl68"/>
    <w:basedOn w:val="Style_10"/>
    <w:link w:val="Style_868_ch"/>
    <w:pPr>
      <w:spacing w:after="280" w:before="280" w:line="240" w:lineRule="auto"/>
      <w:ind/>
      <w:jc w:val="right"/>
    </w:pPr>
    <w:rPr>
      <w:b w:val="1"/>
      <w:sz w:val="24"/>
    </w:rPr>
  </w:style>
  <w:style w:styleId="Style_868_ch" w:type="character">
    <w:name w:val="xl68"/>
    <w:basedOn w:val="Style_10_ch"/>
    <w:link w:val="Style_868"/>
    <w:rPr>
      <w:b w:val="1"/>
      <w:sz w:val="24"/>
    </w:rPr>
  </w:style>
  <w:style w:styleId="Style_869" w:type="paragraph">
    <w:name w:val="Style84"/>
    <w:basedOn w:val="Style_10"/>
    <w:link w:val="Style_869_ch"/>
    <w:pPr>
      <w:widowControl w:val="0"/>
      <w:spacing w:after="0" w:line="389" w:lineRule="exact"/>
      <w:ind w:firstLine="1968" w:left="0"/>
    </w:pPr>
    <w:rPr>
      <w:sz w:val="24"/>
    </w:rPr>
  </w:style>
  <w:style w:styleId="Style_869_ch" w:type="character">
    <w:name w:val="Style84"/>
    <w:basedOn w:val="Style_10_ch"/>
    <w:link w:val="Style_869"/>
    <w:rPr>
      <w:sz w:val="24"/>
    </w:rPr>
  </w:style>
  <w:style w:styleId="Style_870" w:type="paragraph">
    <w:name w:val="Основной текст Знак1"/>
    <w:link w:val="Style_870_ch"/>
    <w:rPr>
      <w:sz w:val="24"/>
    </w:rPr>
  </w:style>
  <w:style w:styleId="Style_870_ch" w:type="character">
    <w:name w:val="Основной текст Знак1"/>
    <w:link w:val="Style_870"/>
    <w:rPr>
      <w:sz w:val="24"/>
    </w:rPr>
  </w:style>
  <w:style w:styleId="Style_871" w:type="paragraph">
    <w:name w:val="Font Style149"/>
    <w:link w:val="Style_871_ch"/>
    <w:rPr>
      <w:rFonts w:ascii="Century Schoolbook" w:hAnsi="Century Schoolbook"/>
      <w:b w:val="1"/>
      <w:sz w:val="14"/>
    </w:rPr>
  </w:style>
  <w:style w:styleId="Style_871_ch" w:type="character">
    <w:name w:val="Font Style149"/>
    <w:link w:val="Style_871"/>
    <w:rPr>
      <w:rFonts w:ascii="Century Schoolbook" w:hAnsi="Century Schoolbook"/>
      <w:b w:val="1"/>
      <w:sz w:val="14"/>
    </w:rPr>
  </w:style>
  <w:style w:styleId="Style_872" w:type="paragraph">
    <w:name w:val="Style54"/>
    <w:basedOn w:val="Style_10"/>
    <w:link w:val="Style_872_ch"/>
    <w:pPr>
      <w:widowControl w:val="0"/>
      <w:spacing w:after="0" w:line="240" w:lineRule="auto"/>
      <w:ind/>
    </w:pPr>
    <w:rPr>
      <w:sz w:val="24"/>
    </w:rPr>
  </w:style>
  <w:style w:styleId="Style_872_ch" w:type="character">
    <w:name w:val="Style54"/>
    <w:basedOn w:val="Style_10_ch"/>
    <w:link w:val="Style_872"/>
    <w:rPr>
      <w:sz w:val="24"/>
    </w:rPr>
  </w:style>
  <w:style w:styleId="Style_873" w:type="paragraph">
    <w:name w:val="xl40"/>
    <w:basedOn w:val="Style_10"/>
    <w:link w:val="Style_873_ch"/>
    <w:pPr>
      <w:spacing w:after="280" w:before="280" w:line="360" w:lineRule="atLeast"/>
      <w:ind w:firstLine="709" w:left="0"/>
      <w:jc w:val="both"/>
    </w:pPr>
    <w:rPr>
      <w:sz w:val="24"/>
    </w:rPr>
  </w:style>
  <w:style w:styleId="Style_873_ch" w:type="character">
    <w:name w:val="xl40"/>
    <w:basedOn w:val="Style_10_ch"/>
    <w:link w:val="Style_873"/>
    <w:rPr>
      <w:sz w:val="24"/>
    </w:rPr>
  </w:style>
  <w:style w:styleId="Style_874" w:type="paragraph">
    <w:name w:val="xl148"/>
    <w:basedOn w:val="Style_10"/>
    <w:link w:val="Style_874_ch"/>
    <w:pPr>
      <w:spacing w:after="280" w:before="280" w:line="240" w:lineRule="auto"/>
      <w:ind/>
      <w:jc w:val="center"/>
    </w:pPr>
    <w:rPr>
      <w:sz w:val="24"/>
    </w:rPr>
  </w:style>
  <w:style w:styleId="Style_874_ch" w:type="character">
    <w:name w:val="xl148"/>
    <w:basedOn w:val="Style_10_ch"/>
    <w:link w:val="Style_874"/>
    <w:rPr>
      <w:sz w:val="24"/>
    </w:rPr>
  </w:style>
  <w:style w:styleId="Style_875" w:type="paragraph">
    <w:name w:val="xl80"/>
    <w:basedOn w:val="Style_10"/>
    <w:link w:val="Style_875_ch"/>
    <w:pPr>
      <w:spacing w:afterAutospacing="on" w:beforeAutospacing="on" w:line="240" w:lineRule="auto"/>
      <w:ind/>
      <w:jc w:val="center"/>
    </w:pPr>
    <w:rPr>
      <w:sz w:val="26"/>
    </w:rPr>
  </w:style>
  <w:style w:styleId="Style_875_ch" w:type="character">
    <w:name w:val="xl80"/>
    <w:basedOn w:val="Style_10_ch"/>
    <w:link w:val="Style_875"/>
    <w:rPr>
      <w:sz w:val="26"/>
    </w:rPr>
  </w:style>
  <w:style w:styleId="Style_876" w:type="paragraph">
    <w:name w:val="WW8Num41z3"/>
    <w:link w:val="Style_876_ch"/>
    <w:rPr>
      <w:rFonts w:ascii="Symbol" w:hAnsi="Symbol"/>
    </w:rPr>
  </w:style>
  <w:style w:styleId="Style_876_ch" w:type="character">
    <w:name w:val="WW8Num41z3"/>
    <w:link w:val="Style_876"/>
    <w:rPr>
      <w:rFonts w:ascii="Symbol" w:hAnsi="Symbol"/>
    </w:rPr>
  </w:style>
  <w:style w:styleId="Style_877" w:type="paragraph">
    <w:name w:val="Style13"/>
    <w:basedOn w:val="Style_10"/>
    <w:link w:val="Style_877_ch"/>
    <w:pPr>
      <w:widowControl w:val="0"/>
      <w:spacing w:after="0" w:line="240" w:lineRule="auto"/>
      <w:ind/>
    </w:pPr>
    <w:rPr>
      <w:sz w:val="24"/>
    </w:rPr>
  </w:style>
  <w:style w:styleId="Style_877_ch" w:type="character">
    <w:name w:val="Style13"/>
    <w:basedOn w:val="Style_10_ch"/>
    <w:link w:val="Style_877"/>
    <w:rPr>
      <w:sz w:val="24"/>
    </w:rPr>
  </w:style>
  <w:style w:styleId="Style_878" w:type="paragraph">
    <w:name w:val="WW8NumSt13z0"/>
    <w:link w:val="Style_878_ch"/>
    <w:rPr>
      <w:rFonts w:ascii="Courier New" w:hAnsi="Courier New"/>
    </w:rPr>
  </w:style>
  <w:style w:styleId="Style_878_ch" w:type="character">
    <w:name w:val="WW8NumSt13z0"/>
    <w:link w:val="Style_878"/>
    <w:rPr>
      <w:rFonts w:ascii="Courier New" w:hAnsi="Courier New"/>
    </w:rPr>
  </w:style>
  <w:style w:styleId="Style_879" w:type="paragraph">
    <w:name w:val="WW-Обычный (веб)"/>
    <w:basedOn w:val="Style_10"/>
    <w:link w:val="Style_879_ch"/>
    <w:pPr>
      <w:spacing w:after="280" w:before="280" w:line="240" w:lineRule="auto"/>
      <w:ind/>
    </w:pPr>
    <w:rPr>
      <w:sz w:val="24"/>
    </w:rPr>
  </w:style>
  <w:style w:styleId="Style_879_ch" w:type="character">
    <w:name w:val="WW-Обычный (веб)"/>
    <w:basedOn w:val="Style_10_ch"/>
    <w:link w:val="Style_879"/>
    <w:rPr>
      <w:sz w:val="24"/>
    </w:rPr>
  </w:style>
  <w:style w:styleId="Style_880" w:type="paragraph">
    <w:name w:val="Font Style36"/>
    <w:link w:val="Style_880_ch"/>
    <w:rPr>
      <w:spacing w:val="20"/>
    </w:rPr>
  </w:style>
  <w:style w:styleId="Style_880_ch" w:type="character">
    <w:name w:val="Font Style36"/>
    <w:link w:val="Style_880"/>
    <w:rPr>
      <w:spacing w:val="20"/>
    </w:rPr>
  </w:style>
  <w:style w:styleId="Style_881" w:type="paragraph">
    <w:name w:val="font171"/>
    <w:link w:val="Style_881_ch"/>
  </w:style>
  <w:style w:styleId="Style_881_ch" w:type="character">
    <w:name w:val="font171"/>
    <w:link w:val="Style_881"/>
  </w:style>
  <w:style w:styleId="Style_882" w:type="paragraph">
    <w:name w:val="Заголовок таблицы"/>
    <w:basedOn w:val="Style_711"/>
    <w:link w:val="Style_882_ch"/>
    <w:pPr>
      <w:ind/>
      <w:jc w:val="center"/>
    </w:pPr>
    <w:rPr>
      <w:b w:val="1"/>
      <w:i w:val="1"/>
    </w:rPr>
  </w:style>
  <w:style w:styleId="Style_882_ch" w:type="character">
    <w:name w:val="Заголовок таблицы"/>
    <w:basedOn w:val="Style_711_ch"/>
    <w:link w:val="Style_882"/>
    <w:rPr>
      <w:b w:val="1"/>
      <w:i w:val="1"/>
    </w:rPr>
  </w:style>
  <w:style w:styleId="Style_883" w:type="paragraph">
    <w:name w:val="xl121"/>
    <w:basedOn w:val="Style_10"/>
    <w:link w:val="Style_883_ch"/>
    <w:pPr>
      <w:spacing w:afterAutospacing="on" w:beforeAutospacing="on" w:line="240" w:lineRule="auto"/>
      <w:ind/>
      <w:jc w:val="center"/>
    </w:pPr>
    <w:rPr>
      <w:sz w:val="24"/>
    </w:rPr>
  </w:style>
  <w:style w:styleId="Style_883_ch" w:type="character">
    <w:name w:val="xl121"/>
    <w:basedOn w:val="Style_10_ch"/>
    <w:link w:val="Style_883"/>
    <w:rPr>
      <w:sz w:val="24"/>
    </w:rPr>
  </w:style>
  <w:style w:styleId="Style_884" w:type="paragraph">
    <w:name w:val="toc 9"/>
    <w:basedOn w:val="Style_10"/>
    <w:next w:val="Style_10"/>
    <w:link w:val="Style_884_ch"/>
    <w:uiPriority w:val="39"/>
    <w:pPr>
      <w:spacing w:after="100"/>
      <w:ind w:firstLine="0" w:left="1760"/>
    </w:pPr>
  </w:style>
  <w:style w:styleId="Style_884_ch" w:type="character">
    <w:name w:val="toc 9"/>
    <w:basedOn w:val="Style_10_ch"/>
    <w:link w:val="Style_884"/>
  </w:style>
  <w:style w:styleId="Style_885" w:type="paragraph">
    <w:name w:val="WW8Num3z0"/>
    <w:link w:val="Style_885_ch"/>
    <w:rPr>
      <w:rFonts w:ascii="Courier New" w:hAnsi="Courier New"/>
    </w:rPr>
  </w:style>
  <w:style w:styleId="Style_885_ch" w:type="character">
    <w:name w:val="WW8Num3z0"/>
    <w:link w:val="Style_885"/>
    <w:rPr>
      <w:rFonts w:ascii="Courier New" w:hAnsi="Courier New"/>
    </w:rPr>
  </w:style>
  <w:style w:styleId="Style_886" w:type="paragraph">
    <w:name w:val="font6"/>
    <w:basedOn w:val="Style_10"/>
    <w:link w:val="Style_886_ch"/>
    <w:pPr>
      <w:spacing w:after="280" w:before="280" w:line="240" w:lineRule="auto"/>
      <w:ind/>
    </w:pPr>
    <w:rPr>
      <w:rFonts w:ascii="Arial" w:hAnsi="Arial"/>
      <w:sz w:val="20"/>
    </w:rPr>
  </w:style>
  <w:style w:styleId="Style_886_ch" w:type="character">
    <w:name w:val="font6"/>
    <w:basedOn w:val="Style_10_ch"/>
    <w:link w:val="Style_886"/>
    <w:rPr>
      <w:rFonts w:ascii="Arial" w:hAnsi="Arial"/>
      <w:sz w:val="20"/>
    </w:rPr>
  </w:style>
  <w:style w:styleId="Style_887" w:type="paragraph">
    <w:name w:val="xl156"/>
    <w:basedOn w:val="Style_10"/>
    <w:link w:val="Style_887_ch"/>
    <w:pPr>
      <w:spacing w:after="280" w:before="280" w:line="240" w:lineRule="auto"/>
      <w:ind/>
      <w:jc w:val="center"/>
    </w:pPr>
    <w:rPr>
      <w:b w:val="1"/>
    </w:rPr>
  </w:style>
  <w:style w:styleId="Style_887_ch" w:type="character">
    <w:name w:val="xl156"/>
    <w:basedOn w:val="Style_10_ch"/>
    <w:link w:val="Style_887"/>
    <w:rPr>
      <w:b w:val="1"/>
    </w:rPr>
  </w:style>
  <w:style w:styleId="Style_888" w:type="paragraph">
    <w:name w:val="Font Style17"/>
    <w:link w:val="Style_888_ch"/>
    <w:rPr>
      <w:rFonts w:ascii="Book Antiqua" w:hAnsi="Book Antiqua"/>
      <w:b w:val="1"/>
    </w:rPr>
  </w:style>
  <w:style w:styleId="Style_888_ch" w:type="character">
    <w:name w:val="Font Style17"/>
    <w:link w:val="Style_888"/>
    <w:rPr>
      <w:rFonts w:ascii="Book Antiqua" w:hAnsi="Book Antiqua"/>
      <w:b w:val="1"/>
    </w:rPr>
  </w:style>
  <w:style w:styleId="Style_889" w:type="paragraph">
    <w:name w:val="Текст Знак1"/>
    <w:link w:val="Style_889_ch"/>
    <w:rPr>
      <w:rFonts w:ascii="Courier New" w:hAnsi="Courier New"/>
    </w:rPr>
  </w:style>
  <w:style w:styleId="Style_889_ch" w:type="character">
    <w:name w:val="Текст Знак1"/>
    <w:link w:val="Style_889"/>
    <w:rPr>
      <w:rFonts w:ascii="Courier New" w:hAnsi="Courier New"/>
    </w:rPr>
  </w:style>
  <w:style w:styleId="Style_890" w:type="paragraph">
    <w:name w:val="font291"/>
    <w:link w:val="Style_890_ch"/>
    <w:rPr>
      <w:b w:val="1"/>
      <w:vertAlign w:val="superscript"/>
    </w:rPr>
  </w:style>
  <w:style w:styleId="Style_890_ch" w:type="character">
    <w:name w:val="font291"/>
    <w:link w:val="Style_890"/>
    <w:rPr>
      <w:b w:val="1"/>
      <w:vertAlign w:val="superscript"/>
    </w:rPr>
  </w:style>
  <w:style w:styleId="Style_891" w:type="paragraph">
    <w:name w:val="Основной текст с отступом 32"/>
    <w:basedOn w:val="Style_10"/>
    <w:link w:val="Style_891_ch"/>
    <w:pPr>
      <w:widowControl w:val="0"/>
      <w:spacing w:after="120" w:line="240" w:lineRule="auto"/>
      <w:ind w:firstLine="0" w:left="283"/>
    </w:pPr>
    <w:rPr>
      <w:sz w:val="16"/>
    </w:rPr>
  </w:style>
  <w:style w:styleId="Style_891_ch" w:type="character">
    <w:name w:val="Основной текст с отступом 32"/>
    <w:basedOn w:val="Style_10_ch"/>
    <w:link w:val="Style_891"/>
    <w:rPr>
      <w:sz w:val="16"/>
    </w:rPr>
  </w:style>
  <w:style w:styleId="Style_892" w:type="paragraph">
    <w:name w:val="Текст примечания1"/>
    <w:basedOn w:val="Style_10"/>
    <w:link w:val="Style_892_ch"/>
    <w:pPr>
      <w:spacing w:after="0" w:line="240" w:lineRule="auto"/>
      <w:ind/>
    </w:pPr>
    <w:rPr>
      <w:sz w:val="20"/>
    </w:rPr>
  </w:style>
  <w:style w:styleId="Style_892_ch" w:type="character">
    <w:name w:val="Текст примечания1"/>
    <w:basedOn w:val="Style_10_ch"/>
    <w:link w:val="Style_892"/>
    <w:rPr>
      <w:sz w:val="20"/>
    </w:rPr>
  </w:style>
  <w:style w:styleId="Style_893" w:type="paragraph">
    <w:name w:val="WW8Num17z0"/>
    <w:link w:val="Style_893_ch"/>
  </w:style>
  <w:style w:styleId="Style_893_ch" w:type="character">
    <w:name w:val="WW8Num17z0"/>
    <w:link w:val="Style_893"/>
  </w:style>
  <w:style w:styleId="Style_894" w:type="paragraph">
    <w:name w:val="xl69"/>
    <w:basedOn w:val="Style_10"/>
    <w:link w:val="Style_894_ch"/>
    <w:pPr>
      <w:spacing w:after="280" w:before="280" w:line="240" w:lineRule="auto"/>
      <w:ind/>
      <w:jc w:val="right"/>
    </w:pPr>
    <w:rPr>
      <w:b w:val="1"/>
      <w:sz w:val="24"/>
    </w:rPr>
  </w:style>
  <w:style w:styleId="Style_894_ch" w:type="character">
    <w:name w:val="xl69"/>
    <w:basedOn w:val="Style_10_ch"/>
    <w:link w:val="Style_894"/>
    <w:rPr>
      <w:b w:val="1"/>
      <w:sz w:val="24"/>
    </w:rPr>
  </w:style>
  <w:style w:styleId="Style_895" w:type="paragraph">
    <w:name w:val="xl146"/>
    <w:basedOn w:val="Style_10"/>
    <w:link w:val="Style_895_ch"/>
    <w:pPr>
      <w:spacing w:after="280" w:before="280" w:line="240" w:lineRule="auto"/>
      <w:ind/>
      <w:jc w:val="center"/>
    </w:pPr>
    <w:rPr>
      <w:b w:val="1"/>
      <w:sz w:val="24"/>
    </w:rPr>
  </w:style>
  <w:style w:styleId="Style_895_ch" w:type="character">
    <w:name w:val="xl146"/>
    <w:basedOn w:val="Style_10_ch"/>
    <w:link w:val="Style_895"/>
    <w:rPr>
      <w:b w:val="1"/>
      <w:sz w:val="24"/>
    </w:rPr>
  </w:style>
  <w:style w:styleId="Style_896" w:type="paragraph">
    <w:name w:val="WW8Num10z0"/>
    <w:link w:val="Style_896_ch"/>
    <w:rPr>
      <w:rFonts w:ascii="Courier New" w:hAnsi="Courier New"/>
    </w:rPr>
  </w:style>
  <w:style w:styleId="Style_896_ch" w:type="character">
    <w:name w:val="WW8Num10z0"/>
    <w:link w:val="Style_896"/>
    <w:rPr>
      <w:rFonts w:ascii="Courier New" w:hAnsi="Courier New"/>
    </w:rPr>
  </w:style>
  <w:style w:styleId="Style_897" w:type="paragraph">
    <w:name w:val="список Знак"/>
    <w:link w:val="Style_897_ch"/>
    <w:rPr>
      <w:sz w:val="26"/>
    </w:rPr>
  </w:style>
  <w:style w:styleId="Style_897_ch" w:type="character">
    <w:name w:val="список Знак"/>
    <w:link w:val="Style_897"/>
    <w:rPr>
      <w:sz w:val="26"/>
    </w:rPr>
  </w:style>
  <w:style w:styleId="Style_898" w:type="paragraph">
    <w:name w:val="WW8Num37z0"/>
    <w:link w:val="Style_898_ch"/>
    <w:rPr>
      <w:sz w:val="24"/>
    </w:rPr>
  </w:style>
  <w:style w:styleId="Style_898_ch" w:type="character">
    <w:name w:val="WW8Num37z0"/>
    <w:link w:val="Style_898"/>
    <w:rPr>
      <w:sz w:val="24"/>
    </w:rPr>
  </w:style>
  <w:style w:styleId="Style_899" w:type="paragraph">
    <w:name w:val="таблица"/>
    <w:basedOn w:val="Style_10"/>
    <w:link w:val="Style_899_ch"/>
    <w:pPr>
      <w:spacing w:after="0" w:line="240" w:lineRule="auto"/>
      <w:ind w:firstLine="0" w:left="-57" w:right="-57"/>
      <w:jc w:val="center"/>
    </w:pPr>
    <w:rPr>
      <w:sz w:val="24"/>
    </w:rPr>
  </w:style>
  <w:style w:styleId="Style_899_ch" w:type="character">
    <w:name w:val="таблица"/>
    <w:basedOn w:val="Style_10_ch"/>
    <w:link w:val="Style_899"/>
    <w:rPr>
      <w:sz w:val="24"/>
    </w:rPr>
  </w:style>
  <w:style w:styleId="Style_900" w:type="paragraph">
    <w:name w:val="WW-Absatz-Standardschriftart111111111111111111"/>
    <w:link w:val="Style_900_ch"/>
  </w:style>
  <w:style w:styleId="Style_900_ch" w:type="character">
    <w:name w:val="WW-Absatz-Standardschriftart111111111111111111"/>
    <w:link w:val="Style_900"/>
  </w:style>
  <w:style w:styleId="Style_901" w:type="paragraph">
    <w:name w:val="WW8NumSt22z0"/>
    <w:link w:val="Style_901_ch"/>
    <w:rPr>
      <w:rFonts w:ascii="Courier New" w:hAnsi="Courier New"/>
    </w:rPr>
  </w:style>
  <w:style w:styleId="Style_901_ch" w:type="character">
    <w:name w:val="WW8NumSt22z0"/>
    <w:link w:val="Style_901"/>
    <w:rPr>
      <w:rFonts w:ascii="Courier New" w:hAnsi="Courier New"/>
    </w:rPr>
  </w:style>
  <w:style w:styleId="Style_902" w:type="paragraph">
    <w:name w:val="Верхний колонтитул Знак1"/>
    <w:link w:val="Style_902_ch"/>
  </w:style>
  <w:style w:styleId="Style_902_ch" w:type="character">
    <w:name w:val="Верхний колонтитул Знак1"/>
    <w:link w:val="Style_902"/>
  </w:style>
  <w:style w:styleId="Style_903" w:type="paragraph">
    <w:name w:val="Основной текст с отступом Знак"/>
    <w:link w:val="Style_903_ch"/>
    <w:rPr>
      <w:rFonts w:ascii="Arial" w:hAnsi="Arial"/>
      <w:sz w:val="28"/>
    </w:rPr>
  </w:style>
  <w:style w:styleId="Style_903_ch" w:type="character">
    <w:name w:val="Основной текст с отступом Знак"/>
    <w:link w:val="Style_903"/>
    <w:rPr>
      <w:rFonts w:ascii="Arial" w:hAnsi="Arial"/>
      <w:sz w:val="28"/>
    </w:rPr>
  </w:style>
  <w:style w:styleId="Style_904" w:type="paragraph">
    <w:name w:val="s3"/>
    <w:link w:val="Style_904_ch"/>
  </w:style>
  <w:style w:styleId="Style_904_ch" w:type="character">
    <w:name w:val="s3"/>
    <w:link w:val="Style_904"/>
  </w:style>
  <w:style w:styleId="Style_905" w:type="paragraph">
    <w:name w:val="WW8Num49z0"/>
    <w:link w:val="Style_905_ch"/>
    <w:rPr>
      <w:rFonts w:ascii="Symbol" w:hAnsi="Symbol"/>
    </w:rPr>
  </w:style>
  <w:style w:styleId="Style_905_ch" w:type="character">
    <w:name w:val="WW8Num49z0"/>
    <w:link w:val="Style_905"/>
    <w:rPr>
      <w:rFonts w:ascii="Symbol" w:hAnsi="Symbol"/>
    </w:rPr>
  </w:style>
  <w:style w:styleId="Style_906" w:type="paragraph">
    <w:name w:val="xl53"/>
    <w:basedOn w:val="Style_10"/>
    <w:link w:val="Style_906_ch"/>
    <w:pPr>
      <w:spacing w:after="280" w:before="280" w:line="360" w:lineRule="atLeast"/>
      <w:ind w:firstLine="709" w:left="0"/>
      <w:jc w:val="both"/>
    </w:pPr>
    <w:rPr>
      <w:b w:val="1"/>
      <w:sz w:val="24"/>
    </w:rPr>
  </w:style>
  <w:style w:styleId="Style_906_ch" w:type="character">
    <w:name w:val="xl53"/>
    <w:basedOn w:val="Style_10_ch"/>
    <w:link w:val="Style_906"/>
    <w:rPr>
      <w:b w:val="1"/>
      <w:sz w:val="24"/>
    </w:rPr>
  </w:style>
  <w:style w:styleId="Style_907" w:type="paragraph">
    <w:name w:val="Font Style92"/>
    <w:link w:val="Style_907_ch"/>
    <w:rPr>
      <w:b w:val="1"/>
      <w:sz w:val="10"/>
    </w:rPr>
  </w:style>
  <w:style w:styleId="Style_907_ch" w:type="character">
    <w:name w:val="Font Style92"/>
    <w:link w:val="Style_907"/>
    <w:rPr>
      <w:b w:val="1"/>
      <w:sz w:val="10"/>
    </w:rPr>
  </w:style>
  <w:style w:styleId="Style_908" w:type="paragraph">
    <w:name w:val="WW8Num22z3"/>
    <w:link w:val="Style_908_ch"/>
    <w:rPr>
      <w:rFonts w:ascii="Symbol" w:hAnsi="Symbol"/>
    </w:rPr>
  </w:style>
  <w:style w:styleId="Style_908_ch" w:type="character">
    <w:name w:val="WW8Num22z3"/>
    <w:link w:val="Style_908"/>
    <w:rPr>
      <w:rFonts w:ascii="Symbol" w:hAnsi="Symbol"/>
    </w:rPr>
  </w:style>
  <w:style w:styleId="Style_909" w:type="paragraph">
    <w:name w:val="Style76"/>
    <w:basedOn w:val="Style_10"/>
    <w:link w:val="Style_909_ch"/>
    <w:pPr>
      <w:widowControl w:val="0"/>
      <w:spacing w:after="0" w:line="240" w:lineRule="auto"/>
      <w:ind/>
    </w:pPr>
    <w:rPr>
      <w:sz w:val="24"/>
    </w:rPr>
  </w:style>
  <w:style w:styleId="Style_909_ch" w:type="character">
    <w:name w:val="Style76"/>
    <w:basedOn w:val="Style_10_ch"/>
    <w:link w:val="Style_909"/>
    <w:rPr>
      <w:sz w:val="24"/>
    </w:rPr>
  </w:style>
  <w:style w:styleId="Style_910" w:type="paragraph">
    <w:name w:val="WW8Num58z2"/>
    <w:link w:val="Style_910_ch"/>
    <w:rPr>
      <w:rFonts w:ascii="Wingdings" w:hAnsi="Wingdings"/>
    </w:rPr>
  </w:style>
  <w:style w:styleId="Style_910_ch" w:type="character">
    <w:name w:val="WW8Num58z2"/>
    <w:link w:val="Style_910"/>
    <w:rPr>
      <w:rFonts w:ascii="Wingdings" w:hAnsi="Wingdings"/>
    </w:rPr>
  </w:style>
  <w:style w:styleId="Style_911" w:type="paragraph">
    <w:name w:val="WW8Num40z3"/>
    <w:link w:val="Style_911_ch"/>
    <w:rPr>
      <w:rFonts w:ascii="Symbol" w:hAnsi="Symbol"/>
    </w:rPr>
  </w:style>
  <w:style w:styleId="Style_911_ch" w:type="character">
    <w:name w:val="WW8Num40z3"/>
    <w:link w:val="Style_911"/>
    <w:rPr>
      <w:rFonts w:ascii="Symbol" w:hAnsi="Symbol"/>
    </w:rPr>
  </w:style>
  <w:style w:styleId="Style_912" w:type="paragraph">
    <w:name w:val="Font Style174"/>
    <w:link w:val="Style_912_ch"/>
    <w:rPr>
      <w:sz w:val="12"/>
    </w:rPr>
  </w:style>
  <w:style w:styleId="Style_912_ch" w:type="character">
    <w:name w:val="Font Style174"/>
    <w:link w:val="Style_912"/>
    <w:rPr>
      <w:sz w:val="12"/>
    </w:rPr>
  </w:style>
  <w:style w:styleId="Style_913" w:type="paragraph">
    <w:name w:val="Название_рис_IG Знак"/>
    <w:link w:val="Style_913_ch"/>
    <w:rPr>
      <w:sz w:val="28"/>
    </w:rPr>
  </w:style>
  <w:style w:styleId="Style_913_ch" w:type="character">
    <w:name w:val="Название_рис_IG Знак"/>
    <w:link w:val="Style_913"/>
    <w:rPr>
      <w:sz w:val="28"/>
    </w:rPr>
  </w:style>
  <w:style w:styleId="Style_914" w:type="paragraph">
    <w:name w:val="WW8Num15z0"/>
    <w:link w:val="Style_914_ch"/>
    <w:rPr>
      <w:rFonts w:ascii="Courier New" w:hAnsi="Courier New"/>
    </w:rPr>
  </w:style>
  <w:style w:styleId="Style_914_ch" w:type="character">
    <w:name w:val="WW8Num15z0"/>
    <w:link w:val="Style_914"/>
    <w:rPr>
      <w:rFonts w:ascii="Courier New" w:hAnsi="Courier New"/>
    </w:rPr>
  </w:style>
  <w:style w:styleId="Style_915" w:type="paragraph">
    <w:name w:val="xl157"/>
    <w:basedOn w:val="Style_10"/>
    <w:link w:val="Style_915_ch"/>
    <w:pPr>
      <w:spacing w:after="280" w:before="280" w:line="240" w:lineRule="auto"/>
      <w:ind/>
      <w:jc w:val="center"/>
    </w:pPr>
    <w:rPr>
      <w:b w:val="1"/>
    </w:rPr>
  </w:style>
  <w:style w:styleId="Style_915_ch" w:type="character">
    <w:name w:val="xl157"/>
    <w:basedOn w:val="Style_10_ch"/>
    <w:link w:val="Style_915"/>
    <w:rPr>
      <w:b w:val="1"/>
    </w:rPr>
  </w:style>
  <w:style w:styleId="Style_916" w:type="paragraph">
    <w:name w:val="Источник Знак"/>
    <w:link w:val="Style_916_ch"/>
    <w:rPr>
      <w:rFonts w:ascii="Arial" w:hAnsi="Arial"/>
      <w:i w:val="1"/>
    </w:rPr>
  </w:style>
  <w:style w:styleId="Style_916_ch" w:type="character">
    <w:name w:val="Источник Знак"/>
    <w:link w:val="Style_916"/>
    <w:rPr>
      <w:rFonts w:ascii="Arial" w:hAnsi="Arial"/>
      <w:i w:val="1"/>
    </w:rPr>
  </w:style>
  <w:style w:styleId="Style_917" w:type="paragraph">
    <w:name w:val="xl126"/>
    <w:basedOn w:val="Style_10"/>
    <w:link w:val="Style_917_ch"/>
    <w:pPr>
      <w:spacing w:after="280" w:before="280" w:line="240" w:lineRule="auto"/>
      <w:ind/>
      <w:jc w:val="center"/>
    </w:pPr>
    <w:rPr>
      <w:sz w:val="18"/>
    </w:rPr>
  </w:style>
  <w:style w:styleId="Style_917_ch" w:type="character">
    <w:name w:val="xl126"/>
    <w:basedOn w:val="Style_10_ch"/>
    <w:link w:val="Style_917"/>
    <w:rPr>
      <w:sz w:val="18"/>
    </w:rPr>
  </w:style>
  <w:style w:styleId="Style_918" w:type="paragraph">
    <w:name w:val="WW-Absatz-Standardschriftart111111111111111111111111111"/>
    <w:link w:val="Style_918_ch"/>
  </w:style>
  <w:style w:styleId="Style_918_ch" w:type="character">
    <w:name w:val="WW-Absatz-Standardschriftart111111111111111111111111111"/>
    <w:link w:val="Style_918"/>
  </w:style>
  <w:style w:styleId="Style_919" w:type="paragraph">
    <w:name w:val="WW-WW8Num9z0"/>
    <w:link w:val="Style_919_ch"/>
    <w:rPr>
      <w:rFonts w:ascii="Courier New" w:hAnsi="Courier New"/>
    </w:rPr>
  </w:style>
  <w:style w:styleId="Style_919_ch" w:type="character">
    <w:name w:val="WW-WW8Num9z0"/>
    <w:link w:val="Style_919"/>
    <w:rPr>
      <w:rFonts w:ascii="Courier New" w:hAnsi="Courier New"/>
    </w:rPr>
  </w:style>
  <w:style w:styleId="Style_920" w:type="paragraph">
    <w:name w:val="Style75"/>
    <w:basedOn w:val="Style_10"/>
    <w:link w:val="Style_920_ch"/>
    <w:pPr>
      <w:widowControl w:val="0"/>
      <w:spacing w:after="0" w:line="235" w:lineRule="exact"/>
      <w:ind/>
      <w:jc w:val="both"/>
    </w:pPr>
    <w:rPr>
      <w:sz w:val="24"/>
    </w:rPr>
  </w:style>
  <w:style w:styleId="Style_920_ch" w:type="character">
    <w:name w:val="Style75"/>
    <w:basedOn w:val="Style_10_ch"/>
    <w:link w:val="Style_920"/>
    <w:rPr>
      <w:sz w:val="24"/>
    </w:rPr>
  </w:style>
  <w:style w:styleId="Style_921" w:type="paragraph">
    <w:name w:val="Style95"/>
    <w:basedOn w:val="Style_10"/>
    <w:link w:val="Style_921_ch"/>
    <w:pPr>
      <w:widowControl w:val="0"/>
      <w:spacing w:after="0" w:line="240" w:lineRule="auto"/>
      <w:ind/>
    </w:pPr>
    <w:rPr>
      <w:sz w:val="24"/>
    </w:rPr>
  </w:style>
  <w:style w:styleId="Style_921_ch" w:type="character">
    <w:name w:val="Style95"/>
    <w:basedOn w:val="Style_10_ch"/>
    <w:link w:val="Style_921"/>
    <w:rPr>
      <w:sz w:val="24"/>
    </w:rPr>
  </w:style>
  <w:style w:styleId="Style_922" w:type="paragraph">
    <w:name w:val="WW8Num53z0"/>
    <w:link w:val="Style_922_ch"/>
    <w:rPr>
      <w:rFonts w:ascii="Symbol" w:hAnsi="Symbol"/>
    </w:rPr>
  </w:style>
  <w:style w:styleId="Style_922_ch" w:type="character">
    <w:name w:val="WW8Num53z0"/>
    <w:link w:val="Style_922"/>
    <w:rPr>
      <w:rFonts w:ascii="Symbol" w:hAnsi="Symbol"/>
    </w:rPr>
  </w:style>
  <w:style w:styleId="Style_923" w:type="paragraph">
    <w:name w:val="xl84"/>
    <w:basedOn w:val="Style_10"/>
    <w:link w:val="Style_923_ch"/>
    <w:pPr>
      <w:spacing w:afterAutospacing="on" w:beforeAutospacing="on" w:line="240" w:lineRule="auto"/>
      <w:ind/>
      <w:jc w:val="center"/>
    </w:pPr>
    <w:rPr>
      <w:sz w:val="26"/>
    </w:rPr>
  </w:style>
  <w:style w:styleId="Style_923_ch" w:type="character">
    <w:name w:val="xl84"/>
    <w:basedOn w:val="Style_10_ch"/>
    <w:link w:val="Style_923"/>
    <w:rPr>
      <w:sz w:val="26"/>
    </w:rPr>
  </w:style>
  <w:style w:styleId="Style_924" w:type="paragraph">
    <w:name w:val="Название3"/>
    <w:basedOn w:val="Style_10"/>
    <w:link w:val="Style_924_ch"/>
    <w:pPr>
      <w:spacing w:after="120" w:before="120" w:line="240" w:lineRule="auto"/>
      <w:ind/>
    </w:pPr>
    <w:rPr>
      <w:rFonts w:ascii="Arial" w:hAnsi="Arial"/>
      <w:i w:val="1"/>
      <w:sz w:val="24"/>
    </w:rPr>
  </w:style>
  <w:style w:styleId="Style_924_ch" w:type="character">
    <w:name w:val="Название3"/>
    <w:basedOn w:val="Style_10_ch"/>
    <w:link w:val="Style_924"/>
    <w:rPr>
      <w:rFonts w:ascii="Arial" w:hAnsi="Arial"/>
      <w:i w:val="1"/>
      <w:sz w:val="24"/>
    </w:rPr>
  </w:style>
  <w:style w:styleId="Style_925" w:type="paragraph">
    <w:name w:val="font281"/>
    <w:link w:val="Style_925_ch"/>
    <w:rPr>
      <w:b w:val="1"/>
      <w:vertAlign w:val="subscript"/>
    </w:rPr>
  </w:style>
  <w:style w:styleId="Style_925_ch" w:type="character">
    <w:name w:val="font281"/>
    <w:link w:val="Style_925"/>
    <w:rPr>
      <w:b w:val="1"/>
      <w:vertAlign w:val="subscript"/>
    </w:rPr>
  </w:style>
  <w:style w:styleId="Style_926" w:type="paragraph">
    <w:name w:val="Font Style139"/>
    <w:link w:val="Style_926_ch"/>
    <w:rPr>
      <w:b w:val="1"/>
      <w:i w:val="1"/>
      <w:sz w:val="24"/>
    </w:rPr>
  </w:style>
  <w:style w:styleId="Style_926_ch" w:type="character">
    <w:name w:val="Font Style139"/>
    <w:link w:val="Style_926"/>
    <w:rPr>
      <w:b w:val="1"/>
      <w:i w:val="1"/>
      <w:sz w:val="24"/>
    </w:rPr>
  </w:style>
  <w:style w:styleId="Style_927" w:type="paragraph">
    <w:name w:val="Font Style122"/>
    <w:link w:val="Style_927_ch"/>
    <w:rPr>
      <w:b w:val="1"/>
      <w:sz w:val="22"/>
    </w:rPr>
  </w:style>
  <w:style w:styleId="Style_927_ch" w:type="character">
    <w:name w:val="Font Style122"/>
    <w:link w:val="Style_927"/>
    <w:rPr>
      <w:b w:val="1"/>
      <w:sz w:val="22"/>
    </w:rPr>
  </w:style>
  <w:style w:styleId="Style_928" w:type="paragraph">
    <w:name w:val="xl117"/>
    <w:basedOn w:val="Style_10"/>
    <w:link w:val="Style_928_ch"/>
    <w:pPr>
      <w:spacing w:afterAutospacing="on" w:beforeAutospacing="on" w:line="240" w:lineRule="auto"/>
      <w:ind/>
      <w:jc w:val="center"/>
    </w:pPr>
    <w:rPr>
      <w:sz w:val="24"/>
    </w:rPr>
  </w:style>
  <w:style w:styleId="Style_928_ch" w:type="character">
    <w:name w:val="xl117"/>
    <w:basedOn w:val="Style_10_ch"/>
    <w:link w:val="Style_928"/>
    <w:rPr>
      <w:sz w:val="24"/>
    </w:rPr>
  </w:style>
  <w:style w:styleId="Style_929" w:type="paragraph">
    <w:name w:val="WW8Num36z2"/>
    <w:link w:val="Style_929_ch"/>
    <w:rPr>
      <w:rFonts w:ascii="Wingdings" w:hAnsi="Wingdings"/>
    </w:rPr>
  </w:style>
  <w:style w:styleId="Style_929_ch" w:type="character">
    <w:name w:val="WW8Num36z2"/>
    <w:link w:val="Style_929"/>
    <w:rPr>
      <w:rFonts w:ascii="Wingdings" w:hAnsi="Wingdings"/>
    </w:rPr>
  </w:style>
  <w:style w:styleId="Style_930" w:type="paragraph">
    <w:name w:val="WW8NumSt2z0"/>
    <w:link w:val="Style_930_ch"/>
    <w:rPr>
      <w:rFonts w:ascii="Courier New" w:hAnsi="Courier New"/>
    </w:rPr>
  </w:style>
  <w:style w:styleId="Style_930_ch" w:type="character">
    <w:name w:val="WW8NumSt2z0"/>
    <w:link w:val="Style_930"/>
    <w:rPr>
      <w:rFonts w:ascii="Courier New" w:hAnsi="Courier New"/>
    </w:rPr>
  </w:style>
  <w:style w:styleId="Style_931" w:type="paragraph">
    <w:name w:val="Цитата2"/>
    <w:basedOn w:val="Style_10"/>
    <w:link w:val="Style_931_ch"/>
    <w:pPr>
      <w:spacing w:after="0" w:before="5" w:line="480" w:lineRule="auto"/>
      <w:ind w:firstLine="0" w:left="426" w:right="14"/>
      <w:jc w:val="both"/>
    </w:pPr>
    <w:rPr>
      <w:rFonts w:ascii="CG Times" w:hAnsi="CG Times"/>
      <w:sz w:val="24"/>
    </w:rPr>
  </w:style>
  <w:style w:styleId="Style_931_ch" w:type="character">
    <w:name w:val="Цитата2"/>
    <w:basedOn w:val="Style_10_ch"/>
    <w:link w:val="Style_931"/>
    <w:rPr>
      <w:rFonts w:ascii="CG Times" w:hAnsi="CG Times"/>
      <w:sz w:val="24"/>
    </w:rPr>
  </w:style>
  <w:style w:styleId="Style_932" w:type="paragraph">
    <w:name w:val="xl131"/>
    <w:basedOn w:val="Style_10"/>
    <w:link w:val="Style_932_ch"/>
    <w:pPr>
      <w:spacing w:after="280" w:before="280" w:line="240" w:lineRule="auto"/>
      <w:ind/>
      <w:jc w:val="center"/>
    </w:pPr>
    <w:rPr>
      <w:sz w:val="24"/>
    </w:rPr>
  </w:style>
  <w:style w:styleId="Style_932_ch" w:type="character">
    <w:name w:val="xl131"/>
    <w:basedOn w:val="Style_10_ch"/>
    <w:link w:val="Style_932"/>
    <w:rPr>
      <w:sz w:val="24"/>
    </w:rPr>
  </w:style>
  <w:style w:styleId="Style_933" w:type="paragraph">
    <w:name w:val="Style91"/>
    <w:basedOn w:val="Style_10"/>
    <w:link w:val="Style_933_ch"/>
    <w:pPr>
      <w:widowControl w:val="0"/>
      <w:spacing w:after="0" w:line="240" w:lineRule="auto"/>
      <w:ind/>
    </w:pPr>
    <w:rPr>
      <w:sz w:val="24"/>
    </w:rPr>
  </w:style>
  <w:style w:styleId="Style_933_ch" w:type="character">
    <w:name w:val="Style91"/>
    <w:basedOn w:val="Style_10_ch"/>
    <w:link w:val="Style_933"/>
    <w:rPr>
      <w:sz w:val="24"/>
    </w:rPr>
  </w:style>
  <w:style w:styleId="Style_934" w:type="paragraph">
    <w:name w:val="xl105"/>
    <w:basedOn w:val="Style_10"/>
    <w:link w:val="Style_934_ch"/>
    <w:pPr>
      <w:spacing w:afterAutospacing="on" w:beforeAutospacing="on" w:line="240" w:lineRule="auto"/>
      <w:ind/>
      <w:jc w:val="center"/>
    </w:pPr>
    <w:rPr>
      <w:sz w:val="24"/>
    </w:rPr>
  </w:style>
  <w:style w:styleId="Style_934_ch" w:type="character">
    <w:name w:val="xl105"/>
    <w:basedOn w:val="Style_10_ch"/>
    <w:link w:val="Style_934"/>
    <w:rPr>
      <w:sz w:val="24"/>
    </w:rPr>
  </w:style>
  <w:style w:styleId="Style_935" w:type="paragraph">
    <w:name w:val="Табличный_заголовки"/>
    <w:basedOn w:val="Style_10"/>
    <w:link w:val="Style_935_ch"/>
    <w:pPr>
      <w:keepNext w:val="1"/>
      <w:keepLines w:val="1"/>
      <w:spacing w:after="0" w:line="360" w:lineRule="atLeast"/>
      <w:ind/>
      <w:jc w:val="center"/>
    </w:pPr>
    <w:rPr>
      <w:b w:val="1"/>
    </w:rPr>
  </w:style>
  <w:style w:styleId="Style_935_ch" w:type="character">
    <w:name w:val="Табличный_заголовки"/>
    <w:basedOn w:val="Style_10_ch"/>
    <w:link w:val="Style_935"/>
    <w:rPr>
      <w:b w:val="1"/>
    </w:rPr>
  </w:style>
  <w:style w:styleId="Style_936" w:type="paragraph">
    <w:name w:val="Заголовок оглавления1"/>
    <w:basedOn w:val="Style_435"/>
    <w:next w:val="Style_10"/>
    <w:link w:val="Style_936_ch"/>
    <w:pPr>
      <w:keepNext w:val="0"/>
      <w:spacing w:after="200" w:before="400" w:line="252" w:lineRule="auto"/>
      <w:ind w:firstLine="0" w:left="0"/>
      <w:jc w:val="center"/>
      <w:outlineLvl w:val="8"/>
    </w:pPr>
    <w:rPr>
      <w:rFonts w:ascii="Cambria" w:hAnsi="Cambria"/>
      <w:b w:val="0"/>
      <w:caps w:val="1"/>
      <w:color w:val="632423"/>
      <w:spacing w:val="20"/>
    </w:rPr>
  </w:style>
  <w:style w:styleId="Style_936_ch" w:type="character">
    <w:name w:val="Заголовок оглавления1"/>
    <w:basedOn w:val="Style_435_ch"/>
    <w:link w:val="Style_936"/>
    <w:rPr>
      <w:rFonts w:ascii="Cambria" w:hAnsi="Cambria"/>
      <w:b w:val="0"/>
      <w:caps w:val="1"/>
      <w:color w:val="632423"/>
      <w:spacing w:val="20"/>
    </w:rPr>
  </w:style>
  <w:style w:styleId="Style_937" w:type="paragraph">
    <w:name w:val="Знак примечания1"/>
    <w:link w:val="Style_937_ch"/>
    <w:rPr>
      <w:sz w:val="16"/>
    </w:rPr>
  </w:style>
  <w:style w:styleId="Style_937_ch" w:type="character">
    <w:name w:val="Знак примечания1"/>
    <w:link w:val="Style_937"/>
    <w:rPr>
      <w:sz w:val="16"/>
    </w:rPr>
  </w:style>
  <w:style w:styleId="Style_938" w:type="paragraph">
    <w:name w:val="top"/>
    <w:basedOn w:val="Style_10"/>
    <w:link w:val="Style_938_ch"/>
    <w:pPr>
      <w:spacing w:after="280" w:before="280" w:line="240" w:lineRule="auto"/>
      <w:ind/>
      <w:jc w:val="both"/>
    </w:pPr>
    <w:rPr>
      <w:rFonts w:ascii="Arial" w:hAnsi="Arial"/>
      <w:sz w:val="20"/>
    </w:rPr>
  </w:style>
  <w:style w:styleId="Style_938_ch" w:type="character">
    <w:name w:val="top"/>
    <w:basedOn w:val="Style_10_ch"/>
    <w:link w:val="Style_938"/>
    <w:rPr>
      <w:rFonts w:ascii="Arial" w:hAnsi="Arial"/>
      <w:sz w:val="20"/>
    </w:rPr>
  </w:style>
  <w:style w:styleId="Style_939" w:type="paragraph">
    <w:name w:val="Основной текст с отступом 3 Знак1"/>
    <w:link w:val="Style_939_ch"/>
    <w:rPr>
      <w:sz w:val="16"/>
    </w:rPr>
  </w:style>
  <w:style w:styleId="Style_939_ch" w:type="character">
    <w:name w:val="Основной текст с отступом 3 Знак1"/>
    <w:link w:val="Style_939"/>
    <w:rPr>
      <w:sz w:val="16"/>
    </w:rPr>
  </w:style>
  <w:style w:styleId="Style_940" w:type="paragraph">
    <w:name w:val="WW-Название объекта1"/>
    <w:basedOn w:val="Style_10"/>
    <w:next w:val="Style_10"/>
    <w:link w:val="Style_940_ch"/>
    <w:pPr>
      <w:spacing w:after="0" w:line="240" w:lineRule="auto"/>
      <w:ind/>
    </w:pPr>
    <w:rPr>
      <w:b w:val="1"/>
      <w:sz w:val="24"/>
    </w:rPr>
  </w:style>
  <w:style w:styleId="Style_940_ch" w:type="character">
    <w:name w:val="WW-Название объекта1"/>
    <w:basedOn w:val="Style_10_ch"/>
    <w:link w:val="Style_940"/>
    <w:rPr>
      <w:b w:val="1"/>
      <w:sz w:val="24"/>
    </w:rPr>
  </w:style>
  <w:style w:styleId="Style_941" w:type="paragraph">
    <w:name w:val="Style43"/>
    <w:basedOn w:val="Style_10"/>
    <w:link w:val="Style_941_ch"/>
    <w:pPr>
      <w:widowControl w:val="0"/>
      <w:spacing w:after="0" w:line="240" w:lineRule="auto"/>
      <w:ind/>
    </w:pPr>
    <w:rPr>
      <w:sz w:val="24"/>
    </w:rPr>
  </w:style>
  <w:style w:styleId="Style_941_ch" w:type="character">
    <w:name w:val="Style43"/>
    <w:basedOn w:val="Style_10_ch"/>
    <w:link w:val="Style_941"/>
    <w:rPr>
      <w:sz w:val="24"/>
    </w:rPr>
  </w:style>
  <w:style w:styleId="Style_942" w:type="paragraph">
    <w:name w:val="xl162"/>
    <w:basedOn w:val="Style_10"/>
    <w:link w:val="Style_942_ch"/>
    <w:pPr>
      <w:spacing w:after="280" w:before="280" w:line="240" w:lineRule="auto"/>
      <w:ind/>
      <w:jc w:val="center"/>
    </w:pPr>
    <w:rPr>
      <w:b w:val="1"/>
    </w:rPr>
  </w:style>
  <w:style w:styleId="Style_942_ch" w:type="character">
    <w:name w:val="xl162"/>
    <w:basedOn w:val="Style_10_ch"/>
    <w:link w:val="Style_942"/>
    <w:rPr>
      <w:b w:val="1"/>
    </w:rPr>
  </w:style>
  <w:style w:styleId="Style_943" w:type="paragraph">
    <w:name w:val="???????? ????? 2"/>
    <w:basedOn w:val="Style_10"/>
    <w:link w:val="Style_943_ch"/>
    <w:pPr>
      <w:spacing w:after="0" w:line="240" w:lineRule="auto"/>
      <w:ind/>
    </w:pPr>
    <w:rPr>
      <w:rFonts w:ascii="SchoolBook" w:hAnsi="SchoolBook"/>
      <w:sz w:val="24"/>
    </w:rPr>
  </w:style>
  <w:style w:styleId="Style_943_ch" w:type="character">
    <w:name w:val="???????? ????? 2"/>
    <w:basedOn w:val="Style_10_ch"/>
    <w:link w:val="Style_943"/>
    <w:rPr>
      <w:rFonts w:ascii="SchoolBook" w:hAnsi="SchoolBook"/>
      <w:sz w:val="24"/>
    </w:rPr>
  </w:style>
  <w:style w:styleId="Style_944" w:type="paragraph">
    <w:name w:val="WW8Num42z3"/>
    <w:link w:val="Style_944_ch"/>
    <w:rPr>
      <w:rFonts w:ascii="Symbol" w:hAnsi="Symbol"/>
    </w:rPr>
  </w:style>
  <w:style w:styleId="Style_944_ch" w:type="character">
    <w:name w:val="WW8Num42z3"/>
    <w:link w:val="Style_944"/>
    <w:rPr>
      <w:rFonts w:ascii="Symbol" w:hAnsi="Symbol"/>
    </w:rPr>
  </w:style>
  <w:style w:styleId="Style_945" w:type="paragraph">
    <w:name w:val="WW8Num21z2"/>
    <w:link w:val="Style_945_ch"/>
    <w:rPr>
      <w:rFonts w:ascii="Wingdings" w:hAnsi="Wingdings"/>
    </w:rPr>
  </w:style>
  <w:style w:styleId="Style_945_ch" w:type="character">
    <w:name w:val="WW8Num21z2"/>
    <w:link w:val="Style_945"/>
    <w:rPr>
      <w:rFonts w:ascii="Wingdings" w:hAnsi="Wingdings"/>
    </w:rPr>
  </w:style>
  <w:style w:styleId="Style_946" w:type="paragraph">
    <w:name w:val="Style83"/>
    <w:basedOn w:val="Style_10"/>
    <w:link w:val="Style_946_ch"/>
    <w:pPr>
      <w:widowControl w:val="0"/>
      <w:spacing w:after="0" w:line="240" w:lineRule="auto"/>
      <w:ind/>
    </w:pPr>
    <w:rPr>
      <w:sz w:val="24"/>
    </w:rPr>
  </w:style>
  <w:style w:styleId="Style_946_ch" w:type="character">
    <w:name w:val="Style83"/>
    <w:basedOn w:val="Style_10_ch"/>
    <w:link w:val="Style_946"/>
    <w:rPr>
      <w:sz w:val="24"/>
    </w:rPr>
  </w:style>
  <w:style w:styleId="Style_947" w:type="paragraph">
    <w:name w:val="WW8Num6z3"/>
    <w:link w:val="Style_947_ch"/>
    <w:rPr>
      <w:rFonts w:ascii="Symbol" w:hAnsi="Symbol"/>
    </w:rPr>
  </w:style>
  <w:style w:styleId="Style_947_ch" w:type="character">
    <w:name w:val="WW8Num6z3"/>
    <w:link w:val="Style_947"/>
    <w:rPr>
      <w:rFonts w:ascii="Symbol" w:hAnsi="Symbol"/>
    </w:rPr>
  </w:style>
  <w:style w:styleId="Style_948" w:type="paragraph">
    <w:name w:val="ConsPlusCell"/>
    <w:link w:val="Style_948_ch"/>
    <w:pPr>
      <w:widowControl w:val="0"/>
      <w:spacing w:line="360" w:lineRule="atLeast"/>
      <w:ind w:firstLine="709" w:left="0"/>
      <w:jc w:val="both"/>
    </w:pPr>
    <w:rPr>
      <w:rFonts w:ascii="Arial" w:hAnsi="Arial"/>
    </w:rPr>
  </w:style>
  <w:style w:styleId="Style_948_ch" w:type="character">
    <w:name w:val="ConsPlusCell"/>
    <w:link w:val="Style_948"/>
    <w:rPr>
      <w:rFonts w:ascii="Arial" w:hAnsi="Arial"/>
    </w:rPr>
  </w:style>
  <w:style w:styleId="Style_949" w:type="paragraph">
    <w:name w:val="???????? ????? ? ???????? 32"/>
    <w:basedOn w:val="Style_10"/>
    <w:link w:val="Style_949_ch"/>
    <w:pPr>
      <w:widowControl w:val="0"/>
      <w:spacing w:after="120" w:line="240" w:lineRule="auto"/>
      <w:ind w:firstLine="0" w:left="283"/>
    </w:pPr>
    <w:rPr>
      <w:sz w:val="16"/>
    </w:rPr>
  </w:style>
  <w:style w:styleId="Style_949_ch" w:type="character">
    <w:name w:val="???????? ????? ? ???????? 32"/>
    <w:basedOn w:val="Style_10_ch"/>
    <w:link w:val="Style_949"/>
    <w:rPr>
      <w:sz w:val="16"/>
    </w:rPr>
  </w:style>
  <w:style w:styleId="Style_950" w:type="paragraph">
    <w:name w:val="ConsCell"/>
    <w:link w:val="Style_950_ch"/>
    <w:pPr>
      <w:widowControl w:val="0"/>
      <w:ind w:right="19772"/>
    </w:pPr>
    <w:rPr>
      <w:rFonts w:ascii="Arial" w:hAnsi="Arial"/>
    </w:rPr>
  </w:style>
  <w:style w:styleId="Style_950_ch" w:type="character">
    <w:name w:val="ConsCell"/>
    <w:link w:val="Style_950"/>
    <w:rPr>
      <w:rFonts w:ascii="Arial" w:hAnsi="Arial"/>
    </w:rPr>
  </w:style>
  <w:style w:styleId="Style_951" w:type="paragraph">
    <w:name w:val="xl182"/>
    <w:basedOn w:val="Style_10"/>
    <w:link w:val="Style_951_ch"/>
    <w:pPr>
      <w:spacing w:after="280" w:before="280" w:line="240" w:lineRule="auto"/>
      <w:ind/>
      <w:jc w:val="center"/>
    </w:pPr>
    <w:rPr>
      <w:b w:val="1"/>
      <w:sz w:val="24"/>
    </w:rPr>
  </w:style>
  <w:style w:styleId="Style_951_ch" w:type="character">
    <w:name w:val="xl182"/>
    <w:basedOn w:val="Style_10_ch"/>
    <w:link w:val="Style_951"/>
    <w:rPr>
      <w:b w:val="1"/>
      <w:sz w:val="24"/>
    </w:rPr>
  </w:style>
  <w:style w:styleId="Style_952" w:type="paragraph">
    <w:name w:val="Style118"/>
    <w:basedOn w:val="Style_10"/>
    <w:link w:val="Style_952_ch"/>
    <w:pPr>
      <w:widowControl w:val="0"/>
      <w:spacing w:after="0" w:line="240" w:lineRule="auto"/>
      <w:ind/>
    </w:pPr>
    <w:rPr>
      <w:sz w:val="24"/>
    </w:rPr>
  </w:style>
  <w:style w:styleId="Style_952_ch" w:type="character">
    <w:name w:val="Style118"/>
    <w:basedOn w:val="Style_10_ch"/>
    <w:link w:val="Style_952"/>
    <w:rPr>
      <w:sz w:val="24"/>
    </w:rPr>
  </w:style>
  <w:style w:styleId="Style_953" w:type="paragraph">
    <w:name w:val="?????? ?????????"/>
    <w:link w:val="Style_953_ch"/>
  </w:style>
  <w:style w:styleId="Style_953_ch" w:type="character">
    <w:name w:val="?????? ?????????"/>
    <w:link w:val="Style_953"/>
  </w:style>
  <w:style w:styleId="Style_954" w:type="paragraph">
    <w:name w:val="Font Style48"/>
    <w:link w:val="Style_954_ch"/>
    <w:rPr>
      <w:rFonts w:ascii="Arial Unicode MS" w:hAnsi="Arial Unicode MS"/>
      <w:sz w:val="80"/>
    </w:rPr>
  </w:style>
  <w:style w:styleId="Style_954_ch" w:type="character">
    <w:name w:val="Font Style48"/>
    <w:link w:val="Style_954"/>
    <w:rPr>
      <w:rFonts w:ascii="Arial Unicode MS" w:hAnsi="Arial Unicode MS"/>
      <w:sz w:val="80"/>
    </w:rPr>
  </w:style>
  <w:style w:styleId="Style_955" w:type="paragraph">
    <w:name w:val="Font Style28"/>
    <w:link w:val="Style_955_ch"/>
    <w:rPr>
      <w:sz w:val="18"/>
    </w:rPr>
  </w:style>
  <w:style w:styleId="Style_955_ch" w:type="character">
    <w:name w:val="Font Style28"/>
    <w:link w:val="Style_955"/>
    <w:rPr>
      <w:sz w:val="18"/>
    </w:rPr>
  </w:style>
  <w:style w:styleId="Style_956" w:type="paragraph">
    <w:name w:val="WW8Num59z3"/>
    <w:link w:val="Style_956_ch"/>
    <w:rPr>
      <w:rFonts w:ascii="Symbol" w:hAnsi="Symbol"/>
    </w:rPr>
  </w:style>
  <w:style w:styleId="Style_956_ch" w:type="character">
    <w:name w:val="WW8Num59z3"/>
    <w:link w:val="Style_956"/>
    <w:rPr>
      <w:rFonts w:ascii="Symbol" w:hAnsi="Symbol"/>
    </w:rPr>
  </w:style>
  <w:style w:styleId="Style_957" w:type="paragraph">
    <w:name w:val="Название Знак"/>
    <w:link w:val="Style_957_ch"/>
    <w:rPr>
      <w:b w:val="1"/>
      <w:sz w:val="28"/>
    </w:rPr>
  </w:style>
  <w:style w:styleId="Style_957_ch" w:type="character">
    <w:name w:val="Название Знак"/>
    <w:link w:val="Style_957"/>
    <w:rPr>
      <w:b w:val="1"/>
      <w:sz w:val="28"/>
    </w:rPr>
  </w:style>
  <w:style w:styleId="Style_958" w:type="paragraph">
    <w:name w:val="WW-WW8Num17z0"/>
    <w:link w:val="Style_958_ch"/>
    <w:rPr>
      <w:rFonts w:ascii="Courier New" w:hAnsi="Courier New"/>
    </w:rPr>
  </w:style>
  <w:style w:styleId="Style_958_ch" w:type="character">
    <w:name w:val="WW-WW8Num17z0"/>
    <w:link w:val="Style_958"/>
    <w:rPr>
      <w:rFonts w:ascii="Courier New" w:hAnsi="Courier New"/>
    </w:rPr>
  </w:style>
  <w:style w:styleId="Style_959" w:type="paragraph">
    <w:name w:val="xl44"/>
    <w:basedOn w:val="Style_10"/>
    <w:link w:val="Style_959_ch"/>
    <w:pPr>
      <w:spacing w:after="280" w:before="280" w:line="360" w:lineRule="atLeast"/>
      <w:ind w:firstLine="709" w:left="0"/>
      <w:jc w:val="both"/>
    </w:pPr>
    <w:rPr>
      <w:sz w:val="24"/>
    </w:rPr>
  </w:style>
  <w:style w:styleId="Style_959_ch" w:type="character">
    <w:name w:val="xl44"/>
    <w:basedOn w:val="Style_10_ch"/>
    <w:link w:val="Style_959"/>
    <w:rPr>
      <w:sz w:val="24"/>
    </w:rPr>
  </w:style>
  <w:style w:styleId="Style_960" w:type="paragraph">
    <w:name w:val="WW8NumSt21z0"/>
    <w:link w:val="Style_960_ch"/>
    <w:rPr>
      <w:rFonts w:ascii="Courier New" w:hAnsi="Courier New"/>
    </w:rPr>
  </w:style>
  <w:style w:styleId="Style_960_ch" w:type="character">
    <w:name w:val="WW8NumSt21z0"/>
    <w:link w:val="Style_960"/>
    <w:rPr>
      <w:rFonts w:ascii="Courier New" w:hAnsi="Courier New"/>
    </w:rPr>
  </w:style>
  <w:style w:styleId="Style_961" w:type="paragraph">
    <w:name w:val="xl49"/>
    <w:basedOn w:val="Style_10"/>
    <w:link w:val="Style_961_ch"/>
    <w:pPr>
      <w:spacing w:after="280" w:before="280" w:line="360" w:lineRule="atLeast"/>
      <w:ind w:firstLine="709" w:left="0"/>
      <w:jc w:val="both"/>
    </w:pPr>
    <w:rPr>
      <w:b w:val="1"/>
      <w:sz w:val="24"/>
    </w:rPr>
  </w:style>
  <w:style w:styleId="Style_961_ch" w:type="character">
    <w:name w:val="xl49"/>
    <w:basedOn w:val="Style_10_ch"/>
    <w:link w:val="Style_961"/>
    <w:rPr>
      <w:b w:val="1"/>
      <w:sz w:val="24"/>
    </w:rPr>
  </w:style>
  <w:style w:styleId="Style_962" w:type="paragraph">
    <w:name w:val="Основной текст (2) Exact"/>
    <w:link w:val="Style_962_ch"/>
    <w:rPr>
      <w:sz w:val="26"/>
    </w:rPr>
  </w:style>
  <w:style w:styleId="Style_962_ch" w:type="character">
    <w:name w:val="Основной текст (2) Exact"/>
    <w:link w:val="Style_962"/>
    <w:rPr>
      <w:sz w:val="26"/>
    </w:rPr>
  </w:style>
  <w:style w:styleId="Style_963" w:type="paragraph">
    <w:name w:val="Название2"/>
    <w:basedOn w:val="Style_10"/>
    <w:link w:val="Style_963_ch"/>
    <w:pPr>
      <w:widowControl w:val="0"/>
      <w:spacing w:after="120" w:before="120" w:line="240" w:lineRule="auto"/>
      <w:ind/>
    </w:pPr>
    <w:rPr>
      <w:rFonts w:ascii="Arial" w:hAnsi="Arial"/>
      <w:i w:val="1"/>
      <w:sz w:val="24"/>
    </w:rPr>
  </w:style>
  <w:style w:styleId="Style_963_ch" w:type="character">
    <w:name w:val="Название2"/>
    <w:basedOn w:val="Style_10_ch"/>
    <w:link w:val="Style_963"/>
    <w:rPr>
      <w:rFonts w:ascii="Arial" w:hAnsi="Arial"/>
      <w:i w:val="1"/>
      <w:sz w:val="24"/>
    </w:rPr>
  </w:style>
  <w:style w:styleId="Style_964" w:type="paragraph">
    <w:name w:val="заголовок 5"/>
    <w:basedOn w:val="Style_10"/>
    <w:next w:val="Style_10"/>
    <w:link w:val="Style_964_ch"/>
    <w:pPr>
      <w:keepNext w:val="1"/>
      <w:spacing w:after="0" w:line="240" w:lineRule="auto"/>
      <w:ind/>
      <w:jc w:val="both"/>
    </w:pPr>
    <w:rPr>
      <w:sz w:val="24"/>
    </w:rPr>
  </w:style>
  <w:style w:styleId="Style_964_ch" w:type="character">
    <w:name w:val="заголовок 5"/>
    <w:basedOn w:val="Style_10_ch"/>
    <w:link w:val="Style_964"/>
    <w:rPr>
      <w:sz w:val="24"/>
    </w:rPr>
  </w:style>
  <w:style w:styleId="Style_965" w:type="paragraph">
    <w:name w:val="Основной текст 31"/>
    <w:basedOn w:val="Style_10"/>
    <w:link w:val="Style_965_ch"/>
    <w:pPr>
      <w:widowControl w:val="0"/>
      <w:spacing w:after="120" w:line="240" w:lineRule="auto"/>
      <w:ind/>
    </w:pPr>
    <w:rPr>
      <w:sz w:val="16"/>
    </w:rPr>
  </w:style>
  <w:style w:styleId="Style_965_ch" w:type="character">
    <w:name w:val="Основной текст 31"/>
    <w:basedOn w:val="Style_10_ch"/>
    <w:link w:val="Style_965"/>
    <w:rPr>
      <w:sz w:val="16"/>
    </w:rPr>
  </w:style>
  <w:style w:styleId="Style_966" w:type="paragraph">
    <w:name w:val="сноска"/>
    <w:basedOn w:val="Style_141"/>
    <w:link w:val="Style_966_ch"/>
    <w:pPr>
      <w:ind w:firstLine="0" w:left="0" w:right="708"/>
    </w:pPr>
  </w:style>
  <w:style w:styleId="Style_966_ch" w:type="character">
    <w:name w:val="сноска"/>
    <w:basedOn w:val="Style_141_ch"/>
    <w:link w:val="Style_966"/>
  </w:style>
  <w:style w:styleId="Style_967" w:type="paragraph">
    <w:name w:val="WW-Absatz-Standardschriftart11111111111111111111111111111"/>
    <w:link w:val="Style_967_ch"/>
  </w:style>
  <w:style w:styleId="Style_967_ch" w:type="character">
    <w:name w:val="WW-Absatz-Standardschriftart11111111111111111111111111111"/>
    <w:link w:val="Style_967"/>
  </w:style>
  <w:style w:styleId="Style_968" w:type="paragraph">
    <w:name w:val="toc 8"/>
    <w:basedOn w:val="Style_10"/>
    <w:next w:val="Style_10"/>
    <w:link w:val="Style_968_ch"/>
    <w:uiPriority w:val="39"/>
    <w:pPr>
      <w:spacing w:after="100"/>
      <w:ind w:firstLine="0" w:left="1540"/>
    </w:pPr>
  </w:style>
  <w:style w:styleId="Style_968_ch" w:type="character">
    <w:name w:val="toc 8"/>
    <w:basedOn w:val="Style_10_ch"/>
    <w:link w:val="Style_968"/>
  </w:style>
  <w:style w:styleId="Style_969" w:type="paragraph">
    <w:name w:val="WW8Num34z1"/>
    <w:link w:val="Style_969_ch"/>
    <w:rPr>
      <w:rFonts w:ascii="Courier New" w:hAnsi="Courier New"/>
    </w:rPr>
  </w:style>
  <w:style w:styleId="Style_969_ch" w:type="character">
    <w:name w:val="WW8Num34z1"/>
    <w:link w:val="Style_969"/>
    <w:rPr>
      <w:rFonts w:ascii="Courier New" w:hAnsi="Courier New"/>
    </w:rPr>
  </w:style>
  <w:style w:styleId="Style_970" w:type="paragraph">
    <w:name w:val="осн.текст 12 Знак"/>
    <w:basedOn w:val="Style_10"/>
    <w:link w:val="Style_970_ch"/>
    <w:pPr>
      <w:spacing w:after="120" w:line="360" w:lineRule="atLeast"/>
      <w:ind w:firstLine="851" w:left="0"/>
      <w:jc w:val="both"/>
    </w:pPr>
    <w:rPr>
      <w:rFonts w:ascii="Arial" w:hAnsi="Arial"/>
      <w:sz w:val="24"/>
    </w:rPr>
  </w:style>
  <w:style w:styleId="Style_970_ch" w:type="character">
    <w:name w:val="осн.текст 12 Знак"/>
    <w:basedOn w:val="Style_10_ch"/>
    <w:link w:val="Style_970"/>
    <w:rPr>
      <w:rFonts w:ascii="Arial" w:hAnsi="Arial"/>
      <w:sz w:val="24"/>
    </w:rPr>
  </w:style>
  <w:style w:styleId="Style_971" w:type="paragraph">
    <w:name w:val="WW8NumSt6z0"/>
    <w:link w:val="Style_971_ch"/>
  </w:style>
  <w:style w:styleId="Style_971_ch" w:type="character">
    <w:name w:val="WW8NumSt6z0"/>
    <w:link w:val="Style_971"/>
  </w:style>
  <w:style w:styleId="Style_972" w:type="paragraph">
    <w:name w:val="rvts21"/>
    <w:link w:val="Style_972_ch"/>
    <w:rPr>
      <w:sz w:val="24"/>
    </w:rPr>
  </w:style>
  <w:style w:styleId="Style_972_ch" w:type="character">
    <w:name w:val="rvts21"/>
    <w:link w:val="Style_972"/>
    <w:rPr>
      <w:sz w:val="24"/>
    </w:rPr>
  </w:style>
  <w:style w:styleId="Style_973" w:type="paragraph">
    <w:name w:val="Font Style113"/>
    <w:link w:val="Style_973_ch"/>
    <w:rPr>
      <w:b w:val="1"/>
      <w:sz w:val="12"/>
    </w:rPr>
  </w:style>
  <w:style w:styleId="Style_973_ch" w:type="character">
    <w:name w:val="Font Style113"/>
    <w:link w:val="Style_973"/>
    <w:rPr>
      <w:b w:val="1"/>
      <w:sz w:val="12"/>
    </w:rPr>
  </w:style>
  <w:style w:styleId="Style_974" w:type="paragraph">
    <w:name w:val="WW8Num561z1"/>
    <w:link w:val="Style_974_ch"/>
    <w:rPr>
      <w:rFonts w:ascii="Courier New" w:hAnsi="Courier New"/>
    </w:rPr>
  </w:style>
  <w:style w:styleId="Style_974_ch" w:type="character">
    <w:name w:val="WW8Num561z1"/>
    <w:link w:val="Style_974"/>
    <w:rPr>
      <w:rFonts w:ascii="Courier New" w:hAnsi="Courier New"/>
    </w:rPr>
  </w:style>
  <w:style w:styleId="Style_975" w:type="paragraph">
    <w:name w:val="WW-Absatz-Standardschriftart111"/>
    <w:link w:val="Style_975_ch"/>
  </w:style>
  <w:style w:styleId="Style_975_ch" w:type="character">
    <w:name w:val="WW-Absatz-Standardschriftart111"/>
    <w:link w:val="Style_975"/>
  </w:style>
  <w:style w:styleId="Style_976" w:type="paragraph">
    <w:name w:val="WW-Маркеры списка"/>
    <w:link w:val="Style_976_ch"/>
    <w:rPr>
      <w:rFonts w:ascii="StarSymbol" w:hAnsi="StarSymbol"/>
      <w:sz w:val="18"/>
    </w:rPr>
  </w:style>
  <w:style w:styleId="Style_976_ch" w:type="character">
    <w:name w:val="WW-Маркеры списка"/>
    <w:link w:val="Style_976"/>
    <w:rPr>
      <w:rFonts w:ascii="StarSymbol" w:hAnsi="StarSymbol"/>
      <w:sz w:val="18"/>
    </w:rPr>
  </w:style>
  <w:style w:styleId="Style_977" w:type="paragraph">
    <w:name w:val="p10"/>
    <w:basedOn w:val="Style_10"/>
    <w:link w:val="Style_977_ch"/>
    <w:pPr>
      <w:spacing w:afterAutospacing="on" w:beforeAutospacing="on" w:line="240" w:lineRule="auto"/>
      <w:ind/>
    </w:pPr>
    <w:rPr>
      <w:sz w:val="24"/>
    </w:rPr>
  </w:style>
  <w:style w:styleId="Style_977_ch" w:type="character">
    <w:name w:val="p10"/>
    <w:basedOn w:val="Style_10_ch"/>
    <w:link w:val="Style_977"/>
    <w:rPr>
      <w:sz w:val="24"/>
    </w:rPr>
  </w:style>
  <w:style w:styleId="Style_978" w:type="paragraph">
    <w:name w:val="Font Style133"/>
    <w:link w:val="Style_978_ch"/>
    <w:rPr>
      <w:b w:val="1"/>
      <w:i w:val="1"/>
      <w:sz w:val="16"/>
    </w:rPr>
  </w:style>
  <w:style w:styleId="Style_978_ch" w:type="character">
    <w:name w:val="Font Style133"/>
    <w:link w:val="Style_978"/>
    <w:rPr>
      <w:b w:val="1"/>
      <w:i w:val="1"/>
      <w:sz w:val="16"/>
    </w:rPr>
  </w:style>
  <w:style w:styleId="Style_979" w:type="paragraph">
    <w:name w:val="xl83"/>
    <w:basedOn w:val="Style_10"/>
    <w:link w:val="Style_979_ch"/>
    <w:pPr>
      <w:spacing w:afterAutospacing="on" w:beforeAutospacing="on" w:line="240" w:lineRule="auto"/>
      <w:ind/>
      <w:jc w:val="center"/>
    </w:pPr>
    <w:rPr>
      <w:b w:val="1"/>
      <w:sz w:val="26"/>
    </w:rPr>
  </w:style>
  <w:style w:styleId="Style_979_ch" w:type="character">
    <w:name w:val="xl83"/>
    <w:basedOn w:val="Style_10_ch"/>
    <w:link w:val="Style_979"/>
    <w:rPr>
      <w:b w:val="1"/>
      <w:sz w:val="26"/>
    </w:rPr>
  </w:style>
  <w:style w:styleId="Style_980" w:type="paragraph">
    <w:name w:val="Основной текст с отступом 22"/>
    <w:basedOn w:val="Style_10"/>
    <w:link w:val="Style_980_ch"/>
    <w:pPr>
      <w:widowControl w:val="0"/>
      <w:spacing w:after="0" w:line="240" w:lineRule="auto"/>
      <w:ind w:firstLine="709" w:left="-70"/>
      <w:jc w:val="both"/>
    </w:pPr>
    <w:rPr>
      <w:rFonts w:ascii="Arial" w:hAnsi="Arial"/>
      <w:sz w:val="24"/>
    </w:rPr>
  </w:style>
  <w:style w:styleId="Style_980_ch" w:type="character">
    <w:name w:val="Основной текст с отступом 22"/>
    <w:basedOn w:val="Style_10_ch"/>
    <w:link w:val="Style_980"/>
    <w:rPr>
      <w:rFonts w:ascii="Arial" w:hAnsi="Arial"/>
      <w:sz w:val="24"/>
    </w:rPr>
  </w:style>
  <w:style w:styleId="Style_981" w:type="paragraph">
    <w:name w:val="xl173"/>
    <w:basedOn w:val="Style_10"/>
    <w:link w:val="Style_981_ch"/>
    <w:pPr>
      <w:spacing w:after="280" w:before="280" w:line="240" w:lineRule="auto"/>
      <w:ind/>
      <w:jc w:val="center"/>
    </w:pPr>
    <w:rPr>
      <w:sz w:val="24"/>
    </w:rPr>
  </w:style>
  <w:style w:styleId="Style_981_ch" w:type="character">
    <w:name w:val="xl173"/>
    <w:basedOn w:val="Style_10_ch"/>
    <w:link w:val="Style_981"/>
    <w:rPr>
      <w:sz w:val="24"/>
    </w:rPr>
  </w:style>
  <w:style w:styleId="Style_982" w:type="paragraph">
    <w:name w:val="apple-style-span"/>
    <w:link w:val="Style_982_ch"/>
  </w:style>
  <w:style w:styleId="Style_982_ch" w:type="character">
    <w:name w:val="apple-style-span"/>
    <w:link w:val="Style_982"/>
  </w:style>
  <w:style w:styleId="Style_983" w:type="paragraph">
    <w:name w:val="WW-Absatz-Standardschriftart11111111111111111"/>
    <w:link w:val="Style_983_ch"/>
  </w:style>
  <w:style w:styleId="Style_983_ch" w:type="character">
    <w:name w:val="WW-Absatz-Standardschriftart11111111111111111"/>
    <w:link w:val="Style_983"/>
  </w:style>
  <w:style w:styleId="Style_984" w:type="paragraph">
    <w:name w:val="Font Style68"/>
    <w:link w:val="Style_984_ch"/>
    <w:rPr>
      <w:rFonts w:ascii="Trebuchet MS" w:hAnsi="Trebuchet MS"/>
      <w:sz w:val="32"/>
    </w:rPr>
  </w:style>
  <w:style w:styleId="Style_984_ch" w:type="character">
    <w:name w:val="Font Style68"/>
    <w:link w:val="Style_984"/>
    <w:rPr>
      <w:rFonts w:ascii="Trebuchet MS" w:hAnsi="Trebuchet MS"/>
      <w:sz w:val="32"/>
    </w:rPr>
  </w:style>
  <w:style w:styleId="Style_985" w:type="paragraph">
    <w:name w:val="Название1"/>
    <w:basedOn w:val="Style_10"/>
    <w:link w:val="Style_985_ch"/>
    <w:pPr>
      <w:widowControl w:val="0"/>
      <w:spacing w:after="120" w:before="120" w:line="240" w:lineRule="auto"/>
      <w:ind/>
    </w:pPr>
    <w:rPr>
      <w:rFonts w:ascii="Arial" w:hAnsi="Arial"/>
      <w:i w:val="1"/>
      <w:sz w:val="24"/>
    </w:rPr>
  </w:style>
  <w:style w:styleId="Style_985_ch" w:type="character">
    <w:name w:val="Название1"/>
    <w:basedOn w:val="Style_10_ch"/>
    <w:link w:val="Style_985"/>
    <w:rPr>
      <w:rFonts w:ascii="Arial" w:hAnsi="Arial"/>
      <w:i w:val="1"/>
      <w:sz w:val="24"/>
    </w:rPr>
  </w:style>
  <w:style w:styleId="Style_986" w:type="paragraph">
    <w:name w:val="WW8Num4z3"/>
    <w:link w:val="Style_986_ch"/>
    <w:rPr>
      <w:rFonts w:ascii="Symbol" w:hAnsi="Symbol"/>
    </w:rPr>
  </w:style>
  <w:style w:styleId="Style_986_ch" w:type="character">
    <w:name w:val="WW8Num4z3"/>
    <w:link w:val="Style_986"/>
    <w:rPr>
      <w:rFonts w:ascii="Symbol" w:hAnsi="Symbol"/>
    </w:rPr>
  </w:style>
  <w:style w:styleId="Style_987" w:type="paragraph">
    <w:name w:val="S_Обычный в таблице Знак"/>
    <w:link w:val="Style_987_ch"/>
    <w:rPr>
      <w:sz w:val="24"/>
    </w:rPr>
  </w:style>
  <w:style w:styleId="Style_987_ch" w:type="character">
    <w:name w:val="S_Обычный в таблице Знак"/>
    <w:link w:val="Style_987"/>
    <w:rPr>
      <w:sz w:val="24"/>
    </w:rPr>
  </w:style>
  <w:style w:styleId="Style_988" w:type="paragraph">
    <w:name w:val="font312"/>
    <w:link w:val="Style_988_ch"/>
    <w:rPr>
      <w:vertAlign w:val="superscript"/>
    </w:rPr>
  </w:style>
  <w:style w:styleId="Style_988_ch" w:type="character">
    <w:name w:val="font312"/>
    <w:link w:val="Style_988"/>
    <w:rPr>
      <w:vertAlign w:val="superscript"/>
    </w:rPr>
  </w:style>
  <w:style w:styleId="Style_989" w:type="paragraph">
    <w:name w:val="xl108"/>
    <w:basedOn w:val="Style_10"/>
    <w:link w:val="Style_989_ch"/>
    <w:pPr>
      <w:spacing w:afterAutospacing="on" w:beforeAutospacing="on" w:line="240" w:lineRule="auto"/>
      <w:ind/>
      <w:jc w:val="center"/>
    </w:pPr>
    <w:rPr>
      <w:b w:val="1"/>
      <w:sz w:val="24"/>
    </w:rPr>
  </w:style>
  <w:style w:styleId="Style_989_ch" w:type="character">
    <w:name w:val="xl108"/>
    <w:basedOn w:val="Style_10_ch"/>
    <w:link w:val="Style_989"/>
    <w:rPr>
      <w:b w:val="1"/>
      <w:sz w:val="24"/>
    </w:rPr>
  </w:style>
  <w:style w:styleId="Style_990" w:type="paragraph">
    <w:name w:val="Основной"/>
    <w:basedOn w:val="Style_10"/>
    <w:link w:val="Style_990_ch"/>
    <w:pPr>
      <w:widowControl w:val="0"/>
      <w:spacing w:after="0" w:line="240" w:lineRule="auto"/>
      <w:ind w:firstLine="709" w:left="0"/>
      <w:jc w:val="both"/>
    </w:pPr>
    <w:rPr>
      <w:sz w:val="28"/>
    </w:rPr>
  </w:style>
  <w:style w:styleId="Style_990_ch" w:type="character">
    <w:name w:val="Основной"/>
    <w:basedOn w:val="Style_10_ch"/>
    <w:link w:val="Style_990"/>
    <w:rPr>
      <w:sz w:val="28"/>
    </w:rPr>
  </w:style>
  <w:style w:styleId="Style_991" w:type="paragraph">
    <w:name w:val="WW-Absatz-Standardschriftart11111111111111111111111"/>
    <w:link w:val="Style_991_ch"/>
  </w:style>
  <w:style w:styleId="Style_991_ch" w:type="character">
    <w:name w:val="WW-Absatz-Standardschriftart11111111111111111111111"/>
    <w:link w:val="Style_991"/>
  </w:style>
  <w:style w:styleId="Style_992" w:type="paragraph">
    <w:name w:val="sdfootnote-western"/>
    <w:basedOn w:val="Style_10"/>
    <w:link w:val="Style_992_ch"/>
    <w:pPr>
      <w:spacing w:after="0" w:before="280" w:line="240" w:lineRule="auto"/>
      <w:ind/>
    </w:pPr>
    <w:rPr>
      <w:sz w:val="20"/>
    </w:rPr>
  </w:style>
  <w:style w:styleId="Style_992_ch" w:type="character">
    <w:name w:val="sdfootnote-western"/>
    <w:basedOn w:val="Style_10_ch"/>
    <w:link w:val="Style_992"/>
    <w:rPr>
      <w:sz w:val="20"/>
    </w:rPr>
  </w:style>
  <w:style w:styleId="Style_993" w:type="paragraph">
    <w:name w:val="Style101"/>
    <w:basedOn w:val="Style_10"/>
    <w:link w:val="Style_993_ch"/>
    <w:pPr>
      <w:widowControl w:val="0"/>
      <w:spacing w:after="0" w:line="250" w:lineRule="exact"/>
      <w:ind w:firstLine="427" w:left="0"/>
      <w:jc w:val="both"/>
    </w:pPr>
    <w:rPr>
      <w:sz w:val="24"/>
    </w:rPr>
  </w:style>
  <w:style w:styleId="Style_993_ch" w:type="character">
    <w:name w:val="Style101"/>
    <w:basedOn w:val="Style_10_ch"/>
    <w:link w:val="Style_993"/>
    <w:rPr>
      <w:sz w:val="24"/>
    </w:rPr>
  </w:style>
  <w:style w:styleId="Style_994" w:type="paragraph">
    <w:name w:val="Font Style23"/>
    <w:link w:val="Style_994_ch"/>
    <w:rPr>
      <w:rFonts w:ascii="Bookman Old Style" w:hAnsi="Bookman Old Style"/>
      <w:b w:val="1"/>
      <w:sz w:val="16"/>
    </w:rPr>
  </w:style>
  <w:style w:styleId="Style_994_ch" w:type="character">
    <w:name w:val="Font Style23"/>
    <w:link w:val="Style_994"/>
    <w:rPr>
      <w:rFonts w:ascii="Bookman Old Style" w:hAnsi="Bookman Old Style"/>
      <w:b w:val="1"/>
      <w:sz w:val="16"/>
    </w:rPr>
  </w:style>
  <w:style w:styleId="Style_995" w:type="paragraph">
    <w:name w:val="Нижний колонтитул Знак1"/>
    <w:link w:val="Style_995_ch"/>
  </w:style>
  <w:style w:styleId="Style_995_ch" w:type="character">
    <w:name w:val="Нижний колонтитул Знак1"/>
    <w:link w:val="Style_995"/>
  </w:style>
  <w:style w:styleId="Style_996" w:type="paragraph">
    <w:name w:val="plainlinksneverexpand1"/>
    <w:link w:val="Style_996_ch"/>
  </w:style>
  <w:style w:styleId="Style_996_ch" w:type="character">
    <w:name w:val="plainlinksneverexpand1"/>
    <w:link w:val="Style_996"/>
  </w:style>
  <w:style w:styleId="Style_997" w:type="paragraph">
    <w:name w:val="WW8Num5z0"/>
    <w:link w:val="Style_997_ch"/>
  </w:style>
  <w:style w:styleId="Style_997_ch" w:type="character">
    <w:name w:val="WW8Num5z0"/>
    <w:link w:val="Style_997"/>
  </w:style>
  <w:style w:styleId="Style_998" w:type="paragraph">
    <w:name w:val="Style69"/>
    <w:basedOn w:val="Style_10"/>
    <w:link w:val="Style_998_ch"/>
    <w:pPr>
      <w:widowControl w:val="0"/>
      <w:spacing w:after="0" w:line="235" w:lineRule="exact"/>
      <w:ind/>
      <w:jc w:val="right"/>
    </w:pPr>
    <w:rPr>
      <w:sz w:val="24"/>
    </w:rPr>
  </w:style>
  <w:style w:styleId="Style_998_ch" w:type="character">
    <w:name w:val="Style69"/>
    <w:basedOn w:val="Style_10_ch"/>
    <w:link w:val="Style_998"/>
    <w:rPr>
      <w:sz w:val="24"/>
    </w:rPr>
  </w:style>
  <w:style w:styleId="Style_999" w:type="paragraph">
    <w:name w:val="xl128"/>
    <w:basedOn w:val="Style_10"/>
    <w:link w:val="Style_999_ch"/>
    <w:pPr>
      <w:spacing w:after="280" w:before="280" w:line="240" w:lineRule="auto"/>
      <w:ind/>
      <w:jc w:val="center"/>
    </w:pPr>
    <w:rPr>
      <w:sz w:val="18"/>
    </w:rPr>
  </w:style>
  <w:style w:styleId="Style_999_ch" w:type="character">
    <w:name w:val="xl128"/>
    <w:basedOn w:val="Style_10_ch"/>
    <w:link w:val="Style_999"/>
    <w:rPr>
      <w:sz w:val="18"/>
    </w:rPr>
  </w:style>
  <w:style w:styleId="Style_1000" w:type="paragraph">
    <w:name w:val="WW8Num52z4"/>
    <w:link w:val="Style_1000_ch"/>
    <w:rPr>
      <w:rFonts w:ascii="Courier New" w:hAnsi="Courier New"/>
    </w:rPr>
  </w:style>
  <w:style w:styleId="Style_1000_ch" w:type="character">
    <w:name w:val="WW8Num52z4"/>
    <w:link w:val="Style_1000"/>
    <w:rPr>
      <w:rFonts w:ascii="Courier New" w:hAnsi="Courier New"/>
    </w:rPr>
  </w:style>
  <w:style w:styleId="Style_1001" w:type="paragraph">
    <w:name w:val="WW8Num43z1"/>
    <w:link w:val="Style_1001_ch"/>
    <w:rPr>
      <w:rFonts w:ascii="Courier New" w:hAnsi="Courier New"/>
    </w:rPr>
  </w:style>
  <w:style w:styleId="Style_1001_ch" w:type="character">
    <w:name w:val="WW8Num43z1"/>
    <w:link w:val="Style_1001"/>
    <w:rPr>
      <w:rFonts w:ascii="Courier New" w:hAnsi="Courier New"/>
    </w:rPr>
  </w:style>
  <w:style w:styleId="Style_1002" w:type="paragraph">
    <w:name w:val="ConsNormal"/>
    <w:link w:val="Style_1002_ch"/>
    <w:pPr>
      <w:widowControl w:val="0"/>
      <w:ind w:firstLine="720" w:left="0"/>
    </w:pPr>
    <w:rPr>
      <w:rFonts w:ascii="Arial" w:hAnsi="Arial"/>
    </w:rPr>
  </w:style>
  <w:style w:styleId="Style_1002_ch" w:type="character">
    <w:name w:val="ConsNormal"/>
    <w:link w:val="Style_1002"/>
    <w:rPr>
      <w:rFonts w:ascii="Arial" w:hAnsi="Arial"/>
    </w:rPr>
  </w:style>
  <w:style w:styleId="Style_1003" w:type="paragraph">
    <w:name w:val="Font Style38"/>
    <w:link w:val="Style_1003_ch"/>
  </w:style>
  <w:style w:styleId="Style_1003_ch" w:type="character">
    <w:name w:val="Font Style38"/>
    <w:link w:val="Style_1003"/>
  </w:style>
  <w:style w:styleId="Style_1004" w:type="paragraph">
    <w:name w:val="список"/>
    <w:basedOn w:val="Style_10"/>
    <w:link w:val="Style_1004_ch"/>
    <w:pPr>
      <w:widowControl w:val="0"/>
      <w:tabs>
        <w:tab w:leader="none" w:pos="900" w:val="left"/>
      </w:tabs>
      <w:spacing w:after="0" w:line="360" w:lineRule="auto"/>
      <w:ind w:right="567"/>
      <w:jc w:val="both"/>
    </w:pPr>
    <w:rPr>
      <w:sz w:val="26"/>
    </w:rPr>
  </w:style>
  <w:style w:styleId="Style_1004_ch" w:type="character">
    <w:name w:val="список"/>
    <w:basedOn w:val="Style_10_ch"/>
    <w:link w:val="Style_1004"/>
    <w:rPr>
      <w:sz w:val="26"/>
    </w:rPr>
  </w:style>
  <w:style w:styleId="Style_1005" w:type="paragraph">
    <w:name w:val="Style24"/>
    <w:basedOn w:val="Style_10"/>
    <w:link w:val="Style_1005_ch"/>
    <w:pPr>
      <w:widowControl w:val="0"/>
      <w:spacing w:after="0" w:line="113" w:lineRule="exact"/>
      <w:ind/>
    </w:pPr>
    <w:rPr>
      <w:sz w:val="24"/>
    </w:rPr>
  </w:style>
  <w:style w:styleId="Style_1005_ch" w:type="character">
    <w:name w:val="Style24"/>
    <w:basedOn w:val="Style_10_ch"/>
    <w:link w:val="Style_1005"/>
    <w:rPr>
      <w:sz w:val="24"/>
    </w:rPr>
  </w:style>
  <w:style w:styleId="Style_1006" w:type="paragraph">
    <w:name w:val="ConsPlusNonformat"/>
    <w:link w:val="Style_1006_ch"/>
    <w:pPr>
      <w:widowControl w:val="0"/>
      <w:ind/>
    </w:pPr>
    <w:rPr>
      <w:rFonts w:ascii="Courier New" w:hAnsi="Courier New"/>
    </w:rPr>
  </w:style>
  <w:style w:styleId="Style_1006_ch" w:type="character">
    <w:name w:val="ConsPlusNonformat"/>
    <w:link w:val="Style_1006"/>
    <w:rPr>
      <w:rFonts w:ascii="Courier New" w:hAnsi="Courier New"/>
    </w:rPr>
  </w:style>
  <w:style w:styleId="Style_1007" w:type="paragraph">
    <w:name w:val="p16"/>
    <w:basedOn w:val="Style_10"/>
    <w:link w:val="Style_1007_ch"/>
    <w:pPr>
      <w:spacing w:afterAutospacing="on" w:beforeAutospacing="on" w:line="240" w:lineRule="auto"/>
      <w:ind/>
    </w:pPr>
    <w:rPr>
      <w:sz w:val="24"/>
    </w:rPr>
  </w:style>
  <w:style w:styleId="Style_1007_ch" w:type="character">
    <w:name w:val="p16"/>
    <w:basedOn w:val="Style_10_ch"/>
    <w:link w:val="Style_1007"/>
    <w:rPr>
      <w:sz w:val="24"/>
    </w:rPr>
  </w:style>
  <w:style w:styleId="Style_1008" w:type="paragraph">
    <w:name w:val="Текст примечания Знак"/>
    <w:link w:val="Style_1008_ch"/>
  </w:style>
  <w:style w:styleId="Style_1008_ch" w:type="character">
    <w:name w:val="Текст примечания Знак"/>
    <w:link w:val="Style_1008"/>
  </w:style>
  <w:style w:styleId="Style_1009" w:type="paragraph">
    <w:name w:val="Стиль Основной текст отчета 12 Arial"/>
    <w:basedOn w:val="Style_74"/>
    <w:link w:val="Style_1009_ch"/>
    <w:pPr>
      <w:spacing w:after="0" w:line="100" w:lineRule="atLeast"/>
      <w:ind w:firstLine="709" w:left="0"/>
      <w:jc w:val="both"/>
    </w:pPr>
    <w:rPr>
      <w:sz w:val="24"/>
    </w:rPr>
  </w:style>
  <w:style w:styleId="Style_1009_ch" w:type="character">
    <w:name w:val="Стиль Основной текст отчета 12 Arial"/>
    <w:basedOn w:val="Style_74_ch"/>
    <w:link w:val="Style_1009"/>
    <w:rPr>
      <w:sz w:val="24"/>
    </w:rPr>
  </w:style>
  <w:style w:styleId="Style_1010" w:type="paragraph">
    <w:name w:val="Style121"/>
    <w:basedOn w:val="Style_10"/>
    <w:link w:val="Style_1010_ch"/>
    <w:pPr>
      <w:widowControl w:val="0"/>
      <w:spacing w:after="0" w:line="240" w:lineRule="auto"/>
      <w:ind/>
    </w:pPr>
    <w:rPr>
      <w:sz w:val="24"/>
    </w:rPr>
  </w:style>
  <w:style w:styleId="Style_1010_ch" w:type="character">
    <w:name w:val="Style121"/>
    <w:basedOn w:val="Style_10_ch"/>
    <w:link w:val="Style_1010"/>
    <w:rPr>
      <w:sz w:val="24"/>
    </w:rPr>
  </w:style>
  <w:style w:styleId="Style_1011" w:type="paragraph">
    <w:name w:val="Font Style87"/>
    <w:link w:val="Style_1011_ch"/>
    <w:rPr>
      <w:rFonts w:ascii="Candara" w:hAnsi="Candara"/>
      <w:b w:val="1"/>
      <w:spacing w:val="-10"/>
      <w:sz w:val="18"/>
    </w:rPr>
  </w:style>
  <w:style w:styleId="Style_1011_ch" w:type="character">
    <w:name w:val="Font Style87"/>
    <w:link w:val="Style_1011"/>
    <w:rPr>
      <w:rFonts w:ascii="Candara" w:hAnsi="Candara"/>
      <w:b w:val="1"/>
      <w:spacing w:val="-10"/>
      <w:sz w:val="18"/>
    </w:rPr>
  </w:style>
  <w:style w:styleId="Style_1012" w:type="paragraph">
    <w:name w:val="ConsNonformat"/>
    <w:link w:val="Style_1012_ch"/>
    <w:pPr>
      <w:ind w:right="19772"/>
    </w:pPr>
    <w:rPr>
      <w:rFonts w:ascii="Courier New" w:hAnsi="Courier New"/>
      <w:sz w:val="16"/>
    </w:rPr>
  </w:style>
  <w:style w:styleId="Style_1012_ch" w:type="character">
    <w:name w:val="ConsNonformat"/>
    <w:link w:val="Style_1012"/>
    <w:rPr>
      <w:rFonts w:ascii="Courier New" w:hAnsi="Courier New"/>
      <w:sz w:val="16"/>
    </w:rPr>
  </w:style>
  <w:style w:styleId="Style_1013" w:type="paragraph">
    <w:name w:val="Font Style55"/>
    <w:link w:val="Style_1013_ch"/>
    <w:rPr>
      <w:b w:val="1"/>
      <w:smallCaps w:val="1"/>
    </w:rPr>
  </w:style>
  <w:style w:styleId="Style_1013_ch" w:type="character">
    <w:name w:val="Font Style55"/>
    <w:link w:val="Style_1013"/>
    <w:rPr>
      <w:b w:val="1"/>
      <w:smallCaps w:val="1"/>
    </w:rPr>
  </w:style>
  <w:style w:styleId="Style_1014" w:type="paragraph">
    <w:name w:val="Обычный_IG Знак Знак Знак Знак"/>
    <w:basedOn w:val="Style_10"/>
    <w:link w:val="Style_1014_ch"/>
    <w:pPr>
      <w:spacing w:after="0" w:line="360" w:lineRule="auto"/>
      <w:ind w:firstLine="709" w:left="0"/>
      <w:jc w:val="both"/>
    </w:pPr>
    <w:rPr>
      <w:rFonts w:ascii="Arial" w:hAnsi="Arial"/>
      <w:sz w:val="28"/>
    </w:rPr>
  </w:style>
  <w:style w:styleId="Style_1014_ch" w:type="character">
    <w:name w:val="Обычный_IG Знак Знак Знак Знак"/>
    <w:basedOn w:val="Style_10_ch"/>
    <w:link w:val="Style_1014"/>
    <w:rPr>
      <w:rFonts w:ascii="Arial" w:hAnsi="Arial"/>
      <w:sz w:val="28"/>
    </w:rPr>
  </w:style>
  <w:style w:styleId="Style_1015" w:type="paragraph">
    <w:name w:val="WW-WW8Num36z1"/>
    <w:link w:val="Style_1015_ch"/>
    <w:rPr>
      <w:rFonts w:ascii="Wingdings 2" w:hAnsi="Wingdings 2"/>
      <w:sz w:val="18"/>
    </w:rPr>
  </w:style>
  <w:style w:styleId="Style_1015_ch" w:type="character">
    <w:name w:val="WW-WW8Num36z1"/>
    <w:link w:val="Style_1015"/>
    <w:rPr>
      <w:rFonts w:ascii="Wingdings 2" w:hAnsi="Wingdings 2"/>
      <w:sz w:val="18"/>
    </w:rPr>
  </w:style>
  <w:style w:styleId="Style_1016" w:type="paragraph">
    <w:name w:val="заголовок 1"/>
    <w:basedOn w:val="Style_10"/>
    <w:next w:val="Style_10"/>
    <w:link w:val="Style_1016_ch"/>
    <w:pPr>
      <w:keepNext w:val="1"/>
      <w:spacing w:after="0" w:line="240" w:lineRule="auto"/>
      <w:ind/>
      <w:jc w:val="center"/>
    </w:pPr>
    <w:rPr>
      <w:b w:val="1"/>
      <w:sz w:val="28"/>
    </w:rPr>
  </w:style>
  <w:style w:styleId="Style_1016_ch" w:type="character">
    <w:name w:val="заголовок 1"/>
    <w:basedOn w:val="Style_10_ch"/>
    <w:link w:val="Style_1016"/>
    <w:rPr>
      <w:b w:val="1"/>
      <w:sz w:val="28"/>
    </w:rPr>
  </w:style>
  <w:style w:styleId="Style_1017" w:type="paragraph">
    <w:name w:val="annotation subject"/>
    <w:basedOn w:val="Style_562"/>
    <w:next w:val="Style_562"/>
    <w:link w:val="Style_1017_ch"/>
    <w:rPr>
      <w:b w:val="1"/>
    </w:rPr>
  </w:style>
  <w:style w:styleId="Style_1017_ch" w:type="character">
    <w:name w:val="annotation subject"/>
    <w:basedOn w:val="Style_562_ch"/>
    <w:link w:val="Style_1017"/>
    <w:rPr>
      <w:b w:val="1"/>
    </w:rPr>
  </w:style>
  <w:style w:styleId="Style_1018" w:type="paragraph">
    <w:name w:val="WW8Num2z1"/>
    <w:link w:val="Style_1018_ch"/>
    <w:rPr>
      <w:rFonts w:ascii="Courier New" w:hAnsi="Courier New"/>
    </w:rPr>
  </w:style>
  <w:style w:styleId="Style_1018_ch" w:type="character">
    <w:name w:val="WW8Num2z1"/>
    <w:link w:val="Style_1018"/>
    <w:rPr>
      <w:rFonts w:ascii="Courier New" w:hAnsi="Courier New"/>
    </w:rPr>
  </w:style>
  <w:style w:styleId="Style_1019" w:type="paragraph">
    <w:name w:val="WW8Num4z1"/>
    <w:link w:val="Style_1019_ch"/>
    <w:rPr>
      <w:rFonts w:ascii="Courier New" w:hAnsi="Courier New"/>
    </w:rPr>
  </w:style>
  <w:style w:styleId="Style_1019_ch" w:type="character">
    <w:name w:val="WW8Num4z1"/>
    <w:link w:val="Style_1019"/>
    <w:rPr>
      <w:rFonts w:ascii="Courier New" w:hAnsi="Courier New"/>
    </w:rPr>
  </w:style>
  <w:style w:styleId="Style_1020" w:type="paragraph">
    <w:name w:val="WW8Num66z2"/>
    <w:link w:val="Style_1020_ch"/>
    <w:rPr>
      <w:rFonts w:ascii="Wingdings" w:hAnsi="Wingdings"/>
    </w:rPr>
  </w:style>
  <w:style w:styleId="Style_1020_ch" w:type="character">
    <w:name w:val="WW8Num66z2"/>
    <w:link w:val="Style_1020"/>
    <w:rPr>
      <w:rFonts w:ascii="Wingdings" w:hAnsi="Wingdings"/>
    </w:rPr>
  </w:style>
  <w:style w:styleId="Style_1021" w:type="paragraph">
    <w:name w:val="centertext"/>
    <w:basedOn w:val="Style_10"/>
    <w:link w:val="Style_1021_ch"/>
    <w:pPr>
      <w:spacing w:after="0" w:line="360" w:lineRule="atLeast"/>
      <w:ind w:firstLine="709" w:left="0"/>
      <w:jc w:val="center"/>
    </w:pPr>
    <w:rPr>
      <w:rFonts w:ascii="Arial" w:hAnsi="Arial"/>
      <w:color w:val="202020"/>
      <w:sz w:val="20"/>
    </w:rPr>
  </w:style>
  <w:style w:styleId="Style_1021_ch" w:type="character">
    <w:name w:val="centertext"/>
    <w:basedOn w:val="Style_10_ch"/>
    <w:link w:val="Style_1021"/>
    <w:rPr>
      <w:rFonts w:ascii="Arial" w:hAnsi="Arial"/>
      <w:color w:val="202020"/>
      <w:sz w:val="20"/>
    </w:rPr>
  </w:style>
  <w:style w:styleId="Style_1022" w:type="paragraph">
    <w:name w:val="WW-Absatz-Standardschriftart1111111111111111111111"/>
    <w:link w:val="Style_1022_ch"/>
  </w:style>
  <w:style w:styleId="Style_1022_ch" w:type="character">
    <w:name w:val="WW-Absatz-Standardschriftart1111111111111111111111"/>
    <w:link w:val="Style_1022"/>
  </w:style>
  <w:style w:styleId="Style_1023" w:type="paragraph">
    <w:name w:val="WW-WW8Num33z0"/>
    <w:link w:val="Style_1023_ch"/>
    <w:rPr>
      <w:rFonts w:ascii="Courier New" w:hAnsi="Courier New"/>
    </w:rPr>
  </w:style>
  <w:style w:styleId="Style_1023_ch" w:type="character">
    <w:name w:val="WW-WW8Num33z0"/>
    <w:link w:val="Style_1023"/>
    <w:rPr>
      <w:rFonts w:ascii="Courier New" w:hAnsi="Courier New"/>
    </w:rPr>
  </w:style>
  <w:style w:styleId="Style_1024" w:type="paragraph">
    <w:name w:val="WW8Num52z3"/>
    <w:link w:val="Style_1024_ch"/>
    <w:rPr>
      <w:rFonts w:ascii="Symbol" w:hAnsi="Symbol"/>
    </w:rPr>
  </w:style>
  <w:style w:styleId="Style_1024_ch" w:type="character">
    <w:name w:val="WW8Num52z3"/>
    <w:link w:val="Style_1024"/>
    <w:rPr>
      <w:rFonts w:ascii="Symbol" w:hAnsi="Symbol"/>
    </w:rPr>
  </w:style>
  <w:style w:styleId="Style_1025" w:type="paragraph">
    <w:name w:val="WW-WW8Num8z01"/>
    <w:link w:val="Style_1025_ch"/>
    <w:rPr>
      <w:rFonts w:ascii="Symbol" w:hAnsi="Symbol"/>
      <w:sz w:val="18"/>
    </w:rPr>
  </w:style>
  <w:style w:styleId="Style_1025_ch" w:type="character">
    <w:name w:val="WW-WW8Num8z01"/>
    <w:link w:val="Style_1025"/>
    <w:rPr>
      <w:rFonts w:ascii="Symbol" w:hAnsi="Symbol"/>
      <w:sz w:val="18"/>
    </w:rPr>
  </w:style>
  <w:style w:styleId="Style_1026" w:type="paragraph">
    <w:name w:val="WW-?????????? ???????"/>
    <w:basedOn w:val="Style_10"/>
    <w:link w:val="Style_1026_ch"/>
    <w:pPr>
      <w:widowControl w:val="0"/>
      <w:spacing w:after="0" w:line="240" w:lineRule="auto"/>
      <w:ind/>
    </w:pPr>
    <w:rPr>
      <w:sz w:val="24"/>
    </w:rPr>
  </w:style>
  <w:style w:styleId="Style_1026_ch" w:type="character">
    <w:name w:val="WW-?????????? ???????"/>
    <w:basedOn w:val="Style_10_ch"/>
    <w:link w:val="Style_1026"/>
    <w:rPr>
      <w:sz w:val="24"/>
    </w:rPr>
  </w:style>
  <w:style w:styleId="Style_1027" w:type="paragraph">
    <w:name w:val="Font Style166"/>
    <w:link w:val="Style_1027_ch"/>
    <w:rPr>
      <w:rFonts w:ascii="Arial" w:hAnsi="Arial"/>
      <w:sz w:val="22"/>
    </w:rPr>
  </w:style>
  <w:style w:styleId="Style_1027_ch" w:type="character">
    <w:name w:val="Font Style166"/>
    <w:link w:val="Style_1027"/>
    <w:rPr>
      <w:rFonts w:ascii="Arial" w:hAnsi="Arial"/>
      <w:sz w:val="22"/>
    </w:rPr>
  </w:style>
  <w:style w:styleId="Style_1028" w:type="paragraph">
    <w:name w:val="WW8Num39z1"/>
    <w:link w:val="Style_1028_ch"/>
    <w:rPr>
      <w:rFonts w:ascii="Courier New" w:hAnsi="Courier New"/>
    </w:rPr>
  </w:style>
  <w:style w:styleId="Style_1028_ch" w:type="character">
    <w:name w:val="WW8Num39z1"/>
    <w:link w:val="Style_1028"/>
    <w:rPr>
      <w:rFonts w:ascii="Courier New" w:hAnsi="Courier New"/>
    </w:rPr>
  </w:style>
  <w:style w:styleId="Style_1029" w:type="paragraph">
    <w:name w:val="WW-Символы концевой сноски1"/>
    <w:link w:val="Style_1029_ch"/>
    <w:rPr>
      <w:vertAlign w:val="superscript"/>
    </w:rPr>
  </w:style>
  <w:style w:styleId="Style_1029_ch" w:type="character">
    <w:name w:val="WW-Символы концевой сноски1"/>
    <w:link w:val="Style_1029"/>
    <w:rPr>
      <w:vertAlign w:val="superscript"/>
    </w:rPr>
  </w:style>
  <w:style w:styleId="Style_1030" w:type="paragraph">
    <w:name w:val="Style17"/>
    <w:basedOn w:val="Style_10"/>
    <w:link w:val="Style_1030_ch"/>
    <w:pPr>
      <w:widowControl w:val="0"/>
      <w:spacing w:after="0" w:line="299" w:lineRule="exact"/>
      <w:ind/>
      <w:jc w:val="both"/>
    </w:pPr>
    <w:rPr>
      <w:sz w:val="24"/>
    </w:rPr>
  </w:style>
  <w:style w:styleId="Style_1030_ch" w:type="character">
    <w:name w:val="Style17"/>
    <w:basedOn w:val="Style_10_ch"/>
    <w:link w:val="Style_1030"/>
    <w:rPr>
      <w:sz w:val="24"/>
    </w:rPr>
  </w:style>
  <w:style w:styleId="Style_1031" w:type="paragraph">
    <w:name w:val="xl77"/>
    <w:basedOn w:val="Style_10"/>
    <w:link w:val="Style_1031_ch"/>
    <w:pPr>
      <w:spacing w:afterAutospacing="on" w:beforeAutospacing="on" w:line="240" w:lineRule="auto"/>
      <w:ind/>
      <w:jc w:val="center"/>
    </w:pPr>
    <w:rPr>
      <w:sz w:val="26"/>
    </w:rPr>
  </w:style>
  <w:style w:styleId="Style_1031_ch" w:type="character">
    <w:name w:val="xl77"/>
    <w:basedOn w:val="Style_10_ch"/>
    <w:link w:val="Style_1031"/>
    <w:rPr>
      <w:sz w:val="26"/>
    </w:rPr>
  </w:style>
  <w:style w:styleId="Style_1032" w:type="paragraph">
    <w:name w:val="WW8Num44z2"/>
    <w:link w:val="Style_1032_ch"/>
    <w:rPr>
      <w:rFonts w:ascii="Wingdings" w:hAnsi="Wingdings"/>
    </w:rPr>
  </w:style>
  <w:style w:styleId="Style_1032_ch" w:type="character">
    <w:name w:val="WW8Num44z2"/>
    <w:link w:val="Style_1032"/>
    <w:rPr>
      <w:rFonts w:ascii="Wingdings" w:hAnsi="Wingdings"/>
    </w:rPr>
  </w:style>
  <w:style w:styleId="Style_1033" w:type="paragraph">
    <w:name w:val="WW-WW8Num12z0"/>
    <w:link w:val="Style_1033_ch"/>
    <w:rPr>
      <w:rFonts w:ascii="Courier New" w:hAnsi="Courier New"/>
    </w:rPr>
  </w:style>
  <w:style w:styleId="Style_1033_ch" w:type="character">
    <w:name w:val="WW-WW8Num12z0"/>
    <w:link w:val="Style_1033"/>
    <w:rPr>
      <w:rFonts w:ascii="Courier New" w:hAnsi="Courier New"/>
    </w:rPr>
  </w:style>
  <w:style w:styleId="Style_1034" w:type="paragraph">
    <w:name w:val="Нижний колонтитул1"/>
    <w:link w:val="Style_1034_ch"/>
  </w:style>
  <w:style w:styleId="Style_1034_ch" w:type="character">
    <w:name w:val="Нижний колонтитул1"/>
    <w:link w:val="Style_1034"/>
  </w:style>
  <w:style w:styleId="Style_1035" w:type="paragraph">
    <w:name w:val="???????? ????? ? ???????? 31"/>
    <w:basedOn w:val="Style_10"/>
    <w:link w:val="Style_1035_ch"/>
    <w:pPr>
      <w:widowControl w:val="0"/>
      <w:spacing w:after="0" w:line="240" w:lineRule="auto"/>
      <w:ind w:hanging="142" w:left="1276"/>
      <w:jc w:val="both"/>
    </w:pPr>
    <w:rPr>
      <w:sz w:val="28"/>
    </w:rPr>
  </w:style>
  <w:style w:styleId="Style_1035_ch" w:type="character">
    <w:name w:val="???????? ????? ? ???????? 31"/>
    <w:basedOn w:val="Style_10_ch"/>
    <w:link w:val="Style_1035"/>
    <w:rPr>
      <w:sz w:val="28"/>
    </w:rPr>
  </w:style>
  <w:style w:styleId="Style_1036" w:type="paragraph">
    <w:name w:val="Символ сноски"/>
    <w:link w:val="Style_1036_ch"/>
    <w:rPr>
      <w:vertAlign w:val="superscript"/>
    </w:rPr>
  </w:style>
  <w:style w:styleId="Style_1036_ch" w:type="character">
    <w:name w:val="Символ сноски"/>
    <w:link w:val="Style_1036"/>
    <w:rPr>
      <w:vertAlign w:val="superscript"/>
    </w:rPr>
  </w:style>
  <w:style w:styleId="Style_1037" w:type="paragraph">
    <w:name w:val="xl171"/>
    <w:basedOn w:val="Style_10"/>
    <w:link w:val="Style_1037_ch"/>
    <w:pPr>
      <w:spacing w:after="280" w:before="280" w:line="240" w:lineRule="auto"/>
      <w:ind/>
      <w:jc w:val="center"/>
    </w:pPr>
    <w:rPr>
      <w:sz w:val="24"/>
    </w:rPr>
  </w:style>
  <w:style w:styleId="Style_1037_ch" w:type="character">
    <w:name w:val="xl171"/>
    <w:basedOn w:val="Style_10_ch"/>
    <w:link w:val="Style_1037"/>
    <w:rPr>
      <w:sz w:val="24"/>
    </w:rPr>
  </w:style>
  <w:style w:styleId="Style_1038" w:type="paragraph">
    <w:name w:val="осн.текст 12"/>
    <w:basedOn w:val="Style_10"/>
    <w:link w:val="Style_1038_ch"/>
    <w:pPr>
      <w:spacing w:after="120" w:line="360" w:lineRule="atLeast"/>
      <w:ind w:firstLine="851" w:left="0"/>
      <w:jc w:val="both"/>
    </w:pPr>
    <w:rPr>
      <w:rFonts w:ascii="Arial" w:hAnsi="Arial"/>
      <w:sz w:val="24"/>
    </w:rPr>
  </w:style>
  <w:style w:styleId="Style_1038_ch" w:type="character">
    <w:name w:val="осн.текст 12"/>
    <w:basedOn w:val="Style_10_ch"/>
    <w:link w:val="Style_1038"/>
    <w:rPr>
      <w:rFonts w:ascii="Arial" w:hAnsi="Arial"/>
      <w:sz w:val="24"/>
    </w:rPr>
  </w:style>
  <w:style w:styleId="Style_1039" w:type="paragraph">
    <w:name w:val="WW8Num56z4"/>
    <w:link w:val="Style_1039_ch"/>
    <w:rPr>
      <w:rFonts w:ascii="Courier New" w:hAnsi="Courier New"/>
    </w:rPr>
  </w:style>
  <w:style w:styleId="Style_1039_ch" w:type="character">
    <w:name w:val="WW8Num56z4"/>
    <w:link w:val="Style_1039"/>
    <w:rPr>
      <w:rFonts w:ascii="Courier New" w:hAnsi="Courier New"/>
    </w:rPr>
  </w:style>
  <w:style w:styleId="Style_1040" w:type="paragraph">
    <w:name w:val="WW8Num16z3"/>
    <w:link w:val="Style_1040_ch"/>
    <w:rPr>
      <w:rFonts w:ascii="Symbol" w:hAnsi="Symbol"/>
    </w:rPr>
  </w:style>
  <w:style w:styleId="Style_1040_ch" w:type="character">
    <w:name w:val="WW8Num16z3"/>
    <w:link w:val="Style_1040"/>
    <w:rPr>
      <w:rFonts w:ascii="Symbol" w:hAnsi="Symbol"/>
    </w:rPr>
  </w:style>
  <w:style w:styleId="Style_1041" w:type="paragraph">
    <w:name w:val="xl130"/>
    <w:basedOn w:val="Style_10"/>
    <w:link w:val="Style_1041_ch"/>
    <w:pPr>
      <w:spacing w:after="280" w:before="280" w:line="240" w:lineRule="auto"/>
      <w:ind/>
      <w:jc w:val="center"/>
    </w:pPr>
    <w:rPr>
      <w:sz w:val="24"/>
    </w:rPr>
  </w:style>
  <w:style w:styleId="Style_1041_ch" w:type="character">
    <w:name w:val="xl130"/>
    <w:basedOn w:val="Style_10_ch"/>
    <w:link w:val="Style_1041"/>
    <w:rPr>
      <w:sz w:val="24"/>
    </w:rPr>
  </w:style>
  <w:style w:styleId="Style_1042" w:type="paragraph">
    <w:name w:val="Знак Знак"/>
    <w:link w:val="Style_1042_ch"/>
  </w:style>
  <w:style w:styleId="Style_1042_ch" w:type="character">
    <w:name w:val="Знак Знак"/>
    <w:link w:val="Style_1042"/>
  </w:style>
  <w:style w:styleId="Style_1043" w:type="paragraph">
    <w:name w:val="Style71"/>
    <w:basedOn w:val="Style_10"/>
    <w:link w:val="Style_1043_ch"/>
    <w:pPr>
      <w:widowControl w:val="0"/>
      <w:spacing w:after="0" w:line="370" w:lineRule="exact"/>
      <w:ind/>
      <w:jc w:val="right"/>
    </w:pPr>
    <w:rPr>
      <w:sz w:val="24"/>
    </w:rPr>
  </w:style>
  <w:style w:styleId="Style_1043_ch" w:type="character">
    <w:name w:val="Style71"/>
    <w:basedOn w:val="Style_10_ch"/>
    <w:link w:val="Style_1043"/>
    <w:rPr>
      <w:sz w:val="24"/>
    </w:rPr>
  </w:style>
  <w:style w:styleId="Style_1044" w:type="paragraph">
    <w:name w:val="Quote"/>
    <w:basedOn w:val="Style_10"/>
    <w:next w:val="Style_10"/>
    <w:link w:val="Style_1044_ch"/>
    <w:pPr>
      <w:spacing w:after="0" w:line="360" w:lineRule="atLeast"/>
      <w:ind/>
    </w:pPr>
    <w:rPr>
      <w:i w:val="1"/>
      <w:sz w:val="24"/>
    </w:rPr>
  </w:style>
  <w:style w:styleId="Style_1044_ch" w:type="character">
    <w:name w:val="Quote"/>
    <w:basedOn w:val="Style_10_ch"/>
    <w:link w:val="Style_1044"/>
    <w:rPr>
      <w:i w:val="1"/>
      <w:sz w:val="24"/>
    </w:rPr>
  </w:style>
  <w:style w:styleId="Style_1045" w:type="paragraph">
    <w:name w:val="Style3"/>
    <w:basedOn w:val="Style_10"/>
    <w:link w:val="Style_1045_ch"/>
    <w:pPr>
      <w:widowControl w:val="0"/>
      <w:spacing w:after="0" w:line="240" w:lineRule="auto"/>
      <w:ind/>
    </w:pPr>
    <w:rPr>
      <w:sz w:val="24"/>
    </w:rPr>
  </w:style>
  <w:style w:styleId="Style_1045_ch" w:type="character">
    <w:name w:val="Style3"/>
    <w:basedOn w:val="Style_10_ch"/>
    <w:link w:val="Style_1045"/>
    <w:rPr>
      <w:sz w:val="24"/>
    </w:rPr>
  </w:style>
  <w:style w:styleId="Style_1046" w:type="paragraph">
    <w:name w:val="default"/>
    <w:basedOn w:val="Style_10"/>
    <w:link w:val="Style_1046_ch"/>
    <w:pPr>
      <w:spacing w:afterAutospacing="on" w:beforeAutospacing="on" w:line="240" w:lineRule="auto"/>
      <w:ind/>
    </w:pPr>
    <w:rPr>
      <w:sz w:val="24"/>
    </w:rPr>
  </w:style>
  <w:style w:styleId="Style_1046_ch" w:type="character">
    <w:name w:val="default"/>
    <w:basedOn w:val="Style_10_ch"/>
    <w:link w:val="Style_1046"/>
    <w:rPr>
      <w:sz w:val="24"/>
    </w:rPr>
  </w:style>
  <w:style w:styleId="Style_1047" w:type="paragraph">
    <w:name w:val="заголовок 4"/>
    <w:basedOn w:val="Style_10"/>
    <w:link w:val="Style_1047_ch"/>
    <w:pPr>
      <w:spacing w:after="120" w:line="360" w:lineRule="atLeast"/>
      <w:ind w:firstLine="709" w:left="0"/>
      <w:jc w:val="both"/>
    </w:pPr>
    <w:rPr>
      <w:b w:val="1"/>
      <w:i w:val="1"/>
      <w:sz w:val="24"/>
    </w:rPr>
  </w:style>
  <w:style w:styleId="Style_1047_ch" w:type="character">
    <w:name w:val="заголовок 4"/>
    <w:basedOn w:val="Style_10_ch"/>
    <w:link w:val="Style_1047"/>
    <w:rPr>
      <w:b w:val="1"/>
      <w:i w:val="1"/>
      <w:sz w:val="24"/>
    </w:rPr>
  </w:style>
  <w:style w:styleId="Style_1048" w:type="paragraph">
    <w:name w:val="WW8Num46z4"/>
    <w:link w:val="Style_1048_ch"/>
    <w:rPr>
      <w:rFonts w:ascii="Courier New" w:hAnsi="Courier New"/>
    </w:rPr>
  </w:style>
  <w:style w:styleId="Style_1048_ch" w:type="character">
    <w:name w:val="WW8Num46z4"/>
    <w:link w:val="Style_1048"/>
    <w:rPr>
      <w:rFonts w:ascii="Courier New" w:hAnsi="Courier New"/>
    </w:rPr>
  </w:style>
  <w:style w:styleId="Style_1049" w:type="paragraph">
    <w:name w:val="Сильная ссылка1"/>
    <w:link w:val="Style_1049_ch"/>
    <w:rPr>
      <w:b w:val="1"/>
      <w:sz w:val="24"/>
      <w:u w:val="single"/>
    </w:rPr>
  </w:style>
  <w:style w:styleId="Style_1049_ch" w:type="character">
    <w:name w:val="Сильная ссылка1"/>
    <w:link w:val="Style_1049"/>
    <w:rPr>
      <w:b w:val="1"/>
      <w:sz w:val="24"/>
      <w:u w:val="single"/>
    </w:rPr>
  </w:style>
  <w:style w:styleId="Style_1050" w:type="paragraph">
    <w:name w:val="xl92"/>
    <w:basedOn w:val="Style_10"/>
    <w:link w:val="Style_1050_ch"/>
    <w:pPr>
      <w:spacing w:afterAutospacing="on" w:beforeAutospacing="on" w:line="240" w:lineRule="auto"/>
      <w:ind/>
      <w:jc w:val="center"/>
    </w:pPr>
    <w:rPr>
      <w:sz w:val="24"/>
    </w:rPr>
  </w:style>
  <w:style w:styleId="Style_1050_ch" w:type="character">
    <w:name w:val="xl92"/>
    <w:basedOn w:val="Style_10_ch"/>
    <w:link w:val="Style_1050"/>
    <w:rPr>
      <w:sz w:val="24"/>
    </w:rPr>
  </w:style>
  <w:style w:styleId="Style_8" w:type="paragraph">
    <w:name w:val="Normal (Web)"/>
    <w:basedOn w:val="Style_10"/>
    <w:link w:val="Style_8_ch"/>
    <w:pPr>
      <w:spacing w:afterAutospacing="on" w:beforeAutospacing="on" w:line="240" w:lineRule="auto"/>
      <w:ind/>
    </w:pPr>
    <w:rPr>
      <w:sz w:val="24"/>
    </w:rPr>
  </w:style>
  <w:style w:styleId="Style_8_ch" w:type="character">
    <w:name w:val="Normal (Web)"/>
    <w:basedOn w:val="Style_10_ch"/>
    <w:link w:val="Style_8"/>
    <w:rPr>
      <w:sz w:val="24"/>
    </w:rPr>
  </w:style>
  <w:style w:styleId="Style_1051" w:type="paragraph">
    <w:name w:val="WW8Num2z0"/>
    <w:link w:val="Style_1051_ch"/>
    <w:rPr>
      <w:rFonts w:ascii="Courier New" w:hAnsi="Courier New"/>
    </w:rPr>
  </w:style>
  <w:style w:styleId="Style_1051_ch" w:type="character">
    <w:name w:val="WW8Num2z0"/>
    <w:link w:val="Style_1051"/>
    <w:rPr>
      <w:rFonts w:ascii="Courier New" w:hAnsi="Courier New"/>
    </w:rPr>
  </w:style>
  <w:style w:styleId="Style_1052" w:type="paragraph">
    <w:name w:val="Обычный в таблице Знак"/>
    <w:link w:val="Style_1052_ch"/>
    <w:rPr>
      <w:sz w:val="24"/>
    </w:rPr>
  </w:style>
  <w:style w:styleId="Style_1052_ch" w:type="character">
    <w:name w:val="Обычный в таблице Знак"/>
    <w:link w:val="Style_1052"/>
    <w:rPr>
      <w:sz w:val="24"/>
    </w:rPr>
  </w:style>
  <w:style w:styleId="Style_1053" w:type="paragraph">
    <w:name w:val="font25"/>
    <w:basedOn w:val="Style_10"/>
    <w:link w:val="Style_1053_ch"/>
    <w:pPr>
      <w:spacing w:afterAutospacing="on" w:beforeAutospacing="on" w:line="240" w:lineRule="auto"/>
      <w:ind/>
    </w:pPr>
    <w:rPr>
      <w:b w:val="1"/>
      <w:color w:val="0000FF"/>
      <w:sz w:val="14"/>
    </w:rPr>
  </w:style>
  <w:style w:styleId="Style_1053_ch" w:type="character">
    <w:name w:val="font25"/>
    <w:basedOn w:val="Style_10_ch"/>
    <w:link w:val="Style_1053"/>
    <w:rPr>
      <w:b w:val="1"/>
      <w:color w:val="0000FF"/>
      <w:sz w:val="14"/>
    </w:rPr>
  </w:style>
  <w:style w:styleId="Style_1054" w:type="paragraph">
    <w:name w:val="WW-Основной текст 21"/>
    <w:basedOn w:val="Style_10"/>
    <w:link w:val="Style_1054_ch"/>
    <w:pPr>
      <w:widowControl w:val="0"/>
      <w:spacing w:after="120" w:line="480" w:lineRule="auto"/>
      <w:ind/>
    </w:pPr>
    <w:rPr>
      <w:sz w:val="24"/>
    </w:rPr>
  </w:style>
  <w:style w:styleId="Style_1054_ch" w:type="character">
    <w:name w:val="WW-Основной текст 21"/>
    <w:basedOn w:val="Style_10_ch"/>
    <w:link w:val="Style_1054"/>
    <w:rPr>
      <w:sz w:val="24"/>
    </w:rPr>
  </w:style>
  <w:style w:styleId="Style_1055" w:type="paragraph">
    <w:name w:val="WW8Num561z0"/>
    <w:link w:val="Style_1055_ch"/>
    <w:rPr>
      <w:rFonts w:ascii="Symbol" w:hAnsi="Symbol"/>
    </w:rPr>
  </w:style>
  <w:style w:styleId="Style_1055_ch" w:type="character">
    <w:name w:val="WW8Num561z0"/>
    <w:link w:val="Style_1055"/>
    <w:rPr>
      <w:rFonts w:ascii="Symbol" w:hAnsi="Symbol"/>
    </w:rPr>
  </w:style>
  <w:style w:styleId="Style_1056" w:type="paragraph">
    <w:name w:val="WW-WW8Num32z0"/>
    <w:link w:val="Style_1056_ch"/>
    <w:rPr>
      <w:rFonts w:ascii="Courier New" w:hAnsi="Courier New"/>
    </w:rPr>
  </w:style>
  <w:style w:styleId="Style_1056_ch" w:type="character">
    <w:name w:val="WW-WW8Num32z0"/>
    <w:link w:val="Style_1056"/>
    <w:rPr>
      <w:rFonts w:ascii="Courier New" w:hAnsi="Courier New"/>
    </w:rPr>
  </w:style>
  <w:style w:styleId="Style_1057" w:type="paragraph">
    <w:name w:val="xl140"/>
    <w:basedOn w:val="Style_10"/>
    <w:link w:val="Style_1057_ch"/>
    <w:pPr>
      <w:spacing w:after="280" w:before="280" w:line="240" w:lineRule="auto"/>
      <w:ind/>
      <w:jc w:val="center"/>
    </w:pPr>
    <w:rPr>
      <w:sz w:val="18"/>
    </w:rPr>
  </w:style>
  <w:style w:styleId="Style_1057_ch" w:type="character">
    <w:name w:val="xl140"/>
    <w:basedOn w:val="Style_10_ch"/>
    <w:link w:val="Style_1057"/>
    <w:rPr>
      <w:sz w:val="18"/>
    </w:rPr>
  </w:style>
  <w:style w:styleId="Style_1058" w:type="paragraph">
    <w:name w:val="xl62"/>
    <w:basedOn w:val="Style_10"/>
    <w:link w:val="Style_1058_ch"/>
    <w:pPr>
      <w:spacing w:after="280" w:before="280" w:line="360" w:lineRule="atLeast"/>
      <w:ind w:firstLine="709" w:left="0"/>
      <w:jc w:val="both"/>
    </w:pPr>
    <w:rPr>
      <w:sz w:val="24"/>
    </w:rPr>
  </w:style>
  <w:style w:styleId="Style_1058_ch" w:type="character">
    <w:name w:val="xl62"/>
    <w:basedOn w:val="Style_10_ch"/>
    <w:link w:val="Style_1058"/>
    <w:rPr>
      <w:sz w:val="24"/>
    </w:rPr>
  </w:style>
  <w:style w:styleId="Style_1059" w:type="paragraph">
    <w:name w:val="Style62"/>
    <w:basedOn w:val="Style_10"/>
    <w:link w:val="Style_1059_ch"/>
    <w:pPr>
      <w:widowControl w:val="0"/>
      <w:spacing w:after="0" w:line="240" w:lineRule="auto"/>
      <w:ind/>
    </w:pPr>
    <w:rPr>
      <w:sz w:val="24"/>
    </w:rPr>
  </w:style>
  <w:style w:styleId="Style_1059_ch" w:type="character">
    <w:name w:val="Style62"/>
    <w:basedOn w:val="Style_10_ch"/>
    <w:link w:val="Style_1059"/>
    <w:rPr>
      <w:sz w:val="24"/>
    </w:rPr>
  </w:style>
  <w:style w:styleId="Style_1060" w:type="paragraph">
    <w:name w:val="xl115"/>
    <w:basedOn w:val="Style_10"/>
    <w:link w:val="Style_1060_ch"/>
    <w:pPr>
      <w:spacing w:afterAutospacing="on" w:beforeAutospacing="on" w:line="240" w:lineRule="auto"/>
      <w:ind/>
      <w:jc w:val="center"/>
    </w:pPr>
    <w:rPr>
      <w:sz w:val="24"/>
    </w:rPr>
  </w:style>
  <w:style w:styleId="Style_1060_ch" w:type="character">
    <w:name w:val="xl115"/>
    <w:basedOn w:val="Style_10_ch"/>
    <w:link w:val="Style_1060"/>
    <w:rPr>
      <w:sz w:val="24"/>
    </w:rPr>
  </w:style>
  <w:style w:styleId="Style_1061" w:type="paragraph">
    <w:name w:val="Список 22"/>
    <w:basedOn w:val="Style_10"/>
    <w:link w:val="Style_1061_ch"/>
    <w:pPr>
      <w:spacing w:after="0" w:line="240" w:lineRule="auto"/>
      <w:ind w:hanging="283" w:left="566"/>
    </w:pPr>
    <w:rPr>
      <w:sz w:val="20"/>
    </w:rPr>
  </w:style>
  <w:style w:styleId="Style_1061_ch" w:type="character">
    <w:name w:val="Список 22"/>
    <w:basedOn w:val="Style_10_ch"/>
    <w:link w:val="Style_1061"/>
    <w:rPr>
      <w:sz w:val="20"/>
    </w:rPr>
  </w:style>
  <w:style w:styleId="Style_1062" w:type="paragraph">
    <w:name w:val="A_tabl_title"/>
    <w:basedOn w:val="Style_76"/>
    <w:link w:val="Style_1062_ch"/>
    <w:pPr>
      <w:keepNext w:val="1"/>
      <w:ind/>
    </w:pPr>
  </w:style>
  <w:style w:styleId="Style_1062_ch" w:type="character">
    <w:name w:val="A_tabl_title"/>
    <w:basedOn w:val="Style_76_ch"/>
    <w:link w:val="Style_1062"/>
  </w:style>
  <w:style w:styleId="Style_1063" w:type="paragraph">
    <w:name w:val="WW8NumSt10z0"/>
    <w:link w:val="Style_1063_ch"/>
  </w:style>
  <w:style w:styleId="Style_1063_ch" w:type="character">
    <w:name w:val="WW8NumSt10z0"/>
    <w:link w:val="Style_1063"/>
  </w:style>
  <w:style w:styleId="Style_1064" w:type="paragraph">
    <w:name w:val="WW8Num5z3"/>
    <w:link w:val="Style_1064_ch"/>
    <w:rPr>
      <w:rFonts w:ascii="Symbol" w:hAnsi="Symbol"/>
    </w:rPr>
  </w:style>
  <w:style w:styleId="Style_1064_ch" w:type="character">
    <w:name w:val="WW8Num5z3"/>
    <w:link w:val="Style_1064"/>
    <w:rPr>
      <w:rFonts w:ascii="Symbol" w:hAnsi="Symbol"/>
    </w:rPr>
  </w:style>
  <w:style w:styleId="Style_1065" w:type="paragraph">
    <w:name w:val="Font Style96"/>
    <w:link w:val="Style_1065_ch"/>
    <w:rPr>
      <w:sz w:val="46"/>
    </w:rPr>
  </w:style>
  <w:style w:styleId="Style_1065_ch" w:type="character">
    <w:name w:val="Font Style96"/>
    <w:link w:val="Style_1065"/>
    <w:rPr>
      <w:sz w:val="46"/>
    </w:rPr>
  </w:style>
  <w:style w:styleId="Style_1066" w:type="paragraph">
    <w:name w:val="УГТП-Номер тома"/>
    <w:basedOn w:val="Style_10"/>
    <w:link w:val="Style_1066_ch"/>
    <w:pPr>
      <w:spacing w:after="0" w:line="240" w:lineRule="auto"/>
      <w:ind/>
      <w:jc w:val="center"/>
    </w:pPr>
    <w:rPr>
      <w:rFonts w:ascii="Arial" w:hAnsi="Arial"/>
      <w:sz w:val="20"/>
    </w:rPr>
  </w:style>
  <w:style w:styleId="Style_1066_ch" w:type="character">
    <w:name w:val="УГТП-Номер тома"/>
    <w:basedOn w:val="Style_10_ch"/>
    <w:link w:val="Style_1066"/>
    <w:rPr>
      <w:rFonts w:ascii="Arial" w:hAnsi="Arial"/>
      <w:sz w:val="20"/>
    </w:rPr>
  </w:style>
  <w:style w:styleId="Style_1067" w:type="paragraph">
    <w:name w:val="xl74"/>
    <w:basedOn w:val="Style_10"/>
    <w:link w:val="Style_1067_ch"/>
    <w:pPr>
      <w:spacing w:afterAutospacing="on" w:beforeAutospacing="on" w:line="240" w:lineRule="auto"/>
      <w:ind/>
    </w:pPr>
    <w:rPr>
      <w:sz w:val="26"/>
    </w:rPr>
  </w:style>
  <w:style w:styleId="Style_1067_ch" w:type="character">
    <w:name w:val="xl74"/>
    <w:basedOn w:val="Style_10_ch"/>
    <w:link w:val="Style_1067"/>
    <w:rPr>
      <w:sz w:val="26"/>
    </w:rPr>
  </w:style>
  <w:style w:styleId="Style_1068" w:type="paragraph">
    <w:name w:val="a_Header"/>
    <w:basedOn w:val="Style_10"/>
    <w:link w:val="Style_1068_ch"/>
    <w:pPr>
      <w:tabs>
        <w:tab w:leader="none" w:pos="1985" w:val="left"/>
      </w:tabs>
      <w:spacing w:after="60" w:line="360" w:lineRule="atLeast"/>
      <w:ind/>
      <w:jc w:val="center"/>
    </w:pPr>
    <w:rPr>
      <w:rFonts w:ascii="Courier New" w:hAnsi="Courier New"/>
      <w:sz w:val="24"/>
    </w:rPr>
  </w:style>
  <w:style w:styleId="Style_1068_ch" w:type="character">
    <w:name w:val="a_Header"/>
    <w:basedOn w:val="Style_10_ch"/>
    <w:link w:val="Style_1068"/>
    <w:rPr>
      <w:rFonts w:ascii="Courier New" w:hAnsi="Courier New"/>
      <w:sz w:val="24"/>
    </w:rPr>
  </w:style>
  <w:style w:styleId="Style_1069" w:type="paragraph">
    <w:name w:val="maintitle"/>
    <w:basedOn w:val="Style_10"/>
    <w:link w:val="Style_1069_ch"/>
    <w:pPr>
      <w:spacing w:after="240" w:line="360" w:lineRule="atLeast"/>
      <w:ind w:firstLine="709" w:left="0"/>
      <w:jc w:val="center"/>
    </w:pPr>
    <w:rPr>
      <w:rFonts w:ascii="Arial" w:hAnsi="Arial"/>
      <w:b w:val="1"/>
      <w:color w:val="008866"/>
      <w:sz w:val="20"/>
    </w:rPr>
  </w:style>
  <w:style w:styleId="Style_1069_ch" w:type="character">
    <w:name w:val="maintitle"/>
    <w:basedOn w:val="Style_10_ch"/>
    <w:link w:val="Style_1069"/>
    <w:rPr>
      <w:rFonts w:ascii="Arial" w:hAnsi="Arial"/>
      <w:b w:val="1"/>
      <w:color w:val="008866"/>
      <w:sz w:val="20"/>
    </w:rPr>
  </w:style>
  <w:style w:styleId="Style_1070" w:type="paragraph">
    <w:name w:val="xl47"/>
    <w:basedOn w:val="Style_10"/>
    <w:link w:val="Style_1070_ch"/>
    <w:pPr>
      <w:spacing w:after="280" w:before="280" w:line="360" w:lineRule="atLeast"/>
      <w:ind w:firstLine="709" w:left="0"/>
      <w:jc w:val="both"/>
    </w:pPr>
    <w:rPr>
      <w:rFonts w:ascii="Arial" w:hAnsi="Arial"/>
      <w:sz w:val="24"/>
    </w:rPr>
  </w:style>
  <w:style w:styleId="Style_1070_ch" w:type="character">
    <w:name w:val="xl47"/>
    <w:basedOn w:val="Style_10_ch"/>
    <w:link w:val="Style_1070"/>
    <w:rPr>
      <w:rFonts w:ascii="Arial" w:hAnsi="Arial"/>
      <w:sz w:val="24"/>
    </w:rPr>
  </w:style>
  <w:style w:styleId="Style_1071" w:type="paragraph">
    <w:name w:val="Char Char Знак Знак1 Char Char1 Знак Знак Char Char"/>
    <w:basedOn w:val="Style_10"/>
    <w:link w:val="Style_1071_ch"/>
    <w:pPr>
      <w:spacing w:afterAutospacing="on" w:beforeAutospacing="on" w:line="240" w:lineRule="auto"/>
      <w:ind/>
    </w:pPr>
    <w:rPr>
      <w:rFonts w:ascii="Tahoma" w:hAnsi="Tahoma"/>
      <w:sz w:val="20"/>
    </w:rPr>
  </w:style>
  <w:style w:styleId="Style_1071_ch" w:type="character">
    <w:name w:val="Char Char Знак Знак1 Char Char1 Знак Знак Char Char"/>
    <w:basedOn w:val="Style_10_ch"/>
    <w:link w:val="Style_1071"/>
    <w:rPr>
      <w:rFonts w:ascii="Tahoma" w:hAnsi="Tahoma"/>
      <w:sz w:val="20"/>
    </w:rPr>
  </w:style>
  <w:style w:styleId="Style_1072" w:type="paragraph">
    <w:name w:val="toc 5"/>
    <w:basedOn w:val="Style_10"/>
    <w:next w:val="Style_10"/>
    <w:link w:val="Style_1072_ch"/>
    <w:uiPriority w:val="39"/>
    <w:pPr>
      <w:spacing w:after="100"/>
      <w:ind w:firstLine="0" w:left="880"/>
    </w:pPr>
  </w:style>
  <w:style w:styleId="Style_1072_ch" w:type="character">
    <w:name w:val="toc 5"/>
    <w:basedOn w:val="Style_10_ch"/>
    <w:link w:val="Style_1072"/>
  </w:style>
  <w:style w:styleId="Style_1073" w:type="paragraph">
    <w:name w:val="xl58"/>
    <w:basedOn w:val="Style_10"/>
    <w:link w:val="Style_1073_ch"/>
    <w:pPr>
      <w:spacing w:after="280" w:before="280" w:line="360" w:lineRule="atLeast"/>
      <w:ind w:firstLine="709" w:left="0"/>
      <w:jc w:val="both"/>
    </w:pPr>
    <w:rPr>
      <w:rFonts w:ascii="Arial" w:hAnsi="Arial"/>
      <w:sz w:val="24"/>
    </w:rPr>
  </w:style>
  <w:style w:styleId="Style_1073_ch" w:type="character">
    <w:name w:val="xl58"/>
    <w:basedOn w:val="Style_10_ch"/>
    <w:link w:val="Style_1073"/>
    <w:rPr>
      <w:rFonts w:ascii="Arial" w:hAnsi="Arial"/>
      <w:sz w:val="24"/>
    </w:rPr>
  </w:style>
  <w:style w:styleId="Style_1074" w:type="paragraph">
    <w:name w:val="FR5"/>
    <w:link w:val="Style_1074_ch"/>
    <w:pPr>
      <w:widowControl w:val="0"/>
      <w:spacing w:line="300" w:lineRule="auto"/>
      <w:ind w:firstLine="720" w:left="0"/>
      <w:jc w:val="both"/>
    </w:pPr>
    <w:rPr>
      <w:rFonts w:ascii="Arial" w:hAnsi="Arial"/>
      <w:sz w:val="24"/>
    </w:rPr>
  </w:style>
  <w:style w:styleId="Style_1074_ch" w:type="character">
    <w:name w:val="FR5"/>
    <w:link w:val="Style_1074"/>
    <w:rPr>
      <w:rFonts w:ascii="Arial" w:hAnsi="Arial"/>
      <w:sz w:val="24"/>
    </w:rPr>
  </w:style>
  <w:style w:styleId="Style_1075" w:type="paragraph">
    <w:name w:val="WW-Основной текст 3"/>
    <w:basedOn w:val="Style_10"/>
    <w:link w:val="Style_1075_ch"/>
    <w:pPr>
      <w:spacing w:after="120" w:line="240" w:lineRule="auto"/>
      <w:ind/>
    </w:pPr>
    <w:rPr>
      <w:sz w:val="16"/>
    </w:rPr>
  </w:style>
  <w:style w:styleId="Style_1075_ch" w:type="character">
    <w:name w:val="WW-Основной текст 3"/>
    <w:basedOn w:val="Style_10_ch"/>
    <w:link w:val="Style_1075"/>
    <w:rPr>
      <w:sz w:val="16"/>
    </w:rPr>
  </w:style>
  <w:style w:styleId="Style_1076" w:type="paragraph">
    <w:name w:val="WW-Символ нумерации"/>
    <w:link w:val="Style_1076_ch"/>
  </w:style>
  <w:style w:styleId="Style_1076_ch" w:type="character">
    <w:name w:val="WW-Символ нумерации"/>
    <w:link w:val="Style_1076"/>
  </w:style>
  <w:style w:styleId="Style_1077" w:type="paragraph">
    <w:name w:val="xl73"/>
    <w:basedOn w:val="Style_10"/>
    <w:link w:val="Style_1077_ch"/>
    <w:pPr>
      <w:spacing w:afterAutospacing="on" w:beforeAutospacing="on" w:line="240" w:lineRule="auto"/>
      <w:ind/>
      <w:jc w:val="center"/>
    </w:pPr>
    <w:rPr>
      <w:sz w:val="26"/>
    </w:rPr>
  </w:style>
  <w:style w:styleId="Style_1077_ch" w:type="character">
    <w:name w:val="xl73"/>
    <w:basedOn w:val="Style_10_ch"/>
    <w:link w:val="Style_1077"/>
    <w:rPr>
      <w:sz w:val="26"/>
    </w:rPr>
  </w:style>
  <w:style w:styleId="Style_1078" w:type="paragraph">
    <w:name w:val="Подразделы"/>
    <w:basedOn w:val="Style_10"/>
    <w:link w:val="Style_1078_ch"/>
    <w:pPr>
      <w:spacing w:after="160" w:line="264" w:lineRule="auto"/>
      <w:ind/>
    </w:pPr>
    <w:rPr>
      <w:b w:val="1"/>
      <w:sz w:val="32"/>
    </w:rPr>
  </w:style>
  <w:style w:styleId="Style_1078_ch" w:type="character">
    <w:name w:val="Подразделы"/>
    <w:basedOn w:val="Style_10_ch"/>
    <w:link w:val="Style_1078"/>
    <w:rPr>
      <w:b w:val="1"/>
      <w:sz w:val="32"/>
    </w:rPr>
  </w:style>
  <w:style w:styleId="Style_1079" w:type="paragraph">
    <w:name w:val="List Bullet"/>
    <w:basedOn w:val="Style_10"/>
    <w:link w:val="Style_1079_ch"/>
    <w:pPr>
      <w:tabs>
        <w:tab w:leader="none" w:pos="1361" w:val="left"/>
      </w:tabs>
      <w:spacing w:after="0" w:line="240" w:lineRule="auto"/>
      <w:ind w:firstLine="1021" w:left="0"/>
      <w:contextualSpacing w:val="1"/>
    </w:pPr>
    <w:rPr>
      <w:sz w:val="20"/>
    </w:rPr>
  </w:style>
  <w:style w:styleId="Style_1079_ch" w:type="character">
    <w:name w:val="List Bullet"/>
    <w:basedOn w:val="Style_10_ch"/>
    <w:link w:val="Style_1079"/>
    <w:rPr>
      <w:sz w:val="20"/>
    </w:rPr>
  </w:style>
  <w:style w:styleId="Style_1080" w:type="paragraph">
    <w:name w:val="p17"/>
    <w:basedOn w:val="Style_10"/>
    <w:link w:val="Style_1080_ch"/>
    <w:pPr>
      <w:spacing w:afterAutospacing="on" w:beforeAutospacing="on" w:line="240" w:lineRule="auto"/>
      <w:ind/>
    </w:pPr>
    <w:rPr>
      <w:sz w:val="24"/>
    </w:rPr>
  </w:style>
  <w:style w:styleId="Style_1080_ch" w:type="character">
    <w:name w:val="p17"/>
    <w:basedOn w:val="Style_10_ch"/>
    <w:link w:val="Style_1080"/>
    <w:rPr>
      <w:sz w:val="24"/>
    </w:rPr>
  </w:style>
  <w:style w:styleId="Style_1081" w:type="paragraph">
    <w:name w:val="Style94"/>
    <w:basedOn w:val="Style_10"/>
    <w:link w:val="Style_1081_ch"/>
    <w:pPr>
      <w:widowControl w:val="0"/>
      <w:spacing w:after="0" w:line="240" w:lineRule="auto"/>
      <w:ind/>
    </w:pPr>
    <w:rPr>
      <w:sz w:val="24"/>
    </w:rPr>
  </w:style>
  <w:style w:styleId="Style_1081_ch" w:type="character">
    <w:name w:val="Style94"/>
    <w:basedOn w:val="Style_10_ch"/>
    <w:link w:val="Style_1081"/>
    <w:rPr>
      <w:sz w:val="24"/>
    </w:rPr>
  </w:style>
  <w:style w:styleId="Style_1082" w:type="paragraph">
    <w:name w:val="Font Style127"/>
    <w:link w:val="Style_1082_ch"/>
    <w:rPr>
      <w:sz w:val="26"/>
    </w:rPr>
  </w:style>
  <w:style w:styleId="Style_1082_ch" w:type="character">
    <w:name w:val="Font Style127"/>
    <w:link w:val="Style_1082"/>
    <w:rPr>
      <w:sz w:val="26"/>
    </w:rPr>
  </w:style>
  <w:style w:styleId="Style_1083" w:type="paragraph">
    <w:name w:val="xl100"/>
    <w:basedOn w:val="Style_10"/>
    <w:link w:val="Style_1083_ch"/>
    <w:pPr>
      <w:spacing w:afterAutospacing="on" w:beforeAutospacing="on" w:line="240" w:lineRule="auto"/>
      <w:ind/>
      <w:jc w:val="center"/>
    </w:pPr>
    <w:rPr>
      <w:sz w:val="24"/>
    </w:rPr>
  </w:style>
  <w:style w:styleId="Style_1083_ch" w:type="character">
    <w:name w:val="xl100"/>
    <w:basedOn w:val="Style_10_ch"/>
    <w:link w:val="Style_1083"/>
    <w:rPr>
      <w:sz w:val="24"/>
    </w:rPr>
  </w:style>
  <w:style w:styleId="Style_1084" w:type="paragraph">
    <w:name w:val="Сильное выделение1"/>
    <w:link w:val="Style_1084_ch"/>
    <w:rPr>
      <w:b w:val="1"/>
      <w:i w:val="1"/>
      <w:color w:val="4F81BD"/>
    </w:rPr>
  </w:style>
  <w:style w:styleId="Style_1084_ch" w:type="character">
    <w:name w:val="Сильное выделение1"/>
    <w:link w:val="Style_1084"/>
    <w:rPr>
      <w:b w:val="1"/>
      <w:i w:val="1"/>
      <w:color w:val="4F81BD"/>
    </w:rPr>
  </w:style>
  <w:style w:styleId="Style_1085" w:type="paragraph">
    <w:name w:val="WW8Num1z0"/>
    <w:link w:val="Style_1085_ch"/>
  </w:style>
  <w:style w:styleId="Style_1085_ch" w:type="character">
    <w:name w:val="WW8Num1z0"/>
    <w:link w:val="Style_1085"/>
  </w:style>
  <w:style w:styleId="Style_1086" w:type="paragraph">
    <w:name w:val="WW8Num57z2"/>
    <w:link w:val="Style_1086_ch"/>
    <w:rPr>
      <w:rFonts w:ascii="Wingdings" w:hAnsi="Wingdings"/>
    </w:rPr>
  </w:style>
  <w:style w:styleId="Style_1086_ch" w:type="character">
    <w:name w:val="WW8Num57z2"/>
    <w:link w:val="Style_1086"/>
    <w:rPr>
      <w:rFonts w:ascii="Wingdings" w:hAnsi="Wingdings"/>
    </w:rPr>
  </w:style>
  <w:style w:styleId="Style_1087" w:type="paragraph">
    <w:name w:val="Просмотренная гиперссылка1"/>
    <w:link w:val="Style_1087_ch"/>
    <w:rPr>
      <w:color w:val="800000"/>
      <w:u w:val="single"/>
    </w:rPr>
  </w:style>
  <w:style w:styleId="Style_1087_ch" w:type="character">
    <w:name w:val="Просмотренная гиперссылка1"/>
    <w:link w:val="Style_1087"/>
    <w:rPr>
      <w:color w:val="800000"/>
      <w:u w:val="single"/>
    </w:rPr>
  </w:style>
  <w:style w:styleId="Style_1088" w:type="paragraph">
    <w:name w:val="WW8Num17z2"/>
    <w:link w:val="Style_1088_ch"/>
    <w:rPr>
      <w:rFonts w:ascii="Wingdings" w:hAnsi="Wingdings"/>
    </w:rPr>
  </w:style>
  <w:style w:styleId="Style_1088_ch" w:type="character">
    <w:name w:val="WW8Num17z2"/>
    <w:link w:val="Style_1088"/>
    <w:rPr>
      <w:rFonts w:ascii="Wingdings" w:hAnsi="Wingdings"/>
    </w:rPr>
  </w:style>
  <w:style w:styleId="Style_1089" w:type="paragraph">
    <w:name w:val="Нижний колонтитул справа"/>
    <w:basedOn w:val="Style_10"/>
    <w:link w:val="Style_1089_ch"/>
    <w:pPr>
      <w:widowControl w:val="0"/>
      <w:spacing w:after="0" w:line="240" w:lineRule="auto"/>
      <w:ind/>
    </w:pPr>
    <w:rPr>
      <w:rFonts w:ascii="Arial" w:hAnsi="Arial"/>
      <w:sz w:val="24"/>
    </w:rPr>
  </w:style>
  <w:style w:styleId="Style_1089_ch" w:type="character">
    <w:name w:val="Нижний колонтитул справа"/>
    <w:basedOn w:val="Style_10_ch"/>
    <w:link w:val="Style_1089"/>
    <w:rPr>
      <w:rFonts w:ascii="Arial" w:hAnsi="Arial"/>
      <w:sz w:val="24"/>
    </w:rPr>
  </w:style>
  <w:style w:styleId="Style_1090" w:type="paragraph">
    <w:name w:val="WW8NumSt11z0"/>
    <w:link w:val="Style_1090_ch"/>
    <w:rPr>
      <w:rFonts w:ascii="Courier New" w:hAnsi="Courier New"/>
    </w:rPr>
  </w:style>
  <w:style w:styleId="Style_1090_ch" w:type="character">
    <w:name w:val="WW8NumSt11z0"/>
    <w:link w:val="Style_1090"/>
    <w:rPr>
      <w:rFonts w:ascii="Courier New" w:hAnsi="Courier New"/>
    </w:rPr>
  </w:style>
  <w:style w:styleId="Style_1091" w:type="paragraph">
    <w:name w:val="WW8Num53z2"/>
    <w:link w:val="Style_1091_ch"/>
    <w:rPr>
      <w:rFonts w:ascii="Wingdings" w:hAnsi="Wingdings"/>
    </w:rPr>
  </w:style>
  <w:style w:styleId="Style_1091_ch" w:type="character">
    <w:name w:val="WW8Num53z2"/>
    <w:link w:val="Style_1091"/>
    <w:rPr>
      <w:rFonts w:ascii="Wingdings" w:hAnsi="Wingdings"/>
    </w:rPr>
  </w:style>
  <w:style w:styleId="Style_1092" w:type="paragraph">
    <w:name w:val="WW-WW8Num22z0"/>
    <w:link w:val="Style_1092_ch"/>
    <w:rPr>
      <w:rFonts w:ascii="Courier New" w:hAnsi="Courier New"/>
    </w:rPr>
  </w:style>
  <w:style w:styleId="Style_1092_ch" w:type="character">
    <w:name w:val="WW-WW8Num22z0"/>
    <w:link w:val="Style_1092"/>
    <w:rPr>
      <w:rFonts w:ascii="Courier New" w:hAnsi="Courier New"/>
    </w:rPr>
  </w:style>
  <w:style w:styleId="Style_1093" w:type="paragraph">
    <w:name w:val="WW8Num3z2"/>
    <w:link w:val="Style_1093_ch"/>
    <w:rPr>
      <w:rFonts w:ascii="StarSymbol" w:hAnsi="StarSymbol"/>
    </w:rPr>
  </w:style>
  <w:style w:styleId="Style_1093_ch" w:type="character">
    <w:name w:val="WW8Num3z2"/>
    <w:link w:val="Style_1093"/>
    <w:rPr>
      <w:rFonts w:ascii="StarSymbol" w:hAnsi="StarSymbol"/>
    </w:rPr>
  </w:style>
  <w:style w:styleId="Style_1094" w:type="paragraph">
    <w:name w:val="xl138"/>
    <w:basedOn w:val="Style_10"/>
    <w:link w:val="Style_1094_ch"/>
    <w:pPr>
      <w:spacing w:after="280" w:before="280" w:line="240" w:lineRule="auto"/>
      <w:ind/>
      <w:jc w:val="center"/>
    </w:pPr>
    <w:rPr>
      <w:sz w:val="18"/>
    </w:rPr>
  </w:style>
  <w:style w:styleId="Style_1094_ch" w:type="character">
    <w:name w:val="xl138"/>
    <w:basedOn w:val="Style_10_ch"/>
    <w:link w:val="Style_1094"/>
    <w:rPr>
      <w:sz w:val="18"/>
    </w:rPr>
  </w:style>
  <w:style w:styleId="Style_1095" w:type="paragraph">
    <w:name w:val="xl169"/>
    <w:basedOn w:val="Style_10"/>
    <w:link w:val="Style_1095_ch"/>
    <w:pPr>
      <w:spacing w:after="280" w:before="280" w:line="240" w:lineRule="auto"/>
      <w:ind/>
      <w:jc w:val="center"/>
    </w:pPr>
    <w:rPr>
      <w:b w:val="1"/>
      <w:sz w:val="24"/>
    </w:rPr>
  </w:style>
  <w:style w:styleId="Style_1095_ch" w:type="character">
    <w:name w:val="xl169"/>
    <w:basedOn w:val="Style_10_ch"/>
    <w:link w:val="Style_1095"/>
    <w:rPr>
      <w:b w:val="1"/>
      <w:sz w:val="24"/>
    </w:rPr>
  </w:style>
  <w:style w:styleId="Style_1096" w:type="paragraph">
    <w:name w:val="Style81"/>
    <w:basedOn w:val="Style_10"/>
    <w:link w:val="Style_1096_ch"/>
    <w:pPr>
      <w:widowControl w:val="0"/>
      <w:spacing w:after="0" w:line="240" w:lineRule="auto"/>
      <w:ind/>
    </w:pPr>
    <w:rPr>
      <w:sz w:val="24"/>
    </w:rPr>
  </w:style>
  <w:style w:styleId="Style_1096_ch" w:type="character">
    <w:name w:val="Style81"/>
    <w:basedOn w:val="Style_10_ch"/>
    <w:link w:val="Style_1096"/>
    <w:rPr>
      <w:sz w:val="24"/>
    </w:rPr>
  </w:style>
  <w:style w:styleId="Style_1097" w:type="paragraph">
    <w:name w:val="Цитата HTML1"/>
    <w:link w:val="Style_1097_ch"/>
    <w:rPr>
      <w:i w:val="1"/>
    </w:rPr>
  </w:style>
  <w:style w:styleId="Style_1097_ch" w:type="character">
    <w:name w:val="Цитата HTML1"/>
    <w:link w:val="Style_1097"/>
    <w:rPr>
      <w:i w:val="1"/>
    </w:rPr>
  </w:style>
  <w:style w:styleId="Style_1098" w:type="paragraph">
    <w:name w:val="WW8Num27z0"/>
    <w:link w:val="Style_1098_ch"/>
    <w:rPr>
      <w:rFonts w:ascii="Courier New" w:hAnsi="Courier New"/>
    </w:rPr>
  </w:style>
  <w:style w:styleId="Style_1098_ch" w:type="character">
    <w:name w:val="WW8Num27z0"/>
    <w:link w:val="Style_1098"/>
    <w:rPr>
      <w:rFonts w:ascii="Courier New" w:hAnsi="Courier New"/>
    </w:rPr>
  </w:style>
  <w:style w:styleId="Style_1099" w:type="paragraph">
    <w:name w:val="WW8Num340z0"/>
    <w:link w:val="Style_1099_ch"/>
    <w:rPr>
      <w:rFonts w:ascii="Symbol" w:hAnsi="Symbol"/>
    </w:rPr>
  </w:style>
  <w:style w:styleId="Style_1099_ch" w:type="character">
    <w:name w:val="WW8Num340z0"/>
    <w:link w:val="Style_1099"/>
    <w:rPr>
      <w:rFonts w:ascii="Symbol" w:hAnsi="Symbol"/>
    </w:rPr>
  </w:style>
  <w:style w:styleId="Style_1100" w:type="paragraph">
    <w:name w:val="xl78"/>
    <w:basedOn w:val="Style_10"/>
    <w:link w:val="Style_1100_ch"/>
    <w:pPr>
      <w:spacing w:afterAutospacing="on" w:beforeAutospacing="on" w:line="240" w:lineRule="auto"/>
      <w:ind/>
      <w:jc w:val="center"/>
    </w:pPr>
    <w:rPr>
      <w:sz w:val="26"/>
    </w:rPr>
  </w:style>
  <w:style w:styleId="Style_1100_ch" w:type="character">
    <w:name w:val="xl78"/>
    <w:basedOn w:val="Style_10_ch"/>
    <w:link w:val="Style_1100"/>
    <w:rPr>
      <w:sz w:val="26"/>
    </w:rPr>
  </w:style>
  <w:style w:styleId="Style_1101" w:type="paragraph">
    <w:name w:val="font23"/>
    <w:basedOn w:val="Style_10"/>
    <w:link w:val="Style_1101_ch"/>
    <w:pPr>
      <w:spacing w:afterAutospacing="on" w:beforeAutospacing="on" w:line="240" w:lineRule="auto"/>
      <w:ind/>
    </w:pPr>
    <w:rPr>
      <w:b w:val="1"/>
      <w:sz w:val="18"/>
    </w:rPr>
  </w:style>
  <w:style w:styleId="Style_1101_ch" w:type="character">
    <w:name w:val="font23"/>
    <w:basedOn w:val="Style_10_ch"/>
    <w:link w:val="Style_1101"/>
    <w:rPr>
      <w:b w:val="1"/>
      <w:sz w:val="18"/>
    </w:rPr>
  </w:style>
  <w:style w:styleId="Style_1102" w:type="paragraph">
    <w:name w:val="WW8Num37z4"/>
    <w:link w:val="Style_1102_ch"/>
    <w:rPr>
      <w:rFonts w:ascii="Courier New" w:hAnsi="Courier New"/>
    </w:rPr>
  </w:style>
  <w:style w:styleId="Style_1102_ch" w:type="character">
    <w:name w:val="WW8Num37z4"/>
    <w:link w:val="Style_1102"/>
    <w:rPr>
      <w:rFonts w:ascii="Courier New" w:hAnsi="Courier New"/>
    </w:rPr>
  </w:style>
  <w:style w:styleId="Style_1103" w:type="paragraph">
    <w:name w:val="Font Style119"/>
    <w:link w:val="Style_1103_ch"/>
    <w:rPr>
      <w:rFonts w:ascii="Arial" w:hAnsi="Arial"/>
      <w:sz w:val="14"/>
    </w:rPr>
  </w:style>
  <w:style w:styleId="Style_1103_ch" w:type="character">
    <w:name w:val="Font Style119"/>
    <w:link w:val="Style_1103"/>
    <w:rPr>
      <w:rFonts w:ascii="Arial" w:hAnsi="Arial"/>
      <w:sz w:val="14"/>
    </w:rPr>
  </w:style>
  <w:style w:styleId="Style_1104" w:type="paragraph">
    <w:name w:val="p2"/>
    <w:basedOn w:val="Style_10"/>
    <w:link w:val="Style_1104_ch"/>
    <w:pPr>
      <w:spacing w:after="280" w:before="280" w:line="240" w:lineRule="auto"/>
      <w:ind/>
    </w:pPr>
    <w:rPr>
      <w:sz w:val="24"/>
    </w:rPr>
  </w:style>
  <w:style w:styleId="Style_1104_ch" w:type="character">
    <w:name w:val="p2"/>
    <w:basedOn w:val="Style_10_ch"/>
    <w:link w:val="Style_1104"/>
    <w:rPr>
      <w:sz w:val="24"/>
    </w:rPr>
  </w:style>
  <w:style w:styleId="Style_250" w:type="paragraph">
    <w:name w:val="List"/>
    <w:basedOn w:val="Style_10"/>
    <w:link w:val="Style_250_ch"/>
    <w:pPr>
      <w:spacing w:after="0" w:line="240" w:lineRule="auto"/>
      <w:ind w:hanging="283" w:left="283"/>
    </w:pPr>
    <w:rPr>
      <w:sz w:val="20"/>
    </w:rPr>
  </w:style>
  <w:style w:styleId="Style_250_ch" w:type="character">
    <w:name w:val="List"/>
    <w:basedOn w:val="Style_10_ch"/>
    <w:link w:val="Style_250"/>
    <w:rPr>
      <w:sz w:val="20"/>
    </w:rPr>
  </w:style>
  <w:style w:styleId="Style_1105" w:type="paragraph">
    <w:name w:val="WW8Num64z2"/>
    <w:link w:val="Style_1105_ch"/>
    <w:rPr>
      <w:rFonts w:ascii="Wingdings" w:hAnsi="Wingdings"/>
    </w:rPr>
  </w:style>
  <w:style w:styleId="Style_1105_ch" w:type="character">
    <w:name w:val="WW8Num64z2"/>
    <w:link w:val="Style_1105"/>
    <w:rPr>
      <w:rFonts w:ascii="Wingdings" w:hAnsi="Wingdings"/>
    </w:rPr>
  </w:style>
  <w:style w:styleId="Style_1106" w:type="paragraph">
    <w:name w:val="Style45"/>
    <w:basedOn w:val="Style_10"/>
    <w:link w:val="Style_1106_ch"/>
    <w:pPr>
      <w:widowControl w:val="0"/>
      <w:spacing w:after="0" w:line="331" w:lineRule="exact"/>
      <w:ind/>
      <w:jc w:val="center"/>
    </w:pPr>
    <w:rPr>
      <w:sz w:val="24"/>
    </w:rPr>
  </w:style>
  <w:style w:styleId="Style_1106_ch" w:type="character">
    <w:name w:val="Style45"/>
    <w:basedOn w:val="Style_10_ch"/>
    <w:link w:val="Style_1106"/>
    <w:rPr>
      <w:sz w:val="24"/>
    </w:rPr>
  </w:style>
  <w:style w:styleId="Style_1107" w:type="paragraph">
    <w:name w:val="Font Style140"/>
    <w:link w:val="Style_1107_ch"/>
    <w:rPr>
      <w:b w:val="1"/>
      <w:sz w:val="16"/>
    </w:rPr>
  </w:style>
  <w:style w:styleId="Style_1107_ch" w:type="character">
    <w:name w:val="Font Style140"/>
    <w:link w:val="Style_1107"/>
    <w:rPr>
      <w:b w:val="1"/>
      <w:sz w:val="16"/>
    </w:rPr>
  </w:style>
  <w:style w:styleId="Style_1108" w:type="paragraph">
    <w:name w:val="Font Style85"/>
    <w:link w:val="Style_1108_ch"/>
    <w:rPr>
      <w:b w:val="1"/>
      <w:sz w:val="26"/>
    </w:rPr>
  </w:style>
  <w:style w:styleId="Style_1108_ch" w:type="character">
    <w:name w:val="Font Style85"/>
    <w:link w:val="Style_1108"/>
    <w:rPr>
      <w:b w:val="1"/>
      <w:sz w:val="26"/>
    </w:rPr>
  </w:style>
  <w:style w:styleId="Style_1109" w:type="paragraph">
    <w:name w:val="Основной текст с отступом 34"/>
    <w:basedOn w:val="Style_10"/>
    <w:link w:val="Style_1109_ch"/>
    <w:pPr>
      <w:spacing w:after="0" w:line="240" w:lineRule="auto"/>
      <w:ind w:firstLine="720" w:left="0"/>
      <w:jc w:val="both"/>
    </w:pPr>
    <w:rPr>
      <w:sz w:val="26"/>
    </w:rPr>
  </w:style>
  <w:style w:styleId="Style_1109_ch" w:type="character">
    <w:name w:val="Основной текст с отступом 34"/>
    <w:basedOn w:val="Style_10_ch"/>
    <w:link w:val="Style_1109"/>
    <w:rPr>
      <w:sz w:val="26"/>
    </w:rPr>
  </w:style>
  <w:style w:styleId="Style_1110" w:type="paragraph">
    <w:name w:val="Ii?iaeuiue"/>
    <w:link w:val="Style_1110_ch"/>
    <w:pPr>
      <w:widowControl w:val="0"/>
      <w:spacing w:line="360" w:lineRule="atLeast"/>
      <w:ind w:firstLine="709" w:left="0"/>
      <w:jc w:val="both"/>
    </w:pPr>
    <w:rPr>
      <w:rFonts w:ascii="Baltica" w:hAnsi="Baltica"/>
      <w:sz w:val="24"/>
    </w:rPr>
  </w:style>
  <w:style w:styleId="Style_1110_ch" w:type="character">
    <w:name w:val="Ii?iaeuiue"/>
    <w:link w:val="Style_1110"/>
    <w:rPr>
      <w:rFonts w:ascii="Baltica" w:hAnsi="Baltica"/>
      <w:sz w:val="24"/>
    </w:rPr>
  </w:style>
  <w:style w:styleId="Style_1111" w:type="paragraph">
    <w:name w:val="WW8Num569z3"/>
    <w:link w:val="Style_1111_ch"/>
    <w:rPr>
      <w:rFonts w:ascii="Symbol" w:hAnsi="Symbol"/>
    </w:rPr>
  </w:style>
  <w:style w:styleId="Style_1111_ch" w:type="character">
    <w:name w:val="WW8Num569z3"/>
    <w:link w:val="Style_1111"/>
    <w:rPr>
      <w:rFonts w:ascii="Symbol" w:hAnsi="Symbol"/>
    </w:rPr>
  </w:style>
  <w:style w:styleId="Style_1112" w:type="paragraph">
    <w:name w:val="WW8Num65z1"/>
    <w:link w:val="Style_1112_ch"/>
    <w:rPr>
      <w:rFonts w:ascii="Courier New" w:hAnsi="Courier New"/>
    </w:rPr>
  </w:style>
  <w:style w:styleId="Style_1112_ch" w:type="character">
    <w:name w:val="WW8Num65z1"/>
    <w:link w:val="Style_1112"/>
    <w:rPr>
      <w:rFonts w:ascii="Courier New" w:hAnsi="Courier New"/>
    </w:rPr>
  </w:style>
  <w:style w:styleId="Style_1113" w:type="paragraph">
    <w:name w:val="xl153"/>
    <w:basedOn w:val="Style_10"/>
    <w:link w:val="Style_1113_ch"/>
    <w:pPr>
      <w:spacing w:after="280" w:before="280" w:line="240" w:lineRule="auto"/>
      <w:ind/>
      <w:jc w:val="center"/>
    </w:pPr>
    <w:rPr>
      <w:b w:val="1"/>
    </w:rPr>
  </w:style>
  <w:style w:styleId="Style_1113_ch" w:type="character">
    <w:name w:val="xl153"/>
    <w:basedOn w:val="Style_10_ch"/>
    <w:link w:val="Style_1113"/>
    <w:rPr>
      <w:b w:val="1"/>
    </w:rPr>
  </w:style>
  <w:style w:styleId="Style_1114" w:type="paragraph">
    <w:name w:val="WW-Absatz-Standardschriftart11111111111111111111111111111111"/>
    <w:link w:val="Style_1114_ch"/>
  </w:style>
  <w:style w:styleId="Style_1114_ch" w:type="character">
    <w:name w:val="WW-Absatz-Standardschriftart11111111111111111111111111111111"/>
    <w:link w:val="Style_1114"/>
  </w:style>
  <w:style w:styleId="Style_1115" w:type="paragraph">
    <w:name w:val="Font Style25"/>
    <w:link w:val="Style_1115_ch"/>
    <w:rPr>
      <w:rFonts w:ascii="Trebuchet MS" w:hAnsi="Trebuchet MS"/>
    </w:rPr>
  </w:style>
  <w:style w:styleId="Style_1115_ch" w:type="character">
    <w:name w:val="Font Style25"/>
    <w:link w:val="Style_1115"/>
    <w:rPr>
      <w:rFonts w:ascii="Trebuchet MS" w:hAnsi="Trebuchet MS"/>
    </w:rPr>
  </w:style>
  <w:style w:styleId="Style_1116" w:type="paragraph">
    <w:name w:val="Char Char"/>
    <w:basedOn w:val="Style_10"/>
    <w:link w:val="Style_1116_ch"/>
    <w:pPr>
      <w:spacing w:after="280" w:before="280" w:line="240" w:lineRule="auto"/>
      <w:ind/>
    </w:pPr>
    <w:rPr>
      <w:rFonts w:ascii="Tahoma" w:hAnsi="Tahoma"/>
      <w:sz w:val="20"/>
    </w:rPr>
  </w:style>
  <w:style w:styleId="Style_1116_ch" w:type="character">
    <w:name w:val="Char Char"/>
    <w:basedOn w:val="Style_10_ch"/>
    <w:link w:val="Style_1116"/>
    <w:rPr>
      <w:rFonts w:ascii="Tahoma" w:hAnsi="Tahoma"/>
      <w:sz w:val="20"/>
    </w:rPr>
  </w:style>
  <w:style w:styleId="Style_1117" w:type="paragraph">
    <w:name w:val="Текст в таблице ДБ"/>
    <w:basedOn w:val="Style_10"/>
    <w:link w:val="Style_1117_ch"/>
    <w:pPr>
      <w:spacing w:after="0" w:line="360" w:lineRule="atLeast"/>
      <w:ind/>
    </w:pPr>
    <w:rPr>
      <w:sz w:val="24"/>
    </w:rPr>
  </w:style>
  <w:style w:styleId="Style_1117_ch" w:type="character">
    <w:name w:val="Текст в таблице ДБ"/>
    <w:basedOn w:val="Style_10_ch"/>
    <w:link w:val="Style_1117"/>
    <w:rPr>
      <w:sz w:val="24"/>
    </w:rPr>
  </w:style>
  <w:style w:styleId="Style_1118" w:type="paragraph">
    <w:name w:val="Table Contents"/>
    <w:basedOn w:val="Style_10"/>
    <w:link w:val="Style_1118_ch"/>
    <w:pPr>
      <w:widowControl w:val="0"/>
      <w:spacing w:after="0" w:line="360" w:lineRule="atLeast"/>
      <w:ind w:firstLine="709" w:left="0"/>
      <w:jc w:val="both"/>
    </w:pPr>
    <w:rPr>
      <w:sz w:val="24"/>
    </w:rPr>
  </w:style>
  <w:style w:styleId="Style_1118_ch" w:type="character">
    <w:name w:val="Table Contents"/>
    <w:basedOn w:val="Style_10_ch"/>
    <w:link w:val="Style_1118"/>
    <w:rPr>
      <w:sz w:val="24"/>
    </w:rPr>
  </w:style>
  <w:style w:styleId="Style_1119" w:type="paragraph">
    <w:name w:val="Основной текст продолжение"/>
    <w:basedOn w:val="Style_74"/>
    <w:next w:val="Style_74"/>
    <w:link w:val="Style_1119_ch"/>
    <w:pPr>
      <w:spacing w:after="0" w:before="120" w:line="360" w:lineRule="atLeast"/>
      <w:ind w:firstLine="709" w:left="0"/>
      <w:jc w:val="both"/>
    </w:pPr>
    <w:rPr>
      <w:sz w:val="24"/>
    </w:rPr>
  </w:style>
  <w:style w:styleId="Style_1119_ch" w:type="character">
    <w:name w:val="Основной текст продолжение"/>
    <w:basedOn w:val="Style_74_ch"/>
    <w:link w:val="Style_1119"/>
    <w:rPr>
      <w:sz w:val="24"/>
    </w:rPr>
  </w:style>
  <w:style w:styleId="Style_1120" w:type="paragraph">
    <w:name w:val="WW8Num61z0"/>
    <w:link w:val="Style_1120_ch"/>
    <w:rPr>
      <w:rFonts w:ascii="Symbol" w:hAnsi="Symbol"/>
    </w:rPr>
  </w:style>
  <w:style w:styleId="Style_1120_ch" w:type="character">
    <w:name w:val="WW8Num61z0"/>
    <w:link w:val="Style_1120"/>
    <w:rPr>
      <w:rFonts w:ascii="Symbol" w:hAnsi="Symbol"/>
    </w:rPr>
  </w:style>
  <w:style w:styleId="Style_1121" w:type="paragraph">
    <w:name w:val="WW8Num169z0"/>
    <w:link w:val="Style_1121_ch"/>
  </w:style>
  <w:style w:styleId="Style_1121_ch" w:type="character">
    <w:name w:val="WW8Num169z0"/>
    <w:link w:val="Style_1121"/>
  </w:style>
  <w:style w:styleId="Style_1122" w:type="paragraph">
    <w:name w:val="WW8NumSt25z0"/>
    <w:link w:val="Style_1122_ch"/>
    <w:rPr>
      <w:rFonts w:ascii="Courier New" w:hAnsi="Courier New"/>
    </w:rPr>
  </w:style>
  <w:style w:styleId="Style_1122_ch" w:type="character">
    <w:name w:val="WW8NumSt25z0"/>
    <w:link w:val="Style_1122"/>
    <w:rPr>
      <w:rFonts w:ascii="Courier New" w:hAnsi="Courier New"/>
    </w:rPr>
  </w:style>
  <w:style w:styleId="Style_1123" w:type="paragraph">
    <w:name w:val="WW8Num33z3"/>
    <w:link w:val="Style_1123_ch"/>
    <w:rPr>
      <w:rFonts w:ascii="Symbol" w:hAnsi="Symbol"/>
    </w:rPr>
  </w:style>
  <w:style w:styleId="Style_1123_ch" w:type="character">
    <w:name w:val="WW8Num33z3"/>
    <w:link w:val="Style_1123"/>
    <w:rPr>
      <w:rFonts w:ascii="Symbol" w:hAnsi="Symbol"/>
    </w:rPr>
  </w:style>
  <w:style w:styleId="Style_1124" w:type="paragraph">
    <w:name w:val="xl39"/>
    <w:basedOn w:val="Style_10"/>
    <w:link w:val="Style_1124_ch"/>
    <w:pPr>
      <w:spacing w:after="280" w:before="280" w:line="360" w:lineRule="atLeast"/>
      <w:ind w:firstLine="709" w:left="0"/>
      <w:jc w:val="both"/>
    </w:pPr>
    <w:rPr>
      <w:b w:val="1"/>
      <w:sz w:val="24"/>
    </w:rPr>
  </w:style>
  <w:style w:styleId="Style_1124_ch" w:type="character">
    <w:name w:val="xl39"/>
    <w:basedOn w:val="Style_10_ch"/>
    <w:link w:val="Style_1124"/>
    <w:rPr>
      <w:b w:val="1"/>
      <w:sz w:val="24"/>
    </w:rPr>
  </w:style>
  <w:style w:styleId="Style_1125" w:type="paragraph">
    <w:name w:val="WW8Num54z1"/>
    <w:link w:val="Style_1125_ch"/>
    <w:rPr>
      <w:rFonts w:ascii="Courier New" w:hAnsi="Courier New"/>
    </w:rPr>
  </w:style>
  <w:style w:styleId="Style_1125_ch" w:type="character">
    <w:name w:val="WW8Num54z1"/>
    <w:link w:val="Style_1125"/>
    <w:rPr>
      <w:rFonts w:ascii="Courier New" w:hAnsi="Courier New"/>
    </w:rPr>
  </w:style>
  <w:style w:styleId="Style_1126" w:type="paragraph">
    <w:name w:val="Style98"/>
    <w:basedOn w:val="Style_10"/>
    <w:link w:val="Style_1126_ch"/>
    <w:pPr>
      <w:widowControl w:val="0"/>
      <w:spacing w:after="0" w:line="163" w:lineRule="exact"/>
      <w:ind/>
    </w:pPr>
    <w:rPr>
      <w:sz w:val="24"/>
    </w:rPr>
  </w:style>
  <w:style w:styleId="Style_1126_ch" w:type="character">
    <w:name w:val="Style98"/>
    <w:basedOn w:val="Style_10_ch"/>
    <w:link w:val="Style_1126"/>
    <w:rPr>
      <w:sz w:val="24"/>
    </w:rPr>
  </w:style>
  <w:style w:styleId="Style_1127" w:type="paragraph">
    <w:name w:val="Маркированный_список_IG"/>
    <w:basedOn w:val="Style_10"/>
    <w:link w:val="Style_1127_ch"/>
    <w:pPr>
      <w:tabs>
        <w:tab w:leader="none" w:pos="11" w:val="left"/>
        <w:tab w:leader="none" w:pos="1134" w:val="left"/>
      </w:tabs>
      <w:spacing w:after="0" w:line="360" w:lineRule="auto"/>
      <w:ind w:firstLine="709" w:left="11"/>
      <w:jc w:val="both"/>
    </w:pPr>
    <w:rPr>
      <w:sz w:val="28"/>
    </w:rPr>
  </w:style>
  <w:style w:styleId="Style_1127_ch" w:type="character">
    <w:name w:val="Маркированный_список_IG"/>
    <w:basedOn w:val="Style_10_ch"/>
    <w:link w:val="Style_1127"/>
    <w:rPr>
      <w:sz w:val="28"/>
    </w:rPr>
  </w:style>
  <w:style w:styleId="Style_1128" w:type="paragraph">
    <w:name w:val="Absatz-Standardschriftart"/>
    <w:link w:val="Style_1128_ch"/>
  </w:style>
  <w:style w:styleId="Style_1128_ch" w:type="character">
    <w:name w:val="Absatz-Standardschriftart"/>
    <w:link w:val="Style_1128"/>
  </w:style>
  <w:style w:styleId="Style_1129" w:type="paragraph">
    <w:name w:val="WW8Num33z2"/>
    <w:link w:val="Style_1129_ch"/>
    <w:rPr>
      <w:rFonts w:ascii="Wingdings" w:hAnsi="Wingdings"/>
    </w:rPr>
  </w:style>
  <w:style w:styleId="Style_1129_ch" w:type="character">
    <w:name w:val="WW8Num33z2"/>
    <w:link w:val="Style_1129"/>
    <w:rPr>
      <w:rFonts w:ascii="Wingdings" w:hAnsi="Wingdings"/>
    </w:rPr>
  </w:style>
  <w:style w:styleId="Style_1130" w:type="paragraph">
    <w:name w:val="рисунок Знак"/>
    <w:link w:val="Style_1130_ch"/>
    <w:rPr>
      <w:rFonts w:ascii="Arial" w:hAnsi="Arial"/>
      <w:i w:val="1"/>
    </w:rPr>
  </w:style>
  <w:style w:styleId="Style_1130_ch" w:type="character">
    <w:name w:val="рисунок Знак"/>
    <w:link w:val="Style_1130"/>
    <w:rPr>
      <w:rFonts w:ascii="Arial" w:hAnsi="Arial"/>
      <w:i w:val="1"/>
    </w:rPr>
  </w:style>
  <w:style w:styleId="Style_1131" w:type="paragraph">
    <w:name w:val="z1"/>
    <w:basedOn w:val="Style_10"/>
    <w:link w:val="Style_1131_ch"/>
    <w:pPr>
      <w:spacing w:after="280" w:before="280" w:line="240" w:lineRule="auto"/>
      <w:ind/>
    </w:pPr>
    <w:rPr>
      <w:sz w:val="24"/>
    </w:rPr>
  </w:style>
  <w:style w:styleId="Style_1131_ch" w:type="character">
    <w:name w:val="z1"/>
    <w:basedOn w:val="Style_10_ch"/>
    <w:link w:val="Style_1131"/>
    <w:rPr>
      <w:sz w:val="24"/>
    </w:rPr>
  </w:style>
  <w:style w:styleId="Style_1132" w:type="paragraph">
    <w:name w:val="WW-Заголовок1"/>
    <w:basedOn w:val="Style_10"/>
    <w:next w:val="Style_74"/>
    <w:link w:val="Style_1132_ch"/>
    <w:pPr>
      <w:keepNext w:val="1"/>
      <w:widowControl w:val="0"/>
      <w:spacing w:after="120" w:before="240" w:line="240" w:lineRule="auto"/>
      <w:ind/>
    </w:pPr>
    <w:rPr>
      <w:rFonts w:ascii="Arial" w:hAnsi="Arial"/>
      <w:sz w:val="28"/>
    </w:rPr>
  </w:style>
  <w:style w:styleId="Style_1132_ch" w:type="character">
    <w:name w:val="WW-Заголовок1"/>
    <w:basedOn w:val="Style_10_ch"/>
    <w:link w:val="Style_1132"/>
    <w:rPr>
      <w:rFonts w:ascii="Arial" w:hAnsi="Arial"/>
      <w:sz w:val="28"/>
    </w:rPr>
  </w:style>
  <w:style w:styleId="Style_1133" w:type="paragraph">
    <w:name w:val="WW8Num61z1"/>
    <w:link w:val="Style_1133_ch"/>
    <w:rPr>
      <w:rFonts w:ascii="Courier New" w:hAnsi="Courier New"/>
    </w:rPr>
  </w:style>
  <w:style w:styleId="Style_1133_ch" w:type="character">
    <w:name w:val="WW8Num61z1"/>
    <w:link w:val="Style_1133"/>
    <w:rPr>
      <w:rFonts w:ascii="Courier New" w:hAnsi="Courier New"/>
    </w:rPr>
  </w:style>
  <w:style w:styleId="Style_1134" w:type="paragraph">
    <w:name w:val="contww1"/>
    <w:link w:val="Style_1134_ch"/>
    <w:rPr>
      <w:sz w:val="26"/>
    </w:rPr>
  </w:style>
  <w:style w:styleId="Style_1134_ch" w:type="character">
    <w:name w:val="contww1"/>
    <w:link w:val="Style_1134"/>
    <w:rPr>
      <w:sz w:val="26"/>
    </w:rPr>
  </w:style>
  <w:style w:styleId="Style_1135" w:type="paragraph">
    <w:name w:val="Знак концевой сноски2"/>
    <w:link w:val="Style_1135_ch"/>
    <w:rPr>
      <w:vertAlign w:val="superscript"/>
    </w:rPr>
  </w:style>
  <w:style w:styleId="Style_1135_ch" w:type="character">
    <w:name w:val="Знак концевой сноски2"/>
    <w:link w:val="Style_1135"/>
    <w:rPr>
      <w:vertAlign w:val="superscript"/>
    </w:rPr>
  </w:style>
  <w:style w:styleId="Style_148" w:type="paragraph">
    <w:name w:val="Body Text Indent"/>
    <w:basedOn w:val="Style_10"/>
    <w:link w:val="Style_148_ch"/>
    <w:pPr>
      <w:spacing w:after="0" w:line="288" w:lineRule="auto"/>
      <w:ind w:firstLine="709" w:left="0"/>
      <w:jc w:val="both"/>
    </w:pPr>
    <w:rPr>
      <w:rFonts w:ascii="Arial" w:hAnsi="Arial"/>
      <w:sz w:val="28"/>
    </w:rPr>
  </w:style>
  <w:style w:styleId="Style_148_ch" w:type="character">
    <w:name w:val="Body Text Indent"/>
    <w:basedOn w:val="Style_10_ch"/>
    <w:link w:val="Style_148"/>
    <w:rPr>
      <w:rFonts w:ascii="Arial" w:hAnsi="Arial"/>
      <w:sz w:val="28"/>
    </w:rPr>
  </w:style>
  <w:style w:styleId="Style_1136" w:type="paragraph">
    <w:name w:val="Style65"/>
    <w:basedOn w:val="Style_10"/>
    <w:link w:val="Style_1136_ch"/>
    <w:pPr>
      <w:widowControl w:val="0"/>
      <w:spacing w:after="0" w:line="240" w:lineRule="auto"/>
      <w:ind/>
    </w:pPr>
    <w:rPr>
      <w:sz w:val="24"/>
    </w:rPr>
  </w:style>
  <w:style w:styleId="Style_1136_ch" w:type="character">
    <w:name w:val="Style65"/>
    <w:basedOn w:val="Style_10_ch"/>
    <w:link w:val="Style_1136"/>
    <w:rPr>
      <w:sz w:val="24"/>
    </w:rPr>
  </w:style>
  <w:style w:styleId="Style_1137" w:type="paragraph">
    <w:name w:val="Основной текст 231"/>
    <w:basedOn w:val="Style_10"/>
    <w:link w:val="Style_1137_ch"/>
    <w:pPr>
      <w:spacing w:after="0" w:line="240" w:lineRule="auto"/>
      <w:ind/>
      <w:jc w:val="both"/>
    </w:pPr>
    <w:rPr>
      <w:sz w:val="28"/>
    </w:rPr>
  </w:style>
  <w:style w:styleId="Style_1137_ch" w:type="character">
    <w:name w:val="Основной текст 231"/>
    <w:basedOn w:val="Style_10_ch"/>
    <w:link w:val="Style_1137"/>
    <w:rPr>
      <w:sz w:val="28"/>
    </w:rPr>
  </w:style>
  <w:style w:styleId="Style_1138" w:type="paragraph">
    <w:name w:val="Горизонтальная линия"/>
    <w:basedOn w:val="Style_10"/>
    <w:next w:val="Style_74"/>
    <w:link w:val="Style_1138_ch"/>
    <w:pPr>
      <w:widowControl w:val="0"/>
      <w:spacing w:after="283" w:line="240" w:lineRule="auto"/>
      <w:ind/>
    </w:pPr>
    <w:rPr>
      <w:rFonts w:ascii="Arial" w:hAnsi="Arial"/>
      <w:sz w:val="12"/>
    </w:rPr>
  </w:style>
  <w:style w:styleId="Style_1138_ch" w:type="character">
    <w:name w:val="Горизонтальная линия"/>
    <w:basedOn w:val="Style_10_ch"/>
    <w:link w:val="Style_1138"/>
    <w:rPr>
      <w:rFonts w:ascii="Arial" w:hAnsi="Arial"/>
      <w:sz w:val="12"/>
    </w:rPr>
  </w:style>
  <w:style w:styleId="Style_1139" w:type="paragraph">
    <w:name w:val="Style103"/>
    <w:basedOn w:val="Style_10"/>
    <w:link w:val="Style_1139_ch"/>
    <w:pPr>
      <w:widowControl w:val="0"/>
      <w:spacing w:after="0" w:line="240" w:lineRule="auto"/>
      <w:ind/>
    </w:pPr>
    <w:rPr>
      <w:sz w:val="24"/>
    </w:rPr>
  </w:style>
  <w:style w:styleId="Style_1139_ch" w:type="character">
    <w:name w:val="Style103"/>
    <w:basedOn w:val="Style_10_ch"/>
    <w:link w:val="Style_1139"/>
    <w:rPr>
      <w:sz w:val="24"/>
    </w:rPr>
  </w:style>
  <w:style w:styleId="Style_1140" w:type="paragraph">
    <w:name w:val="WW8Num47z0"/>
    <w:link w:val="Style_1140_ch"/>
    <w:rPr>
      <w:rFonts w:ascii="Courier New" w:hAnsi="Courier New"/>
    </w:rPr>
  </w:style>
  <w:style w:styleId="Style_1140_ch" w:type="character">
    <w:name w:val="WW8Num47z0"/>
    <w:link w:val="Style_1140"/>
    <w:rPr>
      <w:rFonts w:ascii="Courier New" w:hAnsi="Courier New"/>
    </w:rPr>
  </w:style>
  <w:style w:styleId="Style_1141" w:type="paragraph">
    <w:name w:val="Style56"/>
    <w:basedOn w:val="Style_10"/>
    <w:link w:val="Style_1141_ch"/>
    <w:pPr>
      <w:widowControl w:val="0"/>
      <w:spacing w:after="0" w:line="276" w:lineRule="exact"/>
      <w:ind/>
      <w:jc w:val="center"/>
    </w:pPr>
    <w:rPr>
      <w:sz w:val="24"/>
    </w:rPr>
  </w:style>
  <w:style w:styleId="Style_1141_ch" w:type="character">
    <w:name w:val="Style56"/>
    <w:basedOn w:val="Style_10_ch"/>
    <w:link w:val="Style_1141"/>
    <w:rPr>
      <w:sz w:val="24"/>
    </w:rPr>
  </w:style>
  <w:style w:styleId="Style_1142" w:type="paragraph">
    <w:name w:val="xl150"/>
    <w:basedOn w:val="Style_10"/>
    <w:link w:val="Style_1142_ch"/>
    <w:pPr>
      <w:spacing w:after="280" w:before="280" w:line="240" w:lineRule="auto"/>
      <w:ind/>
      <w:jc w:val="center"/>
    </w:pPr>
    <w:rPr>
      <w:sz w:val="24"/>
    </w:rPr>
  </w:style>
  <w:style w:styleId="Style_1142_ch" w:type="character">
    <w:name w:val="xl150"/>
    <w:basedOn w:val="Style_10_ch"/>
    <w:link w:val="Style_1142"/>
    <w:rPr>
      <w:sz w:val="24"/>
    </w:rPr>
  </w:style>
  <w:style w:styleId="Style_1143" w:type="paragraph">
    <w:name w:val="xl158"/>
    <w:basedOn w:val="Style_10"/>
    <w:link w:val="Style_1143_ch"/>
    <w:pPr>
      <w:spacing w:after="280" w:before="280" w:line="240" w:lineRule="auto"/>
      <w:ind/>
      <w:jc w:val="center"/>
    </w:pPr>
    <w:rPr>
      <w:b w:val="1"/>
    </w:rPr>
  </w:style>
  <w:style w:styleId="Style_1143_ch" w:type="character">
    <w:name w:val="xl158"/>
    <w:basedOn w:val="Style_10_ch"/>
    <w:link w:val="Style_1143"/>
    <w:rPr>
      <w:b w:val="1"/>
    </w:rPr>
  </w:style>
  <w:style w:styleId="Style_1144" w:type="paragraph">
    <w:name w:val="Font Style145"/>
    <w:link w:val="Style_1144_ch"/>
    <w:rPr>
      <w:b w:val="1"/>
      <w:i w:val="1"/>
      <w:sz w:val="12"/>
    </w:rPr>
  </w:style>
  <w:style w:styleId="Style_1144_ch" w:type="character">
    <w:name w:val="Font Style145"/>
    <w:link w:val="Style_1144"/>
    <w:rPr>
      <w:b w:val="1"/>
      <w:i w:val="1"/>
      <w:sz w:val="12"/>
    </w:rPr>
  </w:style>
  <w:style w:styleId="Style_1145" w:type="paragraph">
    <w:name w:val="Font Style15"/>
    <w:link w:val="Style_1145_ch"/>
    <w:rPr>
      <w:sz w:val="22"/>
    </w:rPr>
  </w:style>
  <w:style w:styleId="Style_1145_ch" w:type="character">
    <w:name w:val="Font Style15"/>
    <w:link w:val="Style_1145"/>
    <w:rPr>
      <w:sz w:val="22"/>
    </w:rPr>
  </w:style>
  <w:style w:styleId="Style_1146" w:type="paragraph">
    <w:name w:val="WW-Цитата"/>
    <w:basedOn w:val="Style_10"/>
    <w:link w:val="Style_1146_ch"/>
    <w:pPr>
      <w:spacing w:after="0" w:before="5" w:line="480" w:lineRule="auto"/>
      <w:ind w:firstLine="0" w:left="426" w:right="14"/>
      <w:jc w:val="both"/>
    </w:pPr>
    <w:rPr>
      <w:rFonts w:ascii="CG Times" w:hAnsi="CG Times"/>
      <w:sz w:val="24"/>
    </w:rPr>
  </w:style>
  <w:style w:styleId="Style_1146_ch" w:type="character">
    <w:name w:val="WW-Цитата"/>
    <w:basedOn w:val="Style_10_ch"/>
    <w:link w:val="Style_1146"/>
    <w:rPr>
      <w:rFonts w:ascii="CG Times" w:hAnsi="CG Times"/>
      <w:sz w:val="24"/>
    </w:rPr>
  </w:style>
  <w:style w:styleId="Style_1147" w:type="paragraph">
    <w:name w:val="Style72"/>
    <w:basedOn w:val="Style_10"/>
    <w:link w:val="Style_1147_ch"/>
    <w:pPr>
      <w:widowControl w:val="0"/>
      <w:spacing w:after="0" w:line="278" w:lineRule="exact"/>
      <w:ind w:hanging="1502" w:left="1502"/>
    </w:pPr>
    <w:rPr>
      <w:sz w:val="24"/>
    </w:rPr>
  </w:style>
  <w:style w:styleId="Style_1147_ch" w:type="character">
    <w:name w:val="Style72"/>
    <w:basedOn w:val="Style_10_ch"/>
    <w:link w:val="Style_1147"/>
    <w:rPr>
      <w:sz w:val="24"/>
    </w:rPr>
  </w:style>
  <w:style w:styleId="Style_1148" w:type="paragraph">
    <w:name w:val="Font Style124"/>
    <w:link w:val="Style_1148_ch"/>
    <w:rPr>
      <w:b w:val="1"/>
      <w:sz w:val="8"/>
    </w:rPr>
  </w:style>
  <w:style w:styleId="Style_1148_ch" w:type="character">
    <w:name w:val="Font Style124"/>
    <w:link w:val="Style_1148"/>
    <w:rPr>
      <w:b w:val="1"/>
      <w:sz w:val="8"/>
    </w:rPr>
  </w:style>
  <w:style w:styleId="Style_1149" w:type="paragraph">
    <w:name w:val="xl139"/>
    <w:basedOn w:val="Style_10"/>
    <w:link w:val="Style_1149_ch"/>
    <w:pPr>
      <w:spacing w:after="280" w:before="280" w:line="240" w:lineRule="auto"/>
      <w:ind/>
      <w:jc w:val="center"/>
    </w:pPr>
    <w:rPr>
      <w:sz w:val="18"/>
    </w:rPr>
  </w:style>
  <w:style w:styleId="Style_1149_ch" w:type="character">
    <w:name w:val="xl139"/>
    <w:basedOn w:val="Style_10_ch"/>
    <w:link w:val="Style_1149"/>
    <w:rPr>
      <w:sz w:val="18"/>
    </w:rPr>
  </w:style>
  <w:style w:styleId="Style_1150" w:type="paragraph">
    <w:name w:val="WW8Num35z1"/>
    <w:link w:val="Style_1150_ch"/>
    <w:rPr>
      <w:rFonts w:ascii="Courier New" w:hAnsi="Courier New"/>
    </w:rPr>
  </w:style>
  <w:style w:styleId="Style_1150_ch" w:type="character">
    <w:name w:val="WW8Num35z1"/>
    <w:link w:val="Style_1150"/>
    <w:rPr>
      <w:rFonts w:ascii="Courier New" w:hAnsi="Courier New"/>
    </w:rPr>
  </w:style>
  <w:style w:styleId="Style_1151" w:type="paragraph">
    <w:name w:val="Font Style86"/>
    <w:link w:val="Style_1151_ch"/>
    <w:rPr>
      <w:i w:val="1"/>
      <w:sz w:val="26"/>
    </w:rPr>
  </w:style>
  <w:style w:styleId="Style_1151_ch" w:type="character">
    <w:name w:val="Font Style86"/>
    <w:link w:val="Style_1151"/>
    <w:rPr>
      <w:i w:val="1"/>
      <w:sz w:val="26"/>
    </w:rPr>
  </w:style>
  <w:style w:styleId="Style_1152" w:type="paragraph">
    <w:name w:val="WW-Absatz-Standardschriftart11111111111111111111111111"/>
    <w:link w:val="Style_1152_ch"/>
  </w:style>
  <w:style w:styleId="Style_1152_ch" w:type="character">
    <w:name w:val="WW-Absatz-Standardschriftart11111111111111111111111111"/>
    <w:link w:val="Style_1152"/>
  </w:style>
  <w:style w:styleId="Style_1153" w:type="paragraph">
    <w:name w:val="xl38"/>
    <w:basedOn w:val="Style_10"/>
    <w:link w:val="Style_1153_ch"/>
    <w:pPr>
      <w:spacing w:after="280" w:before="280" w:line="360" w:lineRule="atLeast"/>
      <w:ind w:firstLine="709" w:left="0"/>
      <w:jc w:val="both"/>
    </w:pPr>
    <w:rPr>
      <w:rFonts w:ascii="Arial Narrow" w:hAnsi="Arial Narrow"/>
      <w:b w:val="1"/>
      <w:sz w:val="24"/>
    </w:rPr>
  </w:style>
  <w:style w:styleId="Style_1153_ch" w:type="character">
    <w:name w:val="xl38"/>
    <w:basedOn w:val="Style_10_ch"/>
    <w:link w:val="Style_1153"/>
    <w:rPr>
      <w:rFonts w:ascii="Arial Narrow" w:hAnsi="Arial Narrow"/>
      <w:b w:val="1"/>
      <w:sz w:val="24"/>
    </w:rPr>
  </w:style>
  <w:style w:styleId="Style_1154" w:type="paragraph">
    <w:name w:val="Font Style32"/>
    <w:link w:val="Style_1154_ch"/>
    <w:rPr>
      <w:b w:val="1"/>
      <w:spacing w:val="10"/>
      <w:sz w:val="22"/>
    </w:rPr>
  </w:style>
  <w:style w:styleId="Style_1154_ch" w:type="character">
    <w:name w:val="Font Style32"/>
    <w:link w:val="Style_1154"/>
    <w:rPr>
      <w:b w:val="1"/>
      <w:spacing w:val="10"/>
      <w:sz w:val="22"/>
    </w:rPr>
  </w:style>
  <w:style w:styleId="Style_1155" w:type="paragraph">
    <w:name w:val="xl28"/>
    <w:basedOn w:val="Style_10"/>
    <w:link w:val="Style_1155_ch"/>
    <w:pPr>
      <w:spacing w:after="280" w:before="280" w:line="360" w:lineRule="atLeast"/>
      <w:ind w:firstLine="709" w:left="0"/>
      <w:jc w:val="center"/>
    </w:pPr>
    <w:rPr>
      <w:rFonts w:ascii="Arial Narrow" w:hAnsi="Arial Narrow"/>
      <w:b w:val="1"/>
      <w:sz w:val="24"/>
    </w:rPr>
  </w:style>
  <w:style w:styleId="Style_1155_ch" w:type="character">
    <w:name w:val="xl28"/>
    <w:basedOn w:val="Style_10_ch"/>
    <w:link w:val="Style_1155"/>
    <w:rPr>
      <w:rFonts w:ascii="Arial Narrow" w:hAnsi="Arial Narrow"/>
      <w:b w:val="1"/>
      <w:sz w:val="24"/>
    </w:rPr>
  </w:style>
  <w:style w:styleId="Style_1156" w:type="paragraph">
    <w:name w:val="???????? ????? 21"/>
    <w:basedOn w:val="Style_10"/>
    <w:link w:val="Style_1156_ch"/>
    <w:pPr>
      <w:widowControl w:val="0"/>
      <w:spacing w:after="120" w:line="480" w:lineRule="auto"/>
      <w:ind/>
    </w:pPr>
    <w:rPr>
      <w:sz w:val="24"/>
    </w:rPr>
  </w:style>
  <w:style w:styleId="Style_1156_ch" w:type="character">
    <w:name w:val="???????? ????? 21"/>
    <w:basedOn w:val="Style_10_ch"/>
    <w:link w:val="Style_1156"/>
    <w:rPr>
      <w:sz w:val="24"/>
    </w:rPr>
  </w:style>
  <w:style w:styleId="Style_1157" w:type="paragraph">
    <w:name w:val="font14"/>
    <w:basedOn w:val="Style_10"/>
    <w:link w:val="Style_1157_ch"/>
    <w:pPr>
      <w:spacing w:afterAutospacing="on" w:beforeAutospacing="on" w:line="240" w:lineRule="auto"/>
      <w:ind/>
    </w:pPr>
    <w:rPr>
      <w:b w:val="1"/>
      <w:sz w:val="14"/>
    </w:rPr>
  </w:style>
  <w:style w:styleId="Style_1157_ch" w:type="character">
    <w:name w:val="font14"/>
    <w:basedOn w:val="Style_10_ch"/>
    <w:link w:val="Style_1157"/>
    <w:rPr>
      <w:b w:val="1"/>
      <w:sz w:val="14"/>
    </w:rPr>
  </w:style>
  <w:style w:styleId="Style_1158" w:type="paragraph">
    <w:name w:val="основной текст Знак Знак Знак"/>
    <w:link w:val="Style_1158_ch"/>
    <w:rPr>
      <w:rFonts w:ascii="Arial" w:hAnsi="Arial"/>
      <w:sz w:val="28"/>
    </w:rPr>
  </w:style>
  <w:style w:styleId="Style_1158_ch" w:type="character">
    <w:name w:val="основной текст Знак Знак Знак"/>
    <w:link w:val="Style_1158"/>
    <w:rPr>
      <w:rFonts w:ascii="Arial" w:hAnsi="Arial"/>
      <w:sz w:val="28"/>
    </w:rPr>
  </w:style>
  <w:style w:styleId="Style_1159" w:type="paragraph">
    <w:name w:val="WW-WW8Num26z0"/>
    <w:link w:val="Style_1159_ch"/>
    <w:rPr>
      <w:rFonts w:ascii="Courier New" w:hAnsi="Courier New"/>
    </w:rPr>
  </w:style>
  <w:style w:styleId="Style_1159_ch" w:type="character">
    <w:name w:val="WW-WW8Num26z0"/>
    <w:link w:val="Style_1159"/>
    <w:rPr>
      <w:rFonts w:ascii="Courier New" w:hAnsi="Courier New"/>
    </w:rPr>
  </w:style>
  <w:style w:styleId="Style_1160" w:type="paragraph">
    <w:name w:val="WW8Num57z0"/>
    <w:link w:val="Style_1160_ch"/>
    <w:rPr>
      <w:rFonts w:ascii="Symbol" w:hAnsi="Symbol"/>
    </w:rPr>
  </w:style>
  <w:style w:styleId="Style_1160_ch" w:type="character">
    <w:name w:val="WW8Num57z0"/>
    <w:link w:val="Style_1160"/>
    <w:rPr>
      <w:rFonts w:ascii="Symbol" w:hAnsi="Symbol"/>
    </w:rPr>
  </w:style>
  <w:style w:styleId="Style_1161" w:type="paragraph">
    <w:name w:val="заголовок 2"/>
    <w:basedOn w:val="Style_10"/>
    <w:next w:val="Style_10"/>
    <w:link w:val="Style_1161_ch"/>
    <w:pPr>
      <w:keepNext w:val="1"/>
      <w:spacing w:after="0" w:before="120" w:line="360" w:lineRule="atLeast"/>
      <w:ind/>
    </w:pPr>
    <w:rPr>
      <w:b w:val="1"/>
      <w:i w:val="1"/>
      <w:smallCaps w:val="1"/>
      <w:sz w:val="24"/>
    </w:rPr>
  </w:style>
  <w:style w:styleId="Style_1161_ch" w:type="character">
    <w:name w:val="заголовок 2"/>
    <w:basedOn w:val="Style_10_ch"/>
    <w:link w:val="Style_1161"/>
    <w:rPr>
      <w:b w:val="1"/>
      <w:i w:val="1"/>
      <w:smallCaps w:val="1"/>
      <w:sz w:val="24"/>
    </w:rPr>
  </w:style>
  <w:style w:styleId="Style_1162" w:type="paragraph">
    <w:name w:val="УГТП-Подписи"/>
    <w:basedOn w:val="Style_1"/>
    <w:link w:val="Style_1162_ch"/>
    <w:pPr>
      <w:spacing w:after="0" w:line="240" w:lineRule="auto"/>
      <w:ind/>
    </w:pPr>
    <w:rPr>
      <w:rFonts w:ascii="Arial" w:hAnsi="Arial"/>
      <w:sz w:val="16"/>
    </w:rPr>
  </w:style>
  <w:style w:styleId="Style_1162_ch" w:type="character">
    <w:name w:val="УГТП-Подписи"/>
    <w:basedOn w:val="Style_1_ch"/>
    <w:link w:val="Style_1162"/>
    <w:rPr>
      <w:rFonts w:ascii="Arial" w:hAnsi="Arial"/>
      <w:sz w:val="16"/>
    </w:rPr>
  </w:style>
  <w:style w:styleId="Style_1163" w:type="paragraph">
    <w:name w:val="xl97"/>
    <w:basedOn w:val="Style_10"/>
    <w:link w:val="Style_1163_ch"/>
    <w:pPr>
      <w:spacing w:afterAutospacing="on" w:beforeAutospacing="on" w:line="240" w:lineRule="auto"/>
      <w:ind/>
      <w:jc w:val="center"/>
    </w:pPr>
    <w:rPr>
      <w:sz w:val="18"/>
    </w:rPr>
  </w:style>
  <w:style w:styleId="Style_1163_ch" w:type="character">
    <w:name w:val="xl97"/>
    <w:basedOn w:val="Style_10_ch"/>
    <w:link w:val="Style_1163"/>
    <w:rPr>
      <w:sz w:val="18"/>
    </w:rPr>
  </w:style>
  <w:style w:styleId="Style_1164" w:type="paragraph">
    <w:name w:val="WW-WW8Num16z0"/>
    <w:link w:val="Style_1164_ch"/>
    <w:rPr>
      <w:rFonts w:ascii="Courier New" w:hAnsi="Courier New"/>
    </w:rPr>
  </w:style>
  <w:style w:styleId="Style_1164_ch" w:type="character">
    <w:name w:val="WW-WW8Num16z0"/>
    <w:link w:val="Style_1164"/>
    <w:rPr>
      <w:rFonts w:ascii="Courier New" w:hAnsi="Courier New"/>
    </w:rPr>
  </w:style>
  <w:style w:styleId="Style_1165" w:type="paragraph">
    <w:name w:val="Слабая ссылка1"/>
    <w:link w:val="Style_1165_ch"/>
    <w:rPr>
      <w:sz w:val="24"/>
      <w:u w:val="single"/>
    </w:rPr>
  </w:style>
  <w:style w:styleId="Style_1165_ch" w:type="character">
    <w:name w:val="Слабая ссылка1"/>
    <w:link w:val="Style_1165"/>
    <w:rPr>
      <w:sz w:val="24"/>
      <w:u w:val="single"/>
    </w:rPr>
  </w:style>
  <w:style w:styleId="Style_1166" w:type="paragraph">
    <w:name w:val="WW-WW8Num37z0"/>
    <w:link w:val="Style_1166_ch"/>
    <w:rPr>
      <w:rFonts w:ascii="StarSymbol" w:hAnsi="StarSymbol"/>
      <w:sz w:val="18"/>
    </w:rPr>
  </w:style>
  <w:style w:styleId="Style_1166_ch" w:type="character">
    <w:name w:val="WW-WW8Num37z0"/>
    <w:link w:val="Style_1166"/>
    <w:rPr>
      <w:rFonts w:ascii="StarSymbol" w:hAnsi="StarSymbol"/>
      <w:sz w:val="18"/>
    </w:rPr>
  </w:style>
  <w:style w:styleId="Style_1167" w:type="paragraph">
    <w:name w:val="пояснилка Знак"/>
    <w:link w:val="Style_1167_ch"/>
    <w:rPr>
      <w:sz w:val="28"/>
    </w:rPr>
  </w:style>
  <w:style w:styleId="Style_1167_ch" w:type="character">
    <w:name w:val="пояснилка Знак"/>
    <w:link w:val="Style_1167"/>
    <w:rPr>
      <w:sz w:val="28"/>
    </w:rPr>
  </w:style>
  <w:style w:styleId="Style_1168" w:type="paragraph">
    <w:name w:val="WW8Num9z2"/>
    <w:link w:val="Style_1168_ch"/>
    <w:rPr>
      <w:rFonts w:ascii="Wingdings" w:hAnsi="Wingdings"/>
      <w:sz w:val="24"/>
    </w:rPr>
  </w:style>
  <w:style w:styleId="Style_1168_ch" w:type="character">
    <w:name w:val="WW8Num9z2"/>
    <w:link w:val="Style_1168"/>
    <w:rPr>
      <w:rFonts w:ascii="Wingdings" w:hAnsi="Wingdings"/>
      <w:sz w:val="24"/>
    </w:rPr>
  </w:style>
  <w:style w:styleId="Style_1169" w:type="paragraph">
    <w:name w:val="xl101"/>
    <w:basedOn w:val="Style_10"/>
    <w:link w:val="Style_1169_ch"/>
    <w:pPr>
      <w:spacing w:afterAutospacing="on" w:beforeAutospacing="on" w:line="240" w:lineRule="auto"/>
      <w:ind/>
      <w:jc w:val="center"/>
    </w:pPr>
    <w:rPr>
      <w:sz w:val="18"/>
    </w:rPr>
  </w:style>
  <w:style w:styleId="Style_1169_ch" w:type="character">
    <w:name w:val="xl101"/>
    <w:basedOn w:val="Style_10_ch"/>
    <w:link w:val="Style_1169"/>
    <w:rPr>
      <w:sz w:val="18"/>
    </w:rPr>
  </w:style>
  <w:style w:styleId="Style_1170" w:type="paragraph">
    <w:name w:val="xl82"/>
    <w:basedOn w:val="Style_10"/>
    <w:link w:val="Style_1170_ch"/>
    <w:pPr>
      <w:spacing w:afterAutospacing="on" w:beforeAutospacing="on" w:line="240" w:lineRule="auto"/>
      <w:ind/>
      <w:jc w:val="center"/>
    </w:pPr>
    <w:rPr>
      <w:b w:val="1"/>
      <w:sz w:val="26"/>
    </w:rPr>
  </w:style>
  <w:style w:styleId="Style_1170_ch" w:type="character">
    <w:name w:val="xl82"/>
    <w:basedOn w:val="Style_10_ch"/>
    <w:link w:val="Style_1170"/>
    <w:rPr>
      <w:b w:val="1"/>
      <w:sz w:val="26"/>
    </w:rPr>
  </w:style>
  <w:style w:styleId="Style_1171" w:type="paragraph">
    <w:name w:val="WW8Num59z2"/>
    <w:link w:val="Style_1171_ch"/>
    <w:rPr>
      <w:rFonts w:ascii="Wingdings" w:hAnsi="Wingdings"/>
      <w:sz w:val="24"/>
    </w:rPr>
  </w:style>
  <w:style w:styleId="Style_1171_ch" w:type="character">
    <w:name w:val="WW8Num59z2"/>
    <w:link w:val="Style_1171"/>
    <w:rPr>
      <w:rFonts w:ascii="Wingdings" w:hAnsi="Wingdings"/>
      <w:sz w:val="24"/>
    </w:rPr>
  </w:style>
  <w:style w:styleId="Style_1172" w:type="paragraph">
    <w:name w:val="Subtitle"/>
    <w:basedOn w:val="Style_743"/>
    <w:next w:val="Style_74"/>
    <w:link w:val="Style_1172_ch"/>
    <w:uiPriority w:val="11"/>
    <w:qFormat/>
    <w:pPr>
      <w:ind/>
      <w:jc w:val="center"/>
    </w:pPr>
    <w:rPr>
      <w:i w:val="1"/>
    </w:rPr>
  </w:style>
  <w:style w:styleId="Style_1172_ch" w:type="character">
    <w:name w:val="Subtitle"/>
    <w:basedOn w:val="Style_743_ch"/>
    <w:link w:val="Style_1172"/>
    <w:rPr>
      <w:i w:val="1"/>
    </w:rPr>
  </w:style>
  <w:style w:styleId="Style_1173" w:type="paragraph">
    <w:name w:val="Style96"/>
    <w:basedOn w:val="Style_10"/>
    <w:link w:val="Style_1173_ch"/>
    <w:pPr>
      <w:widowControl w:val="0"/>
      <w:spacing w:after="0" w:line="240" w:lineRule="auto"/>
      <w:ind/>
    </w:pPr>
    <w:rPr>
      <w:sz w:val="24"/>
    </w:rPr>
  </w:style>
  <w:style w:styleId="Style_1173_ch" w:type="character">
    <w:name w:val="Style96"/>
    <w:basedOn w:val="Style_10_ch"/>
    <w:link w:val="Style_1173"/>
    <w:rPr>
      <w:sz w:val="24"/>
    </w:rPr>
  </w:style>
  <w:style w:styleId="Style_1174" w:type="paragraph">
    <w:name w:val="WW8Num60z4"/>
    <w:link w:val="Style_1174_ch"/>
    <w:rPr>
      <w:rFonts w:ascii="Courier New" w:hAnsi="Courier New"/>
    </w:rPr>
  </w:style>
  <w:style w:styleId="Style_1174_ch" w:type="character">
    <w:name w:val="WW8Num60z4"/>
    <w:link w:val="Style_1174"/>
    <w:rPr>
      <w:rFonts w:ascii="Courier New" w:hAnsi="Courier New"/>
    </w:rPr>
  </w:style>
  <w:style w:styleId="Style_1175" w:type="paragraph">
    <w:name w:val="WW8Num19z2"/>
    <w:link w:val="Style_1175_ch"/>
    <w:rPr>
      <w:rFonts w:ascii="Wingdings" w:hAnsi="Wingdings"/>
    </w:rPr>
  </w:style>
  <w:style w:styleId="Style_1175_ch" w:type="character">
    <w:name w:val="WW8Num19z2"/>
    <w:link w:val="Style_1175"/>
    <w:rPr>
      <w:rFonts w:ascii="Wingdings" w:hAnsi="Wingdings"/>
    </w:rPr>
  </w:style>
  <w:style w:styleId="Style_1176" w:type="paragraph">
    <w:name w:val="rvts24"/>
    <w:link w:val="Style_1176_ch"/>
    <w:rPr>
      <w:sz w:val="24"/>
    </w:rPr>
  </w:style>
  <w:style w:styleId="Style_1176_ch" w:type="character">
    <w:name w:val="rvts24"/>
    <w:link w:val="Style_1176"/>
    <w:rPr>
      <w:sz w:val="24"/>
    </w:rPr>
  </w:style>
  <w:style w:styleId="Style_1177" w:type="paragraph">
    <w:name w:val="geo-multi-punct1"/>
    <w:link w:val="Style_1177_ch"/>
  </w:style>
  <w:style w:styleId="Style_1177_ch" w:type="character">
    <w:name w:val="geo-multi-punct1"/>
    <w:link w:val="Style_1177"/>
  </w:style>
  <w:style w:styleId="Style_1178" w:type="paragraph">
    <w:name w:val="WW8Num192z1"/>
    <w:link w:val="Style_1178_ch"/>
    <w:rPr>
      <w:rFonts w:ascii="Courier New" w:hAnsi="Courier New"/>
    </w:rPr>
  </w:style>
  <w:style w:styleId="Style_1178_ch" w:type="character">
    <w:name w:val="WW8Num192z1"/>
    <w:link w:val="Style_1178"/>
    <w:rPr>
      <w:rFonts w:ascii="Courier New" w:hAnsi="Courier New"/>
    </w:rPr>
  </w:style>
  <w:style w:styleId="Style_1179" w:type="paragraph">
    <w:name w:val="Основной текст 21"/>
    <w:basedOn w:val="Style_10"/>
    <w:link w:val="Style_1179_ch"/>
    <w:pPr>
      <w:spacing w:after="0" w:line="240" w:lineRule="auto"/>
      <w:ind/>
      <w:jc w:val="both"/>
    </w:pPr>
    <w:rPr>
      <w:sz w:val="24"/>
    </w:rPr>
  </w:style>
  <w:style w:styleId="Style_1179_ch" w:type="character">
    <w:name w:val="Основной текст 21"/>
    <w:basedOn w:val="Style_10_ch"/>
    <w:link w:val="Style_1179"/>
    <w:rPr>
      <w:sz w:val="24"/>
    </w:rPr>
  </w:style>
  <w:style w:styleId="Style_1180" w:type="paragraph">
    <w:name w:val="Style108"/>
    <w:basedOn w:val="Style_10"/>
    <w:link w:val="Style_1180_ch"/>
    <w:pPr>
      <w:widowControl w:val="0"/>
      <w:spacing w:after="0" w:line="251" w:lineRule="exact"/>
      <w:ind w:hanging="125" w:left="125"/>
    </w:pPr>
    <w:rPr>
      <w:sz w:val="24"/>
    </w:rPr>
  </w:style>
  <w:style w:styleId="Style_1180_ch" w:type="character">
    <w:name w:val="Style108"/>
    <w:basedOn w:val="Style_10_ch"/>
    <w:link w:val="Style_1180"/>
    <w:rPr>
      <w:sz w:val="24"/>
    </w:rPr>
  </w:style>
  <w:style w:styleId="Style_1181" w:type="paragraph">
    <w:name w:val="WW8Num23z1"/>
    <w:link w:val="Style_1181_ch"/>
    <w:rPr>
      <w:rFonts w:ascii="Courier New" w:hAnsi="Courier New"/>
    </w:rPr>
  </w:style>
  <w:style w:styleId="Style_1181_ch" w:type="character">
    <w:name w:val="WW8Num23z1"/>
    <w:link w:val="Style_1181"/>
    <w:rPr>
      <w:rFonts w:ascii="Courier New" w:hAnsi="Courier New"/>
    </w:rPr>
  </w:style>
  <w:style w:styleId="Style_1182" w:type="paragraph">
    <w:name w:val="font271"/>
    <w:link w:val="Style_1182_ch"/>
    <w:rPr>
      <w:vertAlign w:val="subscript"/>
    </w:rPr>
  </w:style>
  <w:style w:styleId="Style_1182_ch" w:type="character">
    <w:name w:val="font271"/>
    <w:link w:val="Style_1182"/>
    <w:rPr>
      <w:vertAlign w:val="subscript"/>
    </w:rPr>
  </w:style>
  <w:style w:styleId="Style_1183" w:type="paragraph">
    <w:name w:val="WW8Num27z1"/>
    <w:link w:val="Style_1183_ch"/>
    <w:rPr>
      <w:rFonts w:ascii="Courier New" w:hAnsi="Courier New"/>
    </w:rPr>
  </w:style>
  <w:style w:styleId="Style_1183_ch" w:type="character">
    <w:name w:val="WW8Num27z1"/>
    <w:link w:val="Style_1183"/>
    <w:rPr>
      <w:rFonts w:ascii="Courier New" w:hAnsi="Courier New"/>
    </w:rPr>
  </w:style>
  <w:style w:styleId="Style_1184" w:type="paragraph">
    <w:name w:val="WW8Num7z1"/>
    <w:link w:val="Style_1184_ch"/>
    <w:rPr>
      <w:rFonts w:ascii="Courier New" w:hAnsi="Courier New"/>
    </w:rPr>
  </w:style>
  <w:style w:styleId="Style_1184_ch" w:type="character">
    <w:name w:val="WW8Num7z1"/>
    <w:link w:val="Style_1184"/>
    <w:rPr>
      <w:rFonts w:ascii="Courier New" w:hAnsi="Courier New"/>
    </w:rPr>
  </w:style>
  <w:style w:styleId="Style_1185" w:type="paragraph">
    <w:name w:val="Body Text Indent 21"/>
    <w:basedOn w:val="Style_10"/>
    <w:link w:val="Style_1185_ch"/>
    <w:pPr>
      <w:spacing w:after="0" w:line="240" w:lineRule="auto"/>
      <w:ind w:firstLine="720" w:left="0"/>
      <w:jc w:val="both"/>
    </w:pPr>
    <w:rPr>
      <w:sz w:val="24"/>
    </w:rPr>
  </w:style>
  <w:style w:styleId="Style_1185_ch" w:type="character">
    <w:name w:val="Body Text Indent 21"/>
    <w:basedOn w:val="Style_10_ch"/>
    <w:link w:val="Style_1185"/>
    <w:rPr>
      <w:sz w:val="24"/>
    </w:rPr>
  </w:style>
  <w:style w:styleId="Style_1186" w:type="paragraph">
    <w:name w:val="xl119"/>
    <w:basedOn w:val="Style_10"/>
    <w:link w:val="Style_1186_ch"/>
    <w:pPr>
      <w:spacing w:afterAutospacing="on" w:beforeAutospacing="on" w:line="240" w:lineRule="auto"/>
      <w:ind/>
      <w:jc w:val="center"/>
    </w:pPr>
    <w:rPr>
      <w:sz w:val="24"/>
    </w:rPr>
  </w:style>
  <w:style w:styleId="Style_1186_ch" w:type="character">
    <w:name w:val="xl119"/>
    <w:basedOn w:val="Style_10_ch"/>
    <w:link w:val="Style_1186"/>
    <w:rPr>
      <w:sz w:val="24"/>
    </w:rPr>
  </w:style>
  <w:style w:styleId="Style_1187" w:type="paragraph">
    <w:name w:val="Font Style191"/>
    <w:link w:val="Style_1187_ch"/>
  </w:style>
  <w:style w:styleId="Style_1187_ch" w:type="character">
    <w:name w:val="Font Style191"/>
    <w:link w:val="Style_1187"/>
  </w:style>
  <w:style w:styleId="Style_1188" w:type="paragraph">
    <w:name w:val="xl76"/>
    <w:basedOn w:val="Style_10"/>
    <w:link w:val="Style_1188_ch"/>
    <w:pPr>
      <w:spacing w:afterAutospacing="on" w:beforeAutospacing="on" w:line="240" w:lineRule="auto"/>
      <w:ind/>
      <w:jc w:val="center"/>
    </w:pPr>
    <w:rPr>
      <w:sz w:val="26"/>
    </w:rPr>
  </w:style>
  <w:style w:styleId="Style_1188_ch" w:type="character">
    <w:name w:val="xl76"/>
    <w:basedOn w:val="Style_10_ch"/>
    <w:link w:val="Style_1188"/>
    <w:rPr>
      <w:sz w:val="26"/>
    </w:rPr>
  </w:style>
  <w:style w:styleId="Style_1189" w:type="paragraph">
    <w:name w:val="Знак Знак2"/>
    <w:link w:val="Style_1189_ch"/>
    <w:rPr>
      <w:rFonts w:ascii="Arial" w:hAnsi="Arial"/>
      <w:b w:val="1"/>
      <w:sz w:val="26"/>
    </w:rPr>
  </w:style>
  <w:style w:styleId="Style_1189_ch" w:type="character">
    <w:name w:val="Знак Знак2"/>
    <w:link w:val="Style_1189"/>
    <w:rPr>
      <w:rFonts w:ascii="Arial" w:hAnsi="Arial"/>
      <w:b w:val="1"/>
      <w:sz w:val="26"/>
    </w:rPr>
  </w:style>
  <w:style w:styleId="Style_1190" w:type="paragraph">
    <w:name w:val="WW8Num50z0"/>
    <w:link w:val="Style_1190_ch"/>
    <w:rPr>
      <w:rFonts w:ascii="Symbol" w:hAnsi="Symbol"/>
    </w:rPr>
  </w:style>
  <w:style w:styleId="Style_1190_ch" w:type="character">
    <w:name w:val="WW8Num50z0"/>
    <w:link w:val="Style_1190"/>
    <w:rPr>
      <w:rFonts w:ascii="Symbol" w:hAnsi="Symbol"/>
    </w:rPr>
  </w:style>
  <w:style w:styleId="Style_1191" w:type="paragraph">
    <w:name w:val="WW8Num31z1"/>
    <w:link w:val="Style_1191_ch"/>
    <w:rPr>
      <w:rFonts w:ascii="Courier New" w:hAnsi="Courier New"/>
    </w:rPr>
  </w:style>
  <w:style w:styleId="Style_1191_ch" w:type="character">
    <w:name w:val="WW8Num31z1"/>
    <w:link w:val="Style_1191"/>
    <w:rPr>
      <w:rFonts w:ascii="Courier New" w:hAnsi="Courier New"/>
    </w:rPr>
  </w:style>
  <w:style w:styleId="Style_1192" w:type="paragraph">
    <w:name w:val="Font Style146"/>
    <w:link w:val="Style_1192_ch"/>
    <w:rPr>
      <w:rFonts w:ascii="Sylfaen" w:hAnsi="Sylfaen"/>
      <w:b w:val="1"/>
      <w:i w:val="1"/>
      <w:sz w:val="14"/>
    </w:rPr>
  </w:style>
  <w:style w:styleId="Style_1192_ch" w:type="character">
    <w:name w:val="Font Style146"/>
    <w:link w:val="Style_1192"/>
    <w:rPr>
      <w:rFonts w:ascii="Sylfaen" w:hAnsi="Sylfaen"/>
      <w:b w:val="1"/>
      <w:i w:val="1"/>
      <w:sz w:val="14"/>
    </w:rPr>
  </w:style>
  <w:style w:styleId="Style_1193" w:type="paragraph">
    <w:name w:val="Style52"/>
    <w:basedOn w:val="Style_10"/>
    <w:link w:val="Style_1193_ch"/>
    <w:pPr>
      <w:widowControl w:val="0"/>
      <w:spacing w:after="0" w:line="240" w:lineRule="auto"/>
      <w:ind/>
    </w:pPr>
    <w:rPr>
      <w:sz w:val="24"/>
    </w:rPr>
  </w:style>
  <w:style w:styleId="Style_1193_ch" w:type="character">
    <w:name w:val="Style52"/>
    <w:basedOn w:val="Style_10_ch"/>
    <w:link w:val="Style_1193"/>
    <w:rPr>
      <w:sz w:val="24"/>
    </w:rPr>
  </w:style>
  <w:style w:styleId="Style_1194" w:type="paragraph">
    <w:name w:val="Font Style156"/>
    <w:link w:val="Style_1194_ch"/>
    <w:rPr>
      <w:sz w:val="30"/>
    </w:rPr>
  </w:style>
  <w:style w:styleId="Style_1194_ch" w:type="character">
    <w:name w:val="Font Style156"/>
    <w:link w:val="Style_1194"/>
    <w:rPr>
      <w:sz w:val="30"/>
    </w:rPr>
  </w:style>
  <w:style w:styleId="Style_1195" w:type="paragraph">
    <w:name w:val="Обычный1"/>
    <w:link w:val="Style_1195_ch"/>
    <w:pPr>
      <w:widowControl w:val="0"/>
      <w:ind/>
    </w:pPr>
    <w:rPr>
      <w:rFonts w:ascii="Arial" w:hAnsi="Arial"/>
    </w:rPr>
  </w:style>
  <w:style w:styleId="Style_1195_ch" w:type="character">
    <w:name w:val="Обычный1"/>
    <w:link w:val="Style_1195"/>
    <w:rPr>
      <w:rFonts w:ascii="Arial" w:hAnsi="Arial"/>
    </w:rPr>
  </w:style>
  <w:style w:styleId="Style_1196" w:type="paragraph">
    <w:name w:val="WW-WW8Num2z0"/>
    <w:link w:val="Style_1196_ch"/>
    <w:rPr>
      <w:rFonts w:ascii="Courier New" w:hAnsi="Courier New"/>
    </w:rPr>
  </w:style>
  <w:style w:styleId="Style_1196_ch" w:type="character">
    <w:name w:val="WW-WW8Num2z0"/>
    <w:link w:val="Style_1196"/>
    <w:rPr>
      <w:rFonts w:ascii="Courier New" w:hAnsi="Courier New"/>
    </w:rPr>
  </w:style>
  <w:style w:styleId="Style_1197" w:type="paragraph">
    <w:name w:val="очистить формат"/>
    <w:basedOn w:val="Style_777"/>
    <w:link w:val="Style_1197_ch"/>
    <w:pPr>
      <w:widowControl w:val="1"/>
      <w:spacing w:line="360" w:lineRule="atLeast"/>
      <w:ind w:firstLine="709" w:left="0"/>
      <w:jc w:val="both"/>
    </w:pPr>
    <w:rPr>
      <w:sz w:val="20"/>
    </w:rPr>
  </w:style>
  <w:style w:styleId="Style_1197_ch" w:type="character">
    <w:name w:val="очистить формат"/>
    <w:basedOn w:val="Style_777_ch"/>
    <w:link w:val="Style_1197"/>
    <w:rPr>
      <w:sz w:val="20"/>
    </w:rPr>
  </w:style>
  <w:style w:styleId="Style_1198" w:type="paragraph">
    <w:name w:val="WW8Num65z2"/>
    <w:link w:val="Style_1198_ch"/>
    <w:rPr>
      <w:rFonts w:ascii="Wingdings" w:hAnsi="Wingdings"/>
    </w:rPr>
  </w:style>
  <w:style w:styleId="Style_1198_ch" w:type="character">
    <w:name w:val="WW8Num65z2"/>
    <w:link w:val="Style_1198"/>
    <w:rPr>
      <w:rFonts w:ascii="Wingdings" w:hAnsi="Wingdings"/>
    </w:rPr>
  </w:style>
  <w:style w:styleId="Style_694" w:type="paragraph">
    <w:name w:val="WW-Маркированный список"/>
    <w:basedOn w:val="Style_10"/>
    <w:link w:val="Style_694_ch"/>
    <w:pPr>
      <w:spacing w:after="0" w:line="240" w:lineRule="auto"/>
      <w:ind/>
    </w:pPr>
    <w:rPr>
      <w:sz w:val="20"/>
    </w:rPr>
  </w:style>
  <w:style w:styleId="Style_694_ch" w:type="character">
    <w:name w:val="WW-Маркированный список"/>
    <w:basedOn w:val="Style_10_ch"/>
    <w:link w:val="Style_694"/>
    <w:rPr>
      <w:sz w:val="20"/>
    </w:rPr>
  </w:style>
  <w:style w:styleId="Style_1199" w:type="paragraph">
    <w:name w:val="Style20"/>
    <w:basedOn w:val="Style_10"/>
    <w:link w:val="Style_1199_ch"/>
    <w:pPr>
      <w:widowControl w:val="0"/>
      <w:spacing w:after="0" w:line="240" w:lineRule="auto"/>
      <w:ind/>
    </w:pPr>
    <w:rPr>
      <w:sz w:val="24"/>
    </w:rPr>
  </w:style>
  <w:style w:styleId="Style_1199_ch" w:type="character">
    <w:name w:val="Style20"/>
    <w:basedOn w:val="Style_10_ch"/>
    <w:link w:val="Style_1199"/>
    <w:rPr>
      <w:sz w:val="24"/>
    </w:rPr>
  </w:style>
  <w:style w:styleId="Style_1200" w:type="paragraph">
    <w:name w:val="WW8Num54z0"/>
    <w:link w:val="Style_1200_ch"/>
    <w:rPr>
      <w:rFonts w:ascii="Wingdings" w:hAnsi="Wingdings"/>
    </w:rPr>
  </w:style>
  <w:style w:styleId="Style_1200_ch" w:type="character">
    <w:name w:val="WW8Num54z0"/>
    <w:link w:val="Style_1200"/>
    <w:rPr>
      <w:rFonts w:ascii="Wingdings" w:hAnsi="Wingdings"/>
    </w:rPr>
  </w:style>
  <w:style w:styleId="Style_1201" w:type="paragraph">
    <w:name w:val="font10"/>
    <w:basedOn w:val="Style_10"/>
    <w:link w:val="Style_1201_ch"/>
    <w:pPr>
      <w:spacing w:after="280" w:before="280" w:line="240" w:lineRule="auto"/>
      <w:ind/>
    </w:pPr>
    <w:rPr>
      <w:rFonts w:ascii="Tahoma" w:hAnsi="Tahoma"/>
      <w:b w:val="1"/>
      <w:sz w:val="16"/>
    </w:rPr>
  </w:style>
  <w:style w:styleId="Style_1201_ch" w:type="character">
    <w:name w:val="font10"/>
    <w:basedOn w:val="Style_10_ch"/>
    <w:link w:val="Style_1201"/>
    <w:rPr>
      <w:rFonts w:ascii="Tahoma" w:hAnsi="Tahoma"/>
      <w:b w:val="1"/>
      <w:sz w:val="16"/>
    </w:rPr>
  </w:style>
  <w:style w:styleId="Style_1202" w:type="paragraph">
    <w:name w:val="Font Style29"/>
    <w:link w:val="Style_1202_ch"/>
    <w:rPr>
      <w:i w:val="1"/>
      <w:sz w:val="24"/>
    </w:rPr>
  </w:style>
  <w:style w:styleId="Style_1202_ch" w:type="character">
    <w:name w:val="Font Style29"/>
    <w:link w:val="Style_1202"/>
    <w:rPr>
      <w:i w:val="1"/>
      <w:sz w:val="24"/>
    </w:rPr>
  </w:style>
  <w:style w:styleId="Style_1203" w:type="paragraph">
    <w:name w:val="Style18"/>
    <w:basedOn w:val="Style_10"/>
    <w:link w:val="Style_1203_ch"/>
    <w:pPr>
      <w:widowControl w:val="0"/>
      <w:spacing w:after="0" w:line="240" w:lineRule="auto"/>
      <w:ind/>
    </w:pPr>
    <w:rPr>
      <w:sz w:val="24"/>
    </w:rPr>
  </w:style>
  <w:style w:styleId="Style_1203_ch" w:type="character">
    <w:name w:val="Style18"/>
    <w:basedOn w:val="Style_10_ch"/>
    <w:link w:val="Style_1203"/>
    <w:rPr>
      <w:sz w:val="24"/>
    </w:rPr>
  </w:style>
  <w:style w:styleId="Style_1204" w:type="paragraph">
    <w:name w:val="Заголовок 11"/>
    <w:basedOn w:val="Style_10"/>
    <w:next w:val="Style_10"/>
    <w:link w:val="Style_1204_ch"/>
    <w:pPr>
      <w:keepNext w:val="1"/>
      <w:spacing w:after="0" w:line="240" w:lineRule="auto"/>
      <w:ind/>
      <w:jc w:val="center"/>
    </w:pPr>
    <w:rPr>
      <w:b w:val="1"/>
      <w:sz w:val="24"/>
    </w:rPr>
  </w:style>
  <w:style w:styleId="Style_1204_ch" w:type="character">
    <w:name w:val="Заголовок 11"/>
    <w:basedOn w:val="Style_10_ch"/>
    <w:link w:val="Style_1204"/>
    <w:rPr>
      <w:b w:val="1"/>
      <w:sz w:val="24"/>
    </w:rPr>
  </w:style>
  <w:style w:styleId="Style_1205" w:type="paragraph">
    <w:name w:val="Font Style137"/>
    <w:link w:val="Style_1205_ch"/>
    <w:rPr>
      <w:rFonts w:ascii="Arial" w:hAnsi="Arial"/>
      <w:b w:val="1"/>
      <w:sz w:val="22"/>
    </w:rPr>
  </w:style>
  <w:style w:styleId="Style_1205_ch" w:type="character">
    <w:name w:val="Font Style137"/>
    <w:link w:val="Style_1205"/>
    <w:rPr>
      <w:rFonts w:ascii="Arial" w:hAnsi="Arial"/>
      <w:b w:val="1"/>
      <w:sz w:val="22"/>
    </w:rPr>
  </w:style>
  <w:style w:styleId="Style_1206" w:type="paragraph">
    <w:name w:val="sdfootnote-ctl"/>
    <w:basedOn w:val="Style_10"/>
    <w:link w:val="Style_1206_ch"/>
    <w:pPr>
      <w:spacing w:after="0" w:before="280" w:line="240" w:lineRule="auto"/>
      <w:ind/>
    </w:pPr>
    <w:rPr>
      <w:sz w:val="24"/>
    </w:rPr>
  </w:style>
  <w:style w:styleId="Style_1206_ch" w:type="character">
    <w:name w:val="sdfootnote-ctl"/>
    <w:basedOn w:val="Style_10_ch"/>
    <w:link w:val="Style_1206"/>
    <w:rPr>
      <w:sz w:val="24"/>
    </w:rPr>
  </w:style>
  <w:style w:styleId="Style_1207" w:type="paragraph">
    <w:name w:val="Font Style172"/>
    <w:link w:val="Style_1207_ch"/>
    <w:rPr>
      <w:rFonts w:ascii="Arial Unicode MS" w:hAnsi="Arial Unicode MS"/>
      <w:b w:val="1"/>
      <w:spacing w:val="-20"/>
      <w:sz w:val="24"/>
    </w:rPr>
  </w:style>
  <w:style w:styleId="Style_1207_ch" w:type="character">
    <w:name w:val="Font Style172"/>
    <w:link w:val="Style_1207"/>
    <w:rPr>
      <w:rFonts w:ascii="Arial Unicode MS" w:hAnsi="Arial Unicode MS"/>
      <w:b w:val="1"/>
      <w:spacing w:val="-20"/>
      <w:sz w:val="24"/>
    </w:rPr>
  </w:style>
  <w:style w:styleId="Style_1208" w:type="paragraph">
    <w:name w:val="Font Style151"/>
    <w:link w:val="Style_1208_ch"/>
    <w:rPr>
      <w:rFonts w:ascii="Georgia" w:hAnsi="Georgia"/>
      <w:b w:val="1"/>
      <w:sz w:val="12"/>
    </w:rPr>
  </w:style>
  <w:style w:styleId="Style_1208_ch" w:type="character">
    <w:name w:val="Font Style151"/>
    <w:link w:val="Style_1208"/>
    <w:rPr>
      <w:rFonts w:ascii="Georgia" w:hAnsi="Georgia"/>
      <w:b w:val="1"/>
      <w:sz w:val="12"/>
    </w:rPr>
  </w:style>
  <w:style w:styleId="Style_1209" w:type="paragraph">
    <w:name w:val="WW8NumSt23z0"/>
    <w:link w:val="Style_1209_ch"/>
  </w:style>
  <w:style w:styleId="Style_1209_ch" w:type="character">
    <w:name w:val="WW8NumSt23z0"/>
    <w:link w:val="Style_1209"/>
  </w:style>
  <w:style w:styleId="Style_1210" w:type="paragraph">
    <w:name w:val="Основной текст 23"/>
    <w:basedOn w:val="Style_10"/>
    <w:link w:val="Style_1210_ch"/>
    <w:pPr>
      <w:widowControl w:val="0"/>
      <w:spacing w:after="0" w:line="240" w:lineRule="auto"/>
      <w:ind/>
      <w:jc w:val="both"/>
    </w:pPr>
    <w:rPr>
      <w:rFonts w:ascii="Arial" w:hAnsi="Arial"/>
      <w:sz w:val="24"/>
    </w:rPr>
  </w:style>
  <w:style w:styleId="Style_1210_ch" w:type="character">
    <w:name w:val="Основной текст 23"/>
    <w:basedOn w:val="Style_10_ch"/>
    <w:link w:val="Style_1210"/>
    <w:rPr>
      <w:rFonts w:ascii="Arial" w:hAnsi="Arial"/>
      <w:sz w:val="24"/>
    </w:rPr>
  </w:style>
  <w:style w:styleId="Style_1211" w:type="paragraph">
    <w:name w:val="Текст_таблицы_IG"/>
    <w:basedOn w:val="Style_10"/>
    <w:link w:val="Style_1211_ch"/>
    <w:pPr>
      <w:spacing w:after="0" w:line="240" w:lineRule="auto"/>
      <w:ind/>
    </w:pPr>
    <w:rPr>
      <w:sz w:val="24"/>
    </w:rPr>
  </w:style>
  <w:style w:styleId="Style_1211_ch" w:type="character">
    <w:name w:val="Текст_таблицы_IG"/>
    <w:basedOn w:val="Style_10_ch"/>
    <w:link w:val="Style_1211"/>
    <w:rPr>
      <w:sz w:val="24"/>
    </w:rPr>
  </w:style>
  <w:style w:styleId="Style_1212" w:type="paragraph">
    <w:name w:val="HTML Address"/>
    <w:basedOn w:val="Style_10"/>
    <w:link w:val="Style_1212_ch"/>
    <w:pPr>
      <w:widowControl w:val="0"/>
      <w:spacing w:after="0" w:line="240" w:lineRule="auto"/>
      <w:ind/>
    </w:pPr>
    <w:rPr>
      <w:i w:val="1"/>
      <w:sz w:val="24"/>
    </w:rPr>
  </w:style>
  <w:style w:styleId="Style_1212_ch" w:type="character">
    <w:name w:val="HTML Address"/>
    <w:basedOn w:val="Style_10_ch"/>
    <w:link w:val="Style_1212"/>
    <w:rPr>
      <w:i w:val="1"/>
      <w:sz w:val="24"/>
    </w:rPr>
  </w:style>
  <w:style w:styleId="Style_1213" w:type="paragraph">
    <w:name w:val="WW8Num42z2"/>
    <w:link w:val="Style_1213_ch"/>
    <w:rPr>
      <w:rFonts w:ascii="Wingdings" w:hAnsi="Wingdings"/>
    </w:rPr>
  </w:style>
  <w:style w:styleId="Style_1213_ch" w:type="character">
    <w:name w:val="WW8Num42z2"/>
    <w:link w:val="Style_1213"/>
    <w:rPr>
      <w:rFonts w:ascii="Wingdings" w:hAnsi="Wingdings"/>
    </w:rPr>
  </w:style>
  <w:style w:styleId="Style_1214" w:type="paragraph">
    <w:name w:val="WW-WW8Num24z0"/>
    <w:link w:val="Style_1214_ch"/>
    <w:rPr>
      <w:rFonts w:ascii="Courier New" w:hAnsi="Courier New"/>
    </w:rPr>
  </w:style>
  <w:style w:styleId="Style_1214_ch" w:type="character">
    <w:name w:val="WW-WW8Num24z0"/>
    <w:link w:val="Style_1214"/>
    <w:rPr>
      <w:rFonts w:ascii="Courier New" w:hAnsi="Courier New"/>
    </w:rPr>
  </w:style>
  <w:style w:styleId="Style_1215" w:type="paragraph">
    <w:name w:val="Title"/>
    <w:basedOn w:val="Style_10"/>
    <w:next w:val="Style_1172"/>
    <w:link w:val="Style_1215_ch"/>
    <w:uiPriority w:val="10"/>
    <w:qFormat/>
    <w:pPr>
      <w:spacing w:after="0" w:line="240" w:lineRule="auto"/>
      <w:ind/>
      <w:jc w:val="center"/>
    </w:pPr>
    <w:rPr>
      <w:b w:val="1"/>
      <w:sz w:val="28"/>
    </w:rPr>
  </w:style>
  <w:style w:styleId="Style_1215_ch" w:type="character">
    <w:name w:val="Title"/>
    <w:basedOn w:val="Style_10_ch"/>
    <w:link w:val="Style_1215"/>
    <w:rPr>
      <w:b w:val="1"/>
      <w:sz w:val="28"/>
    </w:rPr>
  </w:style>
  <w:style w:styleId="Style_1216" w:type="paragraph">
    <w:name w:val="Font Style179"/>
    <w:link w:val="Style_1216_ch"/>
    <w:rPr>
      <w:rFonts w:ascii="Franklin Gothic Heavy" w:hAnsi="Franklin Gothic Heavy"/>
      <w:sz w:val="50"/>
    </w:rPr>
  </w:style>
  <w:style w:styleId="Style_1216_ch" w:type="character">
    <w:name w:val="Font Style179"/>
    <w:link w:val="Style_1216"/>
    <w:rPr>
      <w:rFonts w:ascii="Franklin Gothic Heavy" w:hAnsi="Franklin Gothic Heavy"/>
      <w:sz w:val="50"/>
    </w:rPr>
  </w:style>
  <w:style w:styleId="Style_1217" w:type="paragraph">
    <w:name w:val="WW8Num56z3"/>
    <w:link w:val="Style_1217_ch"/>
    <w:rPr>
      <w:rFonts w:ascii="Symbol" w:hAnsi="Symbol"/>
    </w:rPr>
  </w:style>
  <w:style w:styleId="Style_1217_ch" w:type="character">
    <w:name w:val="WW8Num56z3"/>
    <w:link w:val="Style_1217"/>
    <w:rPr>
      <w:rFonts w:ascii="Symbol" w:hAnsi="Symbol"/>
    </w:rPr>
  </w:style>
  <w:style w:styleId="Style_1218" w:type="paragraph">
    <w:name w:val="ConsTitle"/>
    <w:link w:val="Style_1218_ch"/>
    <w:pPr>
      <w:widowControl w:val="0"/>
      <w:ind w:right="19772"/>
    </w:pPr>
    <w:rPr>
      <w:rFonts w:ascii="Arial" w:hAnsi="Arial"/>
      <w:b w:val="1"/>
      <w:sz w:val="16"/>
    </w:rPr>
  </w:style>
  <w:style w:styleId="Style_1218_ch" w:type="character">
    <w:name w:val="ConsTitle"/>
    <w:link w:val="Style_1218"/>
    <w:rPr>
      <w:rFonts w:ascii="Arial" w:hAnsi="Arial"/>
      <w:b w:val="1"/>
      <w:sz w:val="16"/>
    </w:rPr>
  </w:style>
  <w:style w:styleId="Style_1219" w:type="paragraph">
    <w:name w:val="WW8Num38z1"/>
    <w:link w:val="Style_1219_ch"/>
    <w:rPr>
      <w:rFonts w:ascii="Courier New" w:hAnsi="Courier New"/>
    </w:rPr>
  </w:style>
  <w:style w:styleId="Style_1219_ch" w:type="character">
    <w:name w:val="WW8Num38z1"/>
    <w:link w:val="Style_1219"/>
    <w:rPr>
      <w:rFonts w:ascii="Courier New" w:hAnsi="Courier New"/>
    </w:rPr>
  </w:style>
  <w:style w:styleId="Style_1220" w:type="paragraph">
    <w:name w:val="heading 4"/>
    <w:basedOn w:val="Style_10"/>
    <w:next w:val="Style_10"/>
    <w:link w:val="Style_1220_ch"/>
    <w:uiPriority w:val="9"/>
    <w:qFormat/>
    <w:pPr>
      <w:keepNext w:val="1"/>
      <w:tabs>
        <w:tab w:leader="none" w:pos="0" w:val="left"/>
      </w:tabs>
      <w:spacing w:after="60" w:before="240" w:line="240" w:lineRule="auto"/>
      <w:ind/>
      <w:outlineLvl w:val="3"/>
    </w:pPr>
    <w:rPr>
      <w:b w:val="1"/>
      <w:sz w:val="28"/>
    </w:rPr>
  </w:style>
  <w:style w:styleId="Style_1220_ch" w:type="character">
    <w:name w:val="heading 4"/>
    <w:basedOn w:val="Style_10_ch"/>
    <w:link w:val="Style_1220"/>
    <w:rPr>
      <w:b w:val="1"/>
      <w:sz w:val="28"/>
    </w:rPr>
  </w:style>
  <w:style w:styleId="Style_1221" w:type="paragraph">
    <w:name w:val="WW-Absatz-Standardschriftart1111111111111111"/>
    <w:link w:val="Style_1221_ch"/>
  </w:style>
  <w:style w:styleId="Style_1221_ch" w:type="character">
    <w:name w:val="WW-Absatz-Standardschriftart1111111111111111"/>
    <w:link w:val="Style_1221"/>
  </w:style>
  <w:style w:styleId="Style_1222" w:type="paragraph">
    <w:name w:val="imia"/>
    <w:basedOn w:val="Style_10"/>
    <w:link w:val="Style_1222_ch"/>
    <w:pPr>
      <w:spacing w:after="280" w:before="280" w:line="240" w:lineRule="auto"/>
      <w:ind/>
    </w:pPr>
    <w:rPr>
      <w:sz w:val="24"/>
    </w:rPr>
  </w:style>
  <w:style w:styleId="Style_1222_ch" w:type="character">
    <w:name w:val="imia"/>
    <w:basedOn w:val="Style_10_ch"/>
    <w:link w:val="Style_1222"/>
    <w:rPr>
      <w:sz w:val="24"/>
    </w:rPr>
  </w:style>
  <w:style w:styleId="Style_1223" w:type="paragraph">
    <w:name w:val="WW-Красная строка"/>
    <w:basedOn w:val="Style_74"/>
    <w:link w:val="Style_1223_ch"/>
    <w:pPr>
      <w:ind w:firstLine="210" w:left="0"/>
    </w:pPr>
  </w:style>
  <w:style w:styleId="Style_1223_ch" w:type="character">
    <w:name w:val="WW-Красная строка"/>
    <w:basedOn w:val="Style_74_ch"/>
    <w:link w:val="Style_1223"/>
  </w:style>
  <w:style w:styleId="Style_1224" w:type="paragraph">
    <w:name w:val="WW8Num4z2"/>
    <w:link w:val="Style_1224_ch"/>
    <w:rPr>
      <w:rFonts w:ascii="StarSymbol" w:hAnsi="StarSymbol"/>
    </w:rPr>
  </w:style>
  <w:style w:styleId="Style_1224_ch" w:type="character">
    <w:name w:val="WW8Num4z2"/>
    <w:link w:val="Style_1224"/>
    <w:rPr>
      <w:rFonts w:ascii="StarSymbol" w:hAnsi="StarSymbol"/>
    </w:rPr>
  </w:style>
  <w:style w:styleId="Style_1225" w:type="paragraph">
    <w:name w:val="WW8Num8z3"/>
    <w:link w:val="Style_1225_ch"/>
    <w:rPr>
      <w:rFonts w:ascii="Symbol" w:hAnsi="Symbol"/>
    </w:rPr>
  </w:style>
  <w:style w:styleId="Style_1225_ch" w:type="character">
    <w:name w:val="WW8Num8z3"/>
    <w:link w:val="Style_1225"/>
    <w:rPr>
      <w:rFonts w:ascii="Symbol" w:hAnsi="Symbol"/>
    </w:rPr>
  </w:style>
  <w:style w:styleId="Style_1226" w:type="paragraph">
    <w:name w:val="Основной текст (2)"/>
    <w:basedOn w:val="Style_10"/>
    <w:link w:val="Style_1226_ch"/>
    <w:pPr>
      <w:spacing w:after="0" w:line="0" w:lineRule="atLeast"/>
      <w:ind/>
    </w:pPr>
    <w:rPr>
      <w:rFonts w:ascii="Segoe UI" w:hAnsi="Segoe UI"/>
      <w:sz w:val="15"/>
    </w:rPr>
  </w:style>
  <w:style w:styleId="Style_1226_ch" w:type="character">
    <w:name w:val="Основной текст (2)"/>
    <w:basedOn w:val="Style_10_ch"/>
    <w:link w:val="Style_1226"/>
    <w:rPr>
      <w:rFonts w:ascii="Segoe UI" w:hAnsi="Segoe UI"/>
      <w:sz w:val="15"/>
    </w:rPr>
  </w:style>
  <w:style w:styleId="Style_1227" w:type="paragraph">
    <w:name w:val="WW-WW8Num6z0"/>
    <w:link w:val="Style_1227_ch"/>
    <w:rPr>
      <w:rFonts w:ascii="Courier New" w:hAnsi="Courier New"/>
    </w:rPr>
  </w:style>
  <w:style w:styleId="Style_1227_ch" w:type="character">
    <w:name w:val="WW-WW8Num6z0"/>
    <w:link w:val="Style_1227"/>
    <w:rPr>
      <w:rFonts w:ascii="Courier New" w:hAnsi="Courier New"/>
    </w:rPr>
  </w:style>
  <w:style w:styleId="Style_401" w:type="paragraph">
    <w:name w:val="WW-Содержимое таблицы"/>
    <w:basedOn w:val="Style_10"/>
    <w:link w:val="Style_401_ch"/>
    <w:pPr>
      <w:widowControl w:val="0"/>
      <w:spacing w:after="0" w:line="240" w:lineRule="auto"/>
      <w:ind/>
    </w:pPr>
    <w:rPr>
      <w:rFonts w:ascii="Courier New" w:hAnsi="Courier New"/>
      <w:sz w:val="20"/>
    </w:rPr>
  </w:style>
  <w:style w:styleId="Style_401_ch" w:type="character">
    <w:name w:val="WW-Содержимое таблицы"/>
    <w:basedOn w:val="Style_10_ch"/>
    <w:link w:val="Style_401"/>
    <w:rPr>
      <w:rFonts w:ascii="Courier New" w:hAnsi="Courier New"/>
      <w:sz w:val="20"/>
    </w:rPr>
  </w:style>
  <w:style w:styleId="Style_1228" w:type="paragraph">
    <w:name w:val="longitude"/>
    <w:link w:val="Style_1228_ch"/>
  </w:style>
  <w:style w:styleId="Style_1228_ch" w:type="character">
    <w:name w:val="longitude"/>
    <w:link w:val="Style_1228"/>
  </w:style>
  <w:style w:styleId="Style_1229" w:type="paragraph">
    <w:name w:val="font5"/>
    <w:basedOn w:val="Style_10"/>
    <w:link w:val="Style_1229_ch"/>
    <w:pPr>
      <w:spacing w:after="280" w:before="280" w:line="240" w:lineRule="auto"/>
      <w:ind/>
    </w:pPr>
    <w:rPr>
      <w:rFonts w:ascii="Arial" w:hAnsi="Arial"/>
      <w:sz w:val="20"/>
    </w:rPr>
  </w:style>
  <w:style w:styleId="Style_1229_ch" w:type="character">
    <w:name w:val="font5"/>
    <w:basedOn w:val="Style_10_ch"/>
    <w:link w:val="Style_1229"/>
    <w:rPr>
      <w:rFonts w:ascii="Arial" w:hAnsi="Arial"/>
      <w:sz w:val="20"/>
    </w:rPr>
  </w:style>
  <w:style w:styleId="Style_1230" w:type="paragraph">
    <w:name w:val="WW8Num25z1"/>
    <w:link w:val="Style_1230_ch"/>
    <w:rPr>
      <w:rFonts w:ascii="Courier New" w:hAnsi="Courier New"/>
    </w:rPr>
  </w:style>
  <w:style w:styleId="Style_1230_ch" w:type="character">
    <w:name w:val="WW8Num25z1"/>
    <w:link w:val="Style_1230"/>
    <w:rPr>
      <w:rFonts w:ascii="Courier New" w:hAnsi="Courier New"/>
    </w:rPr>
  </w:style>
  <w:style w:styleId="Style_1231" w:type="paragraph">
    <w:name w:val="Font Style162"/>
    <w:link w:val="Style_1231_ch"/>
  </w:style>
  <w:style w:styleId="Style_1231_ch" w:type="character">
    <w:name w:val="Font Style162"/>
    <w:link w:val="Style_1231"/>
  </w:style>
  <w:style w:styleId="Style_1232" w:type="paragraph">
    <w:name w:val="WW8Num169z1"/>
    <w:link w:val="Style_1232_ch"/>
    <w:rPr>
      <w:rFonts w:ascii="Courier New" w:hAnsi="Courier New"/>
    </w:rPr>
  </w:style>
  <w:style w:styleId="Style_1232_ch" w:type="character">
    <w:name w:val="WW8Num169z1"/>
    <w:link w:val="Style_1232"/>
    <w:rPr>
      <w:rFonts w:ascii="Courier New" w:hAnsi="Courier New"/>
    </w:rPr>
  </w:style>
  <w:style w:styleId="Style_1233" w:type="paragraph">
    <w:name w:val="WW8NumSt18z0"/>
    <w:link w:val="Style_1233_ch"/>
    <w:rPr>
      <w:rFonts w:ascii="Courier New" w:hAnsi="Courier New"/>
    </w:rPr>
  </w:style>
  <w:style w:styleId="Style_1233_ch" w:type="character">
    <w:name w:val="WW8NumSt18z0"/>
    <w:link w:val="Style_1233"/>
    <w:rPr>
      <w:rFonts w:ascii="Courier New" w:hAnsi="Courier New"/>
    </w:rPr>
  </w:style>
  <w:style w:styleId="Style_1234" w:type="paragraph">
    <w:name w:val="xl134"/>
    <w:basedOn w:val="Style_10"/>
    <w:link w:val="Style_1234_ch"/>
    <w:pPr>
      <w:spacing w:after="280" w:before="280" w:line="240" w:lineRule="auto"/>
      <w:ind/>
      <w:jc w:val="center"/>
    </w:pPr>
    <w:rPr>
      <w:sz w:val="24"/>
    </w:rPr>
  </w:style>
  <w:style w:styleId="Style_1234_ch" w:type="character">
    <w:name w:val="xl134"/>
    <w:basedOn w:val="Style_10_ch"/>
    <w:link w:val="Style_1234"/>
    <w:rPr>
      <w:sz w:val="24"/>
    </w:rPr>
  </w:style>
  <w:style w:styleId="Style_1235" w:type="paragraph">
    <w:name w:val="WW-Список 1"/>
    <w:basedOn w:val="Style_250"/>
    <w:link w:val="Style_1235_ch"/>
    <w:pPr>
      <w:widowControl w:val="0"/>
      <w:spacing w:after="120"/>
      <w:ind w:hanging="360" w:left="360"/>
    </w:pPr>
    <w:rPr>
      <w:rFonts w:ascii="Arial" w:hAnsi="Arial"/>
    </w:rPr>
  </w:style>
  <w:style w:styleId="Style_1235_ch" w:type="character">
    <w:name w:val="WW-Список 1"/>
    <w:basedOn w:val="Style_250_ch"/>
    <w:link w:val="Style_1235"/>
    <w:rPr>
      <w:rFonts w:ascii="Arial" w:hAnsi="Arial"/>
    </w:rPr>
  </w:style>
  <w:style w:styleId="Style_1236" w:type="paragraph">
    <w:name w:val="ПОЛУТОРНЫЙ 14"/>
    <w:basedOn w:val="Style_10"/>
    <w:link w:val="Style_1236_ch"/>
    <w:pPr>
      <w:widowControl w:val="0"/>
      <w:spacing w:after="0" w:line="360" w:lineRule="auto"/>
      <w:ind w:firstLine="709" w:left="0"/>
      <w:jc w:val="both"/>
    </w:pPr>
    <w:rPr>
      <w:sz w:val="28"/>
    </w:rPr>
  </w:style>
  <w:style w:styleId="Style_1236_ch" w:type="character">
    <w:name w:val="ПОЛУТОРНЫЙ 14"/>
    <w:basedOn w:val="Style_10_ch"/>
    <w:link w:val="Style_1236"/>
    <w:rPr>
      <w:sz w:val="28"/>
    </w:rPr>
  </w:style>
  <w:style w:styleId="Style_1237" w:type="paragraph">
    <w:name w:val="Font Style45"/>
    <w:link w:val="Style_1237_ch"/>
    <w:rPr>
      <w:rFonts w:ascii="Trebuchet MS" w:hAnsi="Trebuchet MS"/>
      <w:sz w:val="14"/>
    </w:rPr>
  </w:style>
  <w:style w:styleId="Style_1237_ch" w:type="character">
    <w:name w:val="Font Style45"/>
    <w:link w:val="Style_1237"/>
    <w:rPr>
      <w:rFonts w:ascii="Trebuchet MS" w:hAnsi="Trebuchet MS"/>
      <w:sz w:val="14"/>
    </w:rPr>
  </w:style>
  <w:style w:styleId="Style_1238" w:type="paragraph">
    <w:name w:val="xl137"/>
    <w:basedOn w:val="Style_10"/>
    <w:link w:val="Style_1238_ch"/>
    <w:pPr>
      <w:spacing w:after="280" w:before="280" w:line="240" w:lineRule="auto"/>
      <w:ind/>
      <w:jc w:val="center"/>
    </w:pPr>
    <w:rPr>
      <w:sz w:val="18"/>
    </w:rPr>
  </w:style>
  <w:style w:styleId="Style_1238_ch" w:type="character">
    <w:name w:val="xl137"/>
    <w:basedOn w:val="Style_10_ch"/>
    <w:link w:val="Style_1238"/>
    <w:rPr>
      <w:sz w:val="18"/>
    </w:rPr>
  </w:style>
  <w:style w:styleId="Style_1239" w:type="paragraph">
    <w:name w:val="WW8Num30z2"/>
    <w:link w:val="Style_1239_ch"/>
    <w:rPr>
      <w:rFonts w:ascii="Wingdings" w:hAnsi="Wingdings"/>
    </w:rPr>
  </w:style>
  <w:style w:styleId="Style_1239_ch" w:type="character">
    <w:name w:val="WW8Num30z2"/>
    <w:link w:val="Style_1239"/>
    <w:rPr>
      <w:rFonts w:ascii="Wingdings" w:hAnsi="Wingdings"/>
    </w:rPr>
  </w:style>
  <w:style w:styleId="Style_1240" w:type="paragraph">
    <w:name w:val="Font Style46"/>
    <w:link w:val="Style_1240_ch"/>
    <w:rPr>
      <w:rFonts w:ascii="Trebuchet MS" w:hAnsi="Trebuchet MS"/>
      <w:b w:val="1"/>
      <w:sz w:val="16"/>
    </w:rPr>
  </w:style>
  <w:style w:styleId="Style_1240_ch" w:type="character">
    <w:name w:val="Font Style46"/>
    <w:link w:val="Style_1240"/>
    <w:rPr>
      <w:rFonts w:ascii="Trebuchet MS" w:hAnsi="Trebuchet MS"/>
      <w:b w:val="1"/>
      <w:sz w:val="16"/>
    </w:rPr>
  </w:style>
  <w:style w:styleId="Style_1241" w:type="paragraph">
    <w:name w:val="WW8NumSt5z0"/>
    <w:link w:val="Style_1241_ch"/>
    <w:rPr>
      <w:rFonts w:ascii="Courier New" w:hAnsi="Courier New"/>
    </w:rPr>
  </w:style>
  <w:style w:styleId="Style_1241_ch" w:type="character">
    <w:name w:val="WW8NumSt5z0"/>
    <w:link w:val="Style_1241"/>
    <w:rPr>
      <w:rFonts w:ascii="Courier New" w:hAnsi="Courier New"/>
    </w:rPr>
  </w:style>
  <w:style w:styleId="Style_1242" w:type="paragraph">
    <w:name w:val="Основной текст с отступом 311"/>
    <w:basedOn w:val="Style_10"/>
    <w:link w:val="Style_1242_ch"/>
    <w:pPr>
      <w:widowControl w:val="0"/>
      <w:spacing w:after="0" w:line="240" w:lineRule="auto"/>
      <w:ind w:hanging="142" w:left="1276"/>
      <w:jc w:val="both"/>
    </w:pPr>
    <w:rPr>
      <w:sz w:val="28"/>
    </w:rPr>
  </w:style>
  <w:style w:styleId="Style_1242_ch" w:type="character">
    <w:name w:val="Основной текст с отступом 311"/>
    <w:basedOn w:val="Style_10_ch"/>
    <w:link w:val="Style_1242"/>
    <w:rPr>
      <w:sz w:val="28"/>
    </w:rPr>
  </w:style>
  <w:style w:styleId="Style_1243" w:type="paragraph">
    <w:name w:val="Style104"/>
    <w:basedOn w:val="Style_10"/>
    <w:link w:val="Style_1243_ch"/>
    <w:pPr>
      <w:widowControl w:val="0"/>
      <w:spacing w:after="0" w:line="322" w:lineRule="exact"/>
      <w:ind/>
      <w:jc w:val="center"/>
    </w:pPr>
    <w:rPr>
      <w:sz w:val="24"/>
    </w:rPr>
  </w:style>
  <w:style w:styleId="Style_1243_ch" w:type="character">
    <w:name w:val="Style104"/>
    <w:basedOn w:val="Style_10_ch"/>
    <w:link w:val="Style_1243"/>
    <w:rPr>
      <w:sz w:val="24"/>
    </w:rPr>
  </w:style>
  <w:style w:styleId="Style_1244" w:type="paragraph">
    <w:name w:val="WW8Num7z3"/>
    <w:link w:val="Style_1244_ch"/>
    <w:rPr>
      <w:rFonts w:ascii="Symbol" w:hAnsi="Symbol"/>
    </w:rPr>
  </w:style>
  <w:style w:styleId="Style_1244_ch" w:type="character">
    <w:name w:val="WW8Num7z3"/>
    <w:link w:val="Style_1244"/>
    <w:rPr>
      <w:rFonts w:ascii="Symbol" w:hAnsi="Symbol"/>
    </w:rPr>
  </w:style>
  <w:style w:styleId="Style_1245" w:type="paragraph">
    <w:name w:val="Основной текст 32"/>
    <w:basedOn w:val="Style_10"/>
    <w:link w:val="Style_1245_ch"/>
    <w:pPr>
      <w:widowControl w:val="0"/>
      <w:spacing w:after="0" w:line="240" w:lineRule="auto"/>
      <w:ind/>
    </w:pPr>
    <w:rPr>
      <w:rFonts w:ascii="Arial" w:hAnsi="Arial"/>
      <w:color w:val="FF0000"/>
      <w:sz w:val="24"/>
    </w:rPr>
  </w:style>
  <w:style w:styleId="Style_1245_ch" w:type="character">
    <w:name w:val="Основной текст 32"/>
    <w:basedOn w:val="Style_10_ch"/>
    <w:link w:val="Style_1245"/>
    <w:rPr>
      <w:rFonts w:ascii="Arial" w:hAnsi="Arial"/>
      <w:color w:val="FF0000"/>
      <w:sz w:val="24"/>
    </w:rPr>
  </w:style>
  <w:style w:styleId="Style_1246" w:type="paragraph">
    <w:name w:val="xl116"/>
    <w:basedOn w:val="Style_10"/>
    <w:link w:val="Style_1246_ch"/>
    <w:pPr>
      <w:spacing w:afterAutospacing="on" w:beforeAutospacing="on" w:line="240" w:lineRule="auto"/>
      <w:ind/>
      <w:jc w:val="center"/>
    </w:pPr>
    <w:rPr>
      <w:sz w:val="24"/>
    </w:rPr>
  </w:style>
  <w:style w:styleId="Style_1246_ch" w:type="character">
    <w:name w:val="xl116"/>
    <w:basedOn w:val="Style_10_ch"/>
    <w:link w:val="Style_1246"/>
    <w:rPr>
      <w:sz w:val="24"/>
    </w:rPr>
  </w:style>
  <w:style w:styleId="Style_1247" w:type="paragraph">
    <w:name w:val="xl113"/>
    <w:basedOn w:val="Style_10"/>
    <w:link w:val="Style_1247_ch"/>
    <w:pPr>
      <w:spacing w:afterAutospacing="on" w:beforeAutospacing="on" w:line="240" w:lineRule="auto"/>
      <w:ind/>
      <w:jc w:val="center"/>
    </w:pPr>
    <w:rPr>
      <w:sz w:val="24"/>
    </w:rPr>
  </w:style>
  <w:style w:styleId="Style_1247_ch" w:type="character">
    <w:name w:val="xl113"/>
    <w:basedOn w:val="Style_10_ch"/>
    <w:link w:val="Style_1247"/>
    <w:rPr>
      <w:sz w:val="24"/>
    </w:rPr>
  </w:style>
  <w:style w:styleId="Style_1248" w:type="paragraph">
    <w:name w:val="Основной текст с отступом 24"/>
    <w:basedOn w:val="Style_10"/>
    <w:link w:val="Style_1248_ch"/>
    <w:pPr>
      <w:spacing w:after="120" w:line="480" w:lineRule="auto"/>
      <w:ind w:firstLine="0" w:left="283"/>
    </w:pPr>
    <w:rPr>
      <w:sz w:val="20"/>
    </w:rPr>
  </w:style>
  <w:style w:styleId="Style_1248_ch" w:type="character">
    <w:name w:val="Основной текст с отступом 24"/>
    <w:basedOn w:val="Style_10_ch"/>
    <w:link w:val="Style_1248"/>
    <w:rPr>
      <w:sz w:val="20"/>
    </w:rPr>
  </w:style>
  <w:style w:styleId="Style_1249" w:type="paragraph">
    <w:name w:val="пояснилка"/>
    <w:basedOn w:val="Style_10"/>
    <w:link w:val="Style_1249_ch"/>
    <w:pPr>
      <w:spacing w:after="0" w:line="240" w:lineRule="auto"/>
      <w:ind w:firstLine="709" w:left="0" w:right="284"/>
      <w:jc w:val="both"/>
    </w:pPr>
    <w:rPr>
      <w:sz w:val="28"/>
    </w:rPr>
  </w:style>
  <w:style w:styleId="Style_1249_ch" w:type="character">
    <w:name w:val="пояснилка"/>
    <w:basedOn w:val="Style_10_ch"/>
    <w:link w:val="Style_1249"/>
    <w:rPr>
      <w:sz w:val="28"/>
    </w:rPr>
  </w:style>
  <w:style w:styleId="Style_1250" w:type="paragraph">
    <w:name w:val="xl166"/>
    <w:basedOn w:val="Style_10"/>
    <w:link w:val="Style_1250_ch"/>
    <w:pPr>
      <w:spacing w:after="280" w:before="280" w:line="240" w:lineRule="auto"/>
      <w:ind/>
      <w:jc w:val="center"/>
    </w:pPr>
    <w:rPr>
      <w:b w:val="1"/>
      <w:sz w:val="28"/>
    </w:rPr>
  </w:style>
  <w:style w:styleId="Style_1250_ch" w:type="character">
    <w:name w:val="xl166"/>
    <w:basedOn w:val="Style_10_ch"/>
    <w:link w:val="Style_1250"/>
    <w:rPr>
      <w:b w:val="1"/>
      <w:sz w:val="28"/>
    </w:rPr>
  </w:style>
  <w:style w:styleId="Style_1251" w:type="paragraph">
    <w:name w:val="WW8Num22z0"/>
    <w:link w:val="Style_1251_ch"/>
    <w:rPr>
      <w:rFonts w:ascii="Courier New" w:hAnsi="Courier New"/>
    </w:rPr>
  </w:style>
  <w:style w:styleId="Style_1251_ch" w:type="character">
    <w:name w:val="WW8Num22z0"/>
    <w:link w:val="Style_1251"/>
    <w:rPr>
      <w:rFonts w:ascii="Courier New" w:hAnsi="Courier New"/>
    </w:rPr>
  </w:style>
  <w:style w:styleId="Style_1252" w:type="paragraph">
    <w:name w:val="WW8Num40z1"/>
    <w:link w:val="Style_1252_ch"/>
    <w:rPr>
      <w:rFonts w:ascii="Courier New" w:hAnsi="Courier New"/>
    </w:rPr>
  </w:style>
  <w:style w:styleId="Style_1252_ch" w:type="character">
    <w:name w:val="WW8Num40z1"/>
    <w:link w:val="Style_1252"/>
    <w:rPr>
      <w:rFonts w:ascii="Courier New" w:hAnsi="Courier New"/>
    </w:rPr>
  </w:style>
  <w:style w:styleId="Style_1253" w:type="paragraph">
    <w:name w:val="xl135"/>
    <w:basedOn w:val="Style_10"/>
    <w:link w:val="Style_1253_ch"/>
    <w:pPr>
      <w:spacing w:after="280" w:before="280" w:line="240" w:lineRule="auto"/>
      <w:ind/>
      <w:jc w:val="center"/>
    </w:pPr>
    <w:rPr>
      <w:sz w:val="24"/>
    </w:rPr>
  </w:style>
  <w:style w:styleId="Style_1253_ch" w:type="character">
    <w:name w:val="xl135"/>
    <w:basedOn w:val="Style_10_ch"/>
    <w:link w:val="Style_1253"/>
    <w:rPr>
      <w:sz w:val="24"/>
    </w:rPr>
  </w:style>
  <w:style w:styleId="Style_1254" w:type="paragraph">
    <w:name w:val="WW8Num1z2"/>
    <w:link w:val="Style_1254_ch"/>
    <w:rPr>
      <w:rFonts w:ascii="Wingdings" w:hAnsi="Wingdings"/>
      <w:sz w:val="24"/>
    </w:rPr>
  </w:style>
  <w:style w:styleId="Style_1254_ch" w:type="character">
    <w:name w:val="WW8Num1z2"/>
    <w:link w:val="Style_1254"/>
    <w:rPr>
      <w:rFonts w:ascii="Wingdings" w:hAnsi="Wingdings"/>
      <w:sz w:val="24"/>
    </w:rPr>
  </w:style>
  <w:style w:styleId="Style_1255" w:type="paragraph">
    <w:name w:val="Style25"/>
    <w:basedOn w:val="Style_10"/>
    <w:link w:val="Style_1255_ch"/>
    <w:pPr>
      <w:widowControl w:val="0"/>
      <w:spacing w:after="0" w:line="240" w:lineRule="auto"/>
      <w:ind/>
    </w:pPr>
    <w:rPr>
      <w:sz w:val="24"/>
    </w:rPr>
  </w:style>
  <w:style w:styleId="Style_1255_ch" w:type="character">
    <w:name w:val="Style25"/>
    <w:basedOn w:val="Style_10_ch"/>
    <w:link w:val="Style_1255"/>
    <w:rPr>
      <w:sz w:val="24"/>
    </w:rPr>
  </w:style>
  <w:style w:styleId="Style_436" w:type="paragraph">
    <w:name w:val="heading 2"/>
    <w:basedOn w:val="Style_10"/>
    <w:next w:val="Style_10"/>
    <w:link w:val="Style_436_ch"/>
    <w:uiPriority w:val="9"/>
    <w:qFormat/>
    <w:pPr>
      <w:keepNext w:val="1"/>
      <w:tabs>
        <w:tab w:leader="none" w:pos="0" w:val="left"/>
      </w:tabs>
      <w:spacing w:after="60" w:before="240" w:line="240" w:lineRule="auto"/>
      <w:ind/>
      <w:outlineLvl w:val="1"/>
    </w:pPr>
    <w:rPr>
      <w:rFonts w:ascii="Arial" w:hAnsi="Arial"/>
      <w:b w:val="1"/>
      <w:i w:val="1"/>
      <w:sz w:val="28"/>
    </w:rPr>
  </w:style>
  <w:style w:styleId="Style_436_ch" w:type="character">
    <w:name w:val="heading 2"/>
    <w:basedOn w:val="Style_10_ch"/>
    <w:link w:val="Style_436"/>
    <w:rPr>
      <w:rFonts w:ascii="Arial" w:hAnsi="Arial"/>
      <w:b w:val="1"/>
      <w:i w:val="1"/>
      <w:sz w:val="28"/>
    </w:rPr>
  </w:style>
  <w:style w:styleId="Style_1256" w:type="paragraph">
    <w:name w:val="xl178"/>
    <w:basedOn w:val="Style_10"/>
    <w:link w:val="Style_1256_ch"/>
    <w:pPr>
      <w:spacing w:after="280" w:before="280" w:line="240" w:lineRule="auto"/>
      <w:ind/>
      <w:jc w:val="center"/>
    </w:pPr>
    <w:rPr>
      <w:sz w:val="24"/>
    </w:rPr>
  </w:style>
  <w:style w:styleId="Style_1256_ch" w:type="character">
    <w:name w:val="xl178"/>
    <w:basedOn w:val="Style_10_ch"/>
    <w:link w:val="Style_1256"/>
    <w:rPr>
      <w:sz w:val="24"/>
    </w:rPr>
  </w:style>
  <w:style w:styleId="Style_1257" w:type="paragraph">
    <w:name w:val="tabletextcenter"/>
    <w:basedOn w:val="Style_10"/>
    <w:link w:val="Style_1257_ch"/>
    <w:pPr>
      <w:spacing w:after="0" w:line="360" w:lineRule="atLeast"/>
      <w:ind w:firstLine="709" w:left="480" w:right="480"/>
      <w:jc w:val="center"/>
    </w:pPr>
    <w:rPr>
      <w:rFonts w:ascii="Arial" w:hAnsi="Arial"/>
      <w:color w:val="202020"/>
      <w:sz w:val="20"/>
    </w:rPr>
  </w:style>
  <w:style w:styleId="Style_1257_ch" w:type="character">
    <w:name w:val="tabletextcenter"/>
    <w:basedOn w:val="Style_10_ch"/>
    <w:link w:val="Style_1257"/>
    <w:rPr>
      <w:rFonts w:ascii="Arial" w:hAnsi="Arial"/>
      <w:color w:val="202020"/>
      <w:sz w:val="20"/>
    </w:rPr>
  </w:style>
  <w:style w:styleId="Style_1258" w:type="paragraph">
    <w:name w:val="WW8Num569z0"/>
    <w:link w:val="Style_1258_ch"/>
    <w:rPr>
      <w:rFonts w:ascii="Wingdings" w:hAnsi="Wingdings"/>
    </w:rPr>
  </w:style>
  <w:style w:styleId="Style_1258_ch" w:type="character">
    <w:name w:val="WW8Num569z0"/>
    <w:link w:val="Style_1258"/>
    <w:rPr>
      <w:rFonts w:ascii="Wingdings" w:hAnsi="Wingdings"/>
    </w:rPr>
  </w:style>
  <w:style w:styleId="Style_1259" w:type="paragraph">
    <w:name w:val="WW8Num12z0"/>
    <w:link w:val="Style_1259_ch"/>
    <w:rPr>
      <w:rFonts w:ascii="Courier New" w:hAnsi="Courier New"/>
    </w:rPr>
  </w:style>
  <w:style w:styleId="Style_1259_ch" w:type="character">
    <w:name w:val="WW8Num12z0"/>
    <w:link w:val="Style_1259"/>
    <w:rPr>
      <w:rFonts w:ascii="Courier New" w:hAnsi="Courier New"/>
    </w:rPr>
  </w:style>
  <w:style w:styleId="Style_1260" w:type="paragraph">
    <w:name w:val="Body Text Indent 2"/>
    <w:basedOn w:val="Style_10"/>
    <w:link w:val="Style_1260_ch"/>
    <w:pPr>
      <w:spacing w:after="0" w:line="240" w:lineRule="auto"/>
      <w:ind w:firstLine="720" w:left="0"/>
      <w:jc w:val="both"/>
    </w:pPr>
    <w:rPr>
      <w:sz w:val="24"/>
    </w:rPr>
  </w:style>
  <w:style w:styleId="Style_1260_ch" w:type="character">
    <w:name w:val="Body Text Indent 2"/>
    <w:basedOn w:val="Style_10_ch"/>
    <w:link w:val="Style_1260"/>
    <w:rPr>
      <w:sz w:val="24"/>
    </w:rPr>
  </w:style>
  <w:style w:styleId="Style_1261" w:type="paragraph">
    <w:name w:val="Font Style187"/>
    <w:link w:val="Style_1261_ch"/>
    <w:rPr>
      <w:rFonts w:ascii="Arial" w:hAnsi="Arial"/>
      <w:i w:val="1"/>
      <w:spacing w:val="-30"/>
      <w:sz w:val="32"/>
    </w:rPr>
  </w:style>
  <w:style w:styleId="Style_1261_ch" w:type="character">
    <w:name w:val="Font Style187"/>
    <w:link w:val="Style_1261"/>
    <w:rPr>
      <w:rFonts w:ascii="Arial" w:hAnsi="Arial"/>
      <w:i w:val="1"/>
      <w:spacing w:val="-30"/>
      <w:sz w:val="32"/>
    </w:rPr>
  </w:style>
  <w:style w:styleId="Style_1262" w:type="paragraph">
    <w:name w:val="Font Style134"/>
    <w:link w:val="Style_1262_ch"/>
    <w:rPr>
      <w:b w:val="1"/>
      <w:sz w:val="12"/>
    </w:rPr>
  </w:style>
  <w:style w:styleId="Style_1262_ch" w:type="character">
    <w:name w:val="Font Style134"/>
    <w:link w:val="Style_1262"/>
    <w:rPr>
      <w:b w:val="1"/>
      <w:sz w:val="12"/>
    </w:rPr>
  </w:style>
  <w:style w:styleId="Style_1263" w:type="paragraph">
    <w:name w:val="xl35"/>
    <w:basedOn w:val="Style_10"/>
    <w:link w:val="Style_1263_ch"/>
    <w:pPr>
      <w:spacing w:after="280" w:before="280" w:line="360" w:lineRule="atLeast"/>
      <w:ind w:firstLine="709" w:left="0"/>
      <w:jc w:val="both"/>
    </w:pPr>
    <w:rPr>
      <w:rFonts w:ascii="Arial Narrow" w:hAnsi="Arial Narrow"/>
      <w:sz w:val="24"/>
    </w:rPr>
  </w:style>
  <w:style w:styleId="Style_1263_ch" w:type="character">
    <w:name w:val="xl35"/>
    <w:basedOn w:val="Style_10_ch"/>
    <w:link w:val="Style_1263"/>
    <w:rPr>
      <w:rFonts w:ascii="Arial Narrow" w:hAnsi="Arial Narrow"/>
      <w:sz w:val="24"/>
    </w:rPr>
  </w:style>
  <w:style w:styleId="Style_1264" w:type="paragraph">
    <w:name w:val="Обычный текст"/>
    <w:basedOn w:val="Style_10"/>
    <w:link w:val="Style_1264_ch"/>
    <w:pPr>
      <w:widowControl w:val="0"/>
      <w:spacing w:after="0" w:line="360" w:lineRule="auto"/>
      <w:ind w:firstLine="851" w:left="567" w:right="567"/>
      <w:jc w:val="both"/>
    </w:pPr>
    <w:rPr>
      <w:sz w:val="26"/>
    </w:rPr>
  </w:style>
  <w:style w:styleId="Style_1264_ch" w:type="character">
    <w:name w:val="Обычный текст"/>
    <w:basedOn w:val="Style_10_ch"/>
    <w:link w:val="Style_1264"/>
    <w:rPr>
      <w:sz w:val="26"/>
    </w:rPr>
  </w:style>
  <w:style w:styleId="Style_1265" w:type="paragraph">
    <w:name w:val="WW8Num29z4"/>
    <w:link w:val="Style_1265_ch"/>
    <w:rPr>
      <w:rFonts w:ascii="Courier New" w:hAnsi="Courier New"/>
    </w:rPr>
  </w:style>
  <w:style w:styleId="Style_1265_ch" w:type="character">
    <w:name w:val="WW8Num29z4"/>
    <w:link w:val="Style_1265"/>
    <w:rPr>
      <w:rFonts w:ascii="Courier New" w:hAnsi="Courier New"/>
    </w:rPr>
  </w:style>
  <w:style w:styleId="Style_1266" w:type="paragraph">
    <w:name w:val="Style4"/>
    <w:basedOn w:val="Style_10"/>
    <w:link w:val="Style_1266_ch"/>
    <w:pPr>
      <w:widowControl w:val="0"/>
      <w:spacing w:after="0" w:line="482" w:lineRule="exact"/>
      <w:ind w:firstLine="566" w:left="0"/>
      <w:jc w:val="both"/>
    </w:pPr>
    <w:rPr>
      <w:sz w:val="24"/>
    </w:rPr>
  </w:style>
  <w:style w:styleId="Style_1266_ch" w:type="character">
    <w:name w:val="Style4"/>
    <w:basedOn w:val="Style_10_ch"/>
    <w:link w:val="Style_1266"/>
    <w:rPr>
      <w:sz w:val="24"/>
    </w:rPr>
  </w:style>
  <w:style w:styleId="Style_1267" w:type="paragraph">
    <w:name w:val="Красная строка Знак1"/>
    <w:link w:val="Style_1267_ch"/>
    <w:rPr>
      <w:sz w:val="22"/>
    </w:rPr>
  </w:style>
  <w:style w:styleId="Style_1267_ch" w:type="character">
    <w:name w:val="Красная строка Знак1"/>
    <w:link w:val="Style_1267"/>
    <w:rPr>
      <w:sz w:val="22"/>
    </w:rPr>
  </w:style>
  <w:style w:styleId="Style_1268" w:type="paragraph">
    <w:name w:val="Font Style14"/>
    <w:link w:val="Style_1268_ch"/>
    <w:rPr>
      <w:b w:val="1"/>
      <w:smallCaps w:val="1"/>
      <w:sz w:val="22"/>
    </w:rPr>
  </w:style>
  <w:style w:styleId="Style_1268_ch" w:type="character">
    <w:name w:val="Font Style14"/>
    <w:link w:val="Style_1268"/>
    <w:rPr>
      <w:b w:val="1"/>
      <w:smallCaps w:val="1"/>
      <w:sz w:val="22"/>
    </w:rPr>
  </w:style>
  <w:style w:styleId="Style_1269" w:type="paragraph">
    <w:name w:val="WW8Num6z2"/>
    <w:link w:val="Style_1269_ch"/>
    <w:rPr>
      <w:rFonts w:ascii="Wingdings" w:hAnsi="Wingdings"/>
    </w:rPr>
  </w:style>
  <w:style w:styleId="Style_1269_ch" w:type="character">
    <w:name w:val="WW8Num6z2"/>
    <w:link w:val="Style_1269"/>
    <w:rPr>
      <w:rFonts w:ascii="Wingdings" w:hAnsi="Wingdings"/>
    </w:rPr>
  </w:style>
  <w:style w:styleId="Style_1270" w:type="paragraph">
    <w:name w:val="WW8Num37z3"/>
    <w:link w:val="Style_1270_ch"/>
    <w:rPr>
      <w:rFonts w:ascii="Symbol" w:hAnsi="Symbol"/>
    </w:rPr>
  </w:style>
  <w:style w:styleId="Style_1270_ch" w:type="character">
    <w:name w:val="WW8Num37z3"/>
    <w:link w:val="Style_1270"/>
    <w:rPr>
      <w:rFonts w:ascii="Symbol" w:hAnsi="Symbol"/>
    </w:rPr>
  </w:style>
  <w:style w:styleId="Style_1271" w:type="paragraph">
    <w:name w:val="WW8Num340z1"/>
    <w:link w:val="Style_1271_ch"/>
    <w:rPr>
      <w:rFonts w:ascii="Courier New" w:hAnsi="Courier New"/>
    </w:rPr>
  </w:style>
  <w:style w:styleId="Style_1271_ch" w:type="character">
    <w:name w:val="WW8Num340z1"/>
    <w:link w:val="Style_1271"/>
    <w:rPr>
      <w:rFonts w:ascii="Courier New" w:hAnsi="Courier New"/>
    </w:rPr>
  </w:style>
  <w:style w:styleId="Style_1272" w:type="paragraph">
    <w:name w:val="WW-Absatz-Standardschriftart111111111111111"/>
    <w:link w:val="Style_1272_ch"/>
  </w:style>
  <w:style w:styleId="Style_1272_ch" w:type="character">
    <w:name w:val="WW-Absatz-Standardschriftart111111111111111"/>
    <w:link w:val="Style_1272"/>
  </w:style>
  <w:style w:styleId="Style_1273" w:type="paragraph">
    <w:name w:val="WW8Num25z0"/>
    <w:link w:val="Style_1273_ch"/>
    <w:rPr>
      <w:rFonts w:ascii="Courier New" w:hAnsi="Courier New"/>
    </w:rPr>
  </w:style>
  <w:style w:styleId="Style_1273_ch" w:type="character">
    <w:name w:val="WW8Num25z0"/>
    <w:link w:val="Style_1273"/>
    <w:rPr>
      <w:rFonts w:ascii="Courier New" w:hAnsi="Courier New"/>
    </w:rPr>
  </w:style>
  <w:style w:styleId="Style_1274" w:type="paragraph">
    <w:name w:val="xl90"/>
    <w:basedOn w:val="Style_10"/>
    <w:link w:val="Style_1274_ch"/>
    <w:pPr>
      <w:spacing w:afterAutospacing="on" w:beforeAutospacing="on" w:line="240" w:lineRule="auto"/>
      <w:ind/>
      <w:jc w:val="center"/>
    </w:pPr>
    <w:rPr>
      <w:sz w:val="24"/>
    </w:rPr>
  </w:style>
  <w:style w:styleId="Style_1274_ch" w:type="character">
    <w:name w:val="xl90"/>
    <w:basedOn w:val="Style_10_ch"/>
    <w:link w:val="Style_1274"/>
    <w:rPr>
      <w:sz w:val="24"/>
    </w:rPr>
  </w:style>
  <w:style w:styleId="Style_1275" w:type="paragraph">
    <w:name w:val="WW8Num30z3"/>
    <w:link w:val="Style_1275_ch"/>
    <w:rPr>
      <w:rFonts w:ascii="Symbol" w:hAnsi="Symbol"/>
    </w:rPr>
  </w:style>
  <w:style w:styleId="Style_1275_ch" w:type="character">
    <w:name w:val="WW8Num30z3"/>
    <w:link w:val="Style_1275"/>
    <w:rPr>
      <w:rFonts w:ascii="Symbol" w:hAnsi="Symbol"/>
    </w:rPr>
  </w:style>
  <w:style w:styleId="Style_1276" w:type="paragraph">
    <w:name w:val="WW8Num169z2"/>
    <w:link w:val="Style_1276_ch"/>
    <w:rPr>
      <w:rFonts w:ascii="Wingdings" w:hAnsi="Wingdings"/>
    </w:rPr>
  </w:style>
  <w:style w:styleId="Style_1276_ch" w:type="character">
    <w:name w:val="WW8Num169z2"/>
    <w:link w:val="Style_1276"/>
    <w:rPr>
      <w:rFonts w:ascii="Wingdings" w:hAnsi="Wingdings"/>
    </w:rPr>
  </w:style>
  <w:style w:styleId="Style_1277" w:type="paragraph">
    <w:name w:val="WW8Num192z3"/>
    <w:link w:val="Style_1277_ch"/>
    <w:rPr>
      <w:rFonts w:ascii="Symbol" w:hAnsi="Symbol"/>
    </w:rPr>
  </w:style>
  <w:style w:styleId="Style_1277_ch" w:type="character">
    <w:name w:val="WW8Num192z3"/>
    <w:link w:val="Style_1277"/>
    <w:rPr>
      <w:rFonts w:ascii="Symbol" w:hAnsi="Symbol"/>
    </w:rPr>
  </w:style>
  <w:style w:styleId="Style_1278" w:type="paragraph">
    <w:name w:val="WW-WW8Num1z0"/>
    <w:link w:val="Style_1278_ch"/>
    <w:rPr>
      <w:rFonts w:ascii="Courier New" w:hAnsi="Courier New"/>
    </w:rPr>
  </w:style>
  <w:style w:styleId="Style_1278_ch" w:type="character">
    <w:name w:val="WW-WW8Num1z0"/>
    <w:link w:val="Style_1278"/>
    <w:rPr>
      <w:rFonts w:ascii="Courier New" w:hAnsi="Courier New"/>
    </w:rPr>
  </w:style>
  <w:style w:styleId="Style_1279" w:type="paragraph">
    <w:name w:val="WW8NumSt16z0"/>
    <w:link w:val="Style_1279_ch"/>
    <w:rPr>
      <w:rFonts w:ascii="Courier New" w:hAnsi="Courier New"/>
    </w:rPr>
  </w:style>
  <w:style w:styleId="Style_1279_ch" w:type="character">
    <w:name w:val="WW8NumSt16z0"/>
    <w:link w:val="Style_1279"/>
    <w:rPr>
      <w:rFonts w:ascii="Courier New" w:hAnsi="Courier New"/>
    </w:rPr>
  </w:style>
  <w:style w:styleId="Style_1280" w:type="paragraph">
    <w:name w:val="WW8Num11z0"/>
    <w:link w:val="Style_1280_ch"/>
    <w:rPr>
      <w:rFonts w:ascii="Courier New" w:hAnsi="Courier New"/>
    </w:rPr>
  </w:style>
  <w:style w:styleId="Style_1280_ch" w:type="character">
    <w:name w:val="WW8Num11z0"/>
    <w:link w:val="Style_1280"/>
    <w:rPr>
      <w:rFonts w:ascii="Courier New" w:hAnsi="Courier New"/>
    </w:rPr>
  </w:style>
  <w:style w:styleId="Style_1281" w:type="paragraph">
    <w:name w:val="Style89"/>
    <w:basedOn w:val="Style_10"/>
    <w:link w:val="Style_1281_ch"/>
    <w:pPr>
      <w:widowControl w:val="0"/>
      <w:spacing w:after="0" w:line="240" w:lineRule="auto"/>
      <w:ind/>
    </w:pPr>
    <w:rPr>
      <w:sz w:val="24"/>
    </w:rPr>
  </w:style>
  <w:style w:styleId="Style_1281_ch" w:type="character">
    <w:name w:val="Style89"/>
    <w:basedOn w:val="Style_10_ch"/>
    <w:link w:val="Style_1281"/>
    <w:rPr>
      <w:sz w:val="24"/>
    </w:rPr>
  </w:style>
  <w:style w:styleId="Style_1282" w:type="paragraph">
    <w:name w:val="УГТП-Примечание"/>
    <w:basedOn w:val="Style_10"/>
    <w:link w:val="Style_1282_ch"/>
    <w:pPr>
      <w:spacing w:after="0" w:line="240" w:lineRule="auto"/>
      <w:ind/>
      <w:jc w:val="center"/>
    </w:pPr>
    <w:rPr>
      <w:rFonts w:ascii="Arial" w:hAnsi="Arial"/>
      <w:sz w:val="20"/>
    </w:rPr>
  </w:style>
  <w:style w:styleId="Style_1282_ch" w:type="character">
    <w:name w:val="УГТП-Примечание"/>
    <w:basedOn w:val="Style_10_ch"/>
    <w:link w:val="Style_1282"/>
    <w:rPr>
      <w:rFonts w:ascii="Arial" w:hAnsi="Arial"/>
      <w:sz w:val="20"/>
    </w:rPr>
  </w:style>
  <w:style w:styleId="Style_1283" w:type="paragraph">
    <w:name w:val="WW8Num62z1"/>
    <w:link w:val="Style_1283_ch"/>
    <w:rPr>
      <w:rFonts w:ascii="Courier New" w:hAnsi="Courier New"/>
    </w:rPr>
  </w:style>
  <w:style w:styleId="Style_1283_ch" w:type="character">
    <w:name w:val="WW8Num62z1"/>
    <w:link w:val="Style_1283"/>
    <w:rPr>
      <w:rFonts w:ascii="Courier New" w:hAnsi="Courier New"/>
    </w:rPr>
  </w:style>
  <w:style w:styleId="Style_1284" w:type="paragraph">
    <w:name w:val="Основной текст1"/>
    <w:basedOn w:val="Style_10"/>
    <w:link w:val="Style_1284_ch"/>
    <w:pPr>
      <w:spacing w:after="0" w:line="240" w:lineRule="auto"/>
      <w:ind/>
      <w:jc w:val="center"/>
    </w:pPr>
    <w:rPr>
      <w:sz w:val="24"/>
    </w:rPr>
  </w:style>
  <w:style w:styleId="Style_1284_ch" w:type="character">
    <w:name w:val="Основной текст1"/>
    <w:basedOn w:val="Style_10_ch"/>
    <w:link w:val="Style_1284"/>
    <w:rPr>
      <w:sz w:val="24"/>
    </w:rPr>
  </w:style>
  <w:style w:styleId="Style_1285" w:type="paragraph">
    <w:name w:val="WW-Absatz-Standardschriftart11111111111"/>
    <w:link w:val="Style_1285_ch"/>
  </w:style>
  <w:style w:styleId="Style_1285_ch" w:type="character">
    <w:name w:val="WW-Absatz-Standardschriftart11111111111"/>
    <w:link w:val="Style_1285"/>
  </w:style>
  <w:style w:styleId="Style_1286" w:type="paragraph">
    <w:name w:val="Default Paragraph Font"/>
    <w:link w:val="Style_1286_ch"/>
  </w:style>
  <w:style w:styleId="Style_1286_ch" w:type="character">
    <w:name w:val="Default Paragraph Font"/>
    <w:link w:val="Style_1286"/>
  </w:style>
  <w:style w:styleId="Style_1287" w:type="paragraph">
    <w:name w:val="WW-Основной текст с отступом 2"/>
    <w:basedOn w:val="Style_10"/>
    <w:link w:val="Style_1287_ch"/>
    <w:pPr>
      <w:spacing w:after="0" w:line="240" w:lineRule="auto"/>
      <w:ind w:firstLine="720" w:left="0"/>
      <w:jc w:val="both"/>
    </w:pPr>
    <w:rPr>
      <w:sz w:val="24"/>
    </w:rPr>
  </w:style>
  <w:style w:styleId="Style_1287_ch" w:type="character">
    <w:name w:val="WW-Основной текст с отступом 2"/>
    <w:basedOn w:val="Style_10_ch"/>
    <w:link w:val="Style_1287"/>
    <w:rPr>
      <w:sz w:val="24"/>
    </w:rPr>
  </w:style>
  <w:style w:styleId="Style_1288" w:type="paragraph">
    <w:name w:val="xl27"/>
    <w:basedOn w:val="Style_10"/>
    <w:link w:val="Style_1288_ch"/>
    <w:pPr>
      <w:spacing w:after="280" w:before="280" w:line="360" w:lineRule="atLeast"/>
      <w:ind w:firstLine="709" w:left="0"/>
      <w:jc w:val="center"/>
    </w:pPr>
    <w:rPr>
      <w:rFonts w:ascii="Arial Narrow" w:hAnsi="Arial Narrow"/>
      <w:sz w:val="24"/>
    </w:rPr>
  </w:style>
  <w:style w:styleId="Style_1288_ch" w:type="character">
    <w:name w:val="xl27"/>
    <w:basedOn w:val="Style_10_ch"/>
    <w:link w:val="Style_1288"/>
    <w:rPr>
      <w:rFonts w:ascii="Arial Narrow" w:hAnsi="Arial Narrow"/>
      <w:sz w:val="24"/>
    </w:rPr>
  </w:style>
  <w:style w:styleId="Style_1289" w:type="paragraph">
    <w:name w:val="Обычный (веб)1"/>
    <w:basedOn w:val="Style_10"/>
    <w:link w:val="Style_1289_ch"/>
    <w:pPr>
      <w:spacing w:after="100" w:before="100" w:line="240" w:lineRule="auto"/>
      <w:ind/>
    </w:pPr>
    <w:rPr>
      <w:sz w:val="24"/>
    </w:rPr>
  </w:style>
  <w:style w:styleId="Style_1289_ch" w:type="character">
    <w:name w:val="Обычный (веб)1"/>
    <w:basedOn w:val="Style_10_ch"/>
    <w:link w:val="Style_1289"/>
    <w:rPr>
      <w:sz w:val="24"/>
    </w:rPr>
  </w:style>
  <w:style w:styleId="Style_1290" w:type="paragraph">
    <w:name w:val="Body Text 3"/>
    <w:basedOn w:val="Style_10"/>
    <w:link w:val="Style_1290_ch"/>
    <w:pPr>
      <w:spacing w:after="120" w:line="240" w:lineRule="auto"/>
      <w:ind/>
    </w:pPr>
    <w:rPr>
      <w:sz w:val="16"/>
    </w:rPr>
  </w:style>
  <w:style w:styleId="Style_1290_ch" w:type="character">
    <w:name w:val="Body Text 3"/>
    <w:basedOn w:val="Style_10_ch"/>
    <w:link w:val="Style_1290"/>
    <w:rPr>
      <w:sz w:val="16"/>
    </w:rPr>
  </w:style>
  <w:style w:styleId="Style_1291" w:type="paragraph">
    <w:name w:val="WW8NumSt4z0"/>
    <w:link w:val="Style_1291_ch"/>
    <w:rPr>
      <w:rFonts w:ascii="Courier New" w:hAnsi="Courier New"/>
    </w:rPr>
  </w:style>
  <w:style w:styleId="Style_1291_ch" w:type="character">
    <w:name w:val="WW8NumSt4z0"/>
    <w:link w:val="Style_1291"/>
    <w:rPr>
      <w:rFonts w:ascii="Courier New" w:hAnsi="Courier New"/>
    </w:rPr>
  </w:style>
  <w:style w:styleId="Style_1292" w:type="paragraph">
    <w:name w:val="Обычный в таблице"/>
    <w:basedOn w:val="Style_10"/>
    <w:link w:val="Style_1292_ch"/>
    <w:pPr>
      <w:spacing w:after="0" w:line="360" w:lineRule="auto"/>
      <w:ind w:hanging="6" w:left="6"/>
      <w:jc w:val="center"/>
    </w:pPr>
    <w:rPr>
      <w:sz w:val="24"/>
    </w:rPr>
  </w:style>
  <w:style w:styleId="Style_1292_ch" w:type="character">
    <w:name w:val="Обычный в таблице"/>
    <w:basedOn w:val="Style_10_ch"/>
    <w:link w:val="Style_1292"/>
    <w:rPr>
      <w:sz w:val="24"/>
    </w:rPr>
  </w:style>
  <w:style w:styleId="Style_1293" w:type="paragraph">
    <w:name w:val="WW8Num51z1"/>
    <w:link w:val="Style_1293_ch"/>
    <w:rPr>
      <w:rFonts w:ascii="Courier New" w:hAnsi="Courier New"/>
    </w:rPr>
  </w:style>
  <w:style w:styleId="Style_1293_ch" w:type="character">
    <w:name w:val="WW8Num51z1"/>
    <w:link w:val="Style_1293"/>
    <w:rPr>
      <w:rFonts w:ascii="Courier New" w:hAnsi="Courier New"/>
    </w:rPr>
  </w:style>
  <w:style w:styleId="Style_1294" w:type="paragraph">
    <w:name w:val="КК0"/>
    <w:basedOn w:val="Style_10"/>
    <w:link w:val="Style_1294_ch"/>
    <w:pPr>
      <w:spacing w:after="120" w:before="120" w:line="360" w:lineRule="atLeast"/>
      <w:ind w:firstLine="709" w:left="0"/>
      <w:jc w:val="both"/>
    </w:pPr>
    <w:rPr>
      <w:sz w:val="26"/>
    </w:rPr>
  </w:style>
  <w:style w:styleId="Style_1294_ch" w:type="character">
    <w:name w:val="КК0"/>
    <w:basedOn w:val="Style_10_ch"/>
    <w:link w:val="Style_1294"/>
    <w:rPr>
      <w:sz w:val="26"/>
    </w:rPr>
  </w:style>
  <w:style w:styleId="Style_1295" w:type="paragraph">
    <w:name w:val="heading 6"/>
    <w:basedOn w:val="Style_10"/>
    <w:next w:val="Style_10"/>
    <w:link w:val="Style_1295_ch"/>
    <w:uiPriority w:val="9"/>
    <w:qFormat/>
    <w:pPr>
      <w:tabs>
        <w:tab w:leader="none" w:pos="0" w:val="left"/>
      </w:tabs>
      <w:spacing w:after="60" w:before="240" w:line="240" w:lineRule="auto"/>
      <w:ind/>
      <w:outlineLvl w:val="5"/>
    </w:pPr>
    <w:rPr>
      <w:b w:val="1"/>
    </w:rPr>
  </w:style>
  <w:style w:styleId="Style_1295_ch" w:type="character">
    <w:name w:val="heading 6"/>
    <w:basedOn w:val="Style_10_ch"/>
    <w:link w:val="Style_1295"/>
    <w:rPr>
      <w:b w:val="1"/>
    </w:rPr>
  </w:style>
  <w:style w:styleId="Style_1296" w:type="paragraph">
    <w:name w:val="WW-WW8Num19z0"/>
    <w:link w:val="Style_1296_ch"/>
    <w:rPr>
      <w:rFonts w:ascii="Courier New" w:hAnsi="Courier New"/>
    </w:rPr>
  </w:style>
  <w:style w:styleId="Style_1296_ch" w:type="character">
    <w:name w:val="WW-WW8Num19z0"/>
    <w:link w:val="Style_1296"/>
    <w:rPr>
      <w:rFonts w:ascii="Courier New" w:hAnsi="Courier New"/>
    </w:rPr>
  </w:style>
  <w:style w:styleId="Style_1297" w:type="paragraph">
    <w:name w:val="??????? ???????? ??????"/>
    <w:link w:val="Style_1297_ch"/>
    <w:rPr>
      <w:vertAlign w:val="superscript"/>
    </w:rPr>
  </w:style>
  <w:style w:styleId="Style_1297_ch" w:type="character">
    <w:name w:val="??????? ???????? ??????"/>
    <w:link w:val="Style_1297"/>
    <w:rPr>
      <w:vertAlign w:val="superscript"/>
    </w:rPr>
  </w:style>
  <w:style w:styleId="Style_1298" w:type="paragraph">
    <w:name w:val="WW8Num17z3"/>
    <w:link w:val="Style_1298_ch"/>
    <w:rPr>
      <w:rFonts w:ascii="Symbol" w:hAnsi="Symbol"/>
    </w:rPr>
  </w:style>
  <w:style w:styleId="Style_1298_ch" w:type="character">
    <w:name w:val="WW8Num17z3"/>
    <w:link w:val="Style_1298"/>
    <w:rPr>
      <w:rFonts w:ascii="Symbol" w:hAnsi="Symbol"/>
    </w:rPr>
  </w:style>
  <w:style w:styleId="Style_1299" w:type="paragraph">
    <w:name w:val="Основной текст 2 Знак1"/>
    <w:link w:val="Style_1299_ch"/>
    <w:rPr>
      <w:sz w:val="22"/>
    </w:rPr>
  </w:style>
  <w:style w:styleId="Style_1299_ch" w:type="character">
    <w:name w:val="Основной текст 2 Знак1"/>
    <w:link w:val="Style_1299"/>
    <w:rPr>
      <w:sz w:val="22"/>
    </w:rPr>
  </w:style>
  <w:style w:styleId="Style_1300" w:type="paragraph">
    <w:name w:val="WW-Заголовок таблицы1"/>
    <w:basedOn w:val="Style_21"/>
    <w:link w:val="Style_1300_ch"/>
    <w:pPr>
      <w:ind/>
      <w:jc w:val="center"/>
    </w:pPr>
    <w:rPr>
      <w:b w:val="1"/>
      <w:i w:val="1"/>
    </w:rPr>
  </w:style>
  <w:style w:styleId="Style_1300_ch" w:type="character">
    <w:name w:val="WW-Заголовок таблицы1"/>
    <w:basedOn w:val="Style_21_ch"/>
    <w:link w:val="Style_1300"/>
    <w:rPr>
      <w:b w:val="1"/>
      <w:i w:val="1"/>
    </w:rPr>
  </w:style>
  <w:style w:styleId="Style_1301" w:type="paragraph">
    <w:name w:val="Заголовок 1 ДБ"/>
    <w:basedOn w:val="Style_435"/>
    <w:next w:val="Style_10"/>
    <w:link w:val="Style_1301_ch"/>
    <w:pPr>
      <w:pageBreakBefore w:val="1"/>
      <w:spacing w:after="60" w:before="240" w:line="360" w:lineRule="auto"/>
      <w:ind w:firstLine="0" w:left="0"/>
      <w:jc w:val="center"/>
    </w:pPr>
    <w:rPr>
      <w:rFonts w:ascii="Times New Roman" w:hAnsi="Times New Roman"/>
      <w:caps w:val="1"/>
      <w:sz w:val="32"/>
    </w:rPr>
  </w:style>
  <w:style w:styleId="Style_1301_ch" w:type="character">
    <w:name w:val="Заголовок 1 ДБ"/>
    <w:basedOn w:val="Style_435_ch"/>
    <w:link w:val="Style_1301"/>
    <w:rPr>
      <w:rFonts w:ascii="Times New Roman" w:hAnsi="Times New Roman"/>
      <w:caps w:val="1"/>
      <w:sz w:val="32"/>
    </w:rPr>
  </w:style>
  <w:style w:styleId="Style_1302" w:type="paragraph">
    <w:name w:val="Font Style186"/>
    <w:link w:val="Style_1302_ch"/>
    <w:rPr>
      <w:rFonts w:ascii="Arial" w:hAnsi="Arial"/>
      <w:b w:val="1"/>
      <w:sz w:val="36"/>
    </w:rPr>
  </w:style>
  <w:style w:styleId="Style_1302_ch" w:type="character">
    <w:name w:val="Font Style186"/>
    <w:link w:val="Style_1302"/>
    <w:rPr>
      <w:rFonts w:ascii="Arial" w:hAnsi="Arial"/>
      <w:b w:val="1"/>
      <w:sz w:val="36"/>
    </w:rPr>
  </w:style>
  <w:style w:styleId="Style_1303" w:type="paragraph">
    <w:name w:val="tabletextleft"/>
    <w:basedOn w:val="Style_10"/>
    <w:link w:val="Style_1303_ch"/>
    <w:pPr>
      <w:spacing w:after="0" w:line="360" w:lineRule="atLeast"/>
      <w:ind w:firstLine="709" w:left="480" w:right="480"/>
      <w:jc w:val="both"/>
    </w:pPr>
    <w:rPr>
      <w:rFonts w:ascii="Arial" w:hAnsi="Arial"/>
      <w:color w:val="202020"/>
      <w:sz w:val="20"/>
    </w:rPr>
  </w:style>
  <w:style w:styleId="Style_1303_ch" w:type="character">
    <w:name w:val="tabletextleft"/>
    <w:basedOn w:val="Style_10_ch"/>
    <w:link w:val="Style_1303"/>
    <w:rPr>
      <w:rFonts w:ascii="Arial" w:hAnsi="Arial"/>
      <w:color w:val="202020"/>
      <w:sz w:val="20"/>
    </w:rPr>
  </w:style>
  <w:style w:styleId="Style_1304" w:type="paragraph">
    <w:name w:val="csection"/>
    <w:basedOn w:val="Style_10"/>
    <w:link w:val="Style_1304_ch"/>
    <w:pPr>
      <w:spacing w:afterAutospacing="on" w:beforeAutospacing="on" w:line="360" w:lineRule="atLeast"/>
      <w:ind w:firstLine="150" w:left="0"/>
    </w:pPr>
    <w:rPr>
      <w:b w:val="1"/>
      <w:sz w:val="24"/>
    </w:rPr>
  </w:style>
  <w:style w:styleId="Style_1304_ch" w:type="character">
    <w:name w:val="csection"/>
    <w:basedOn w:val="Style_10_ch"/>
    <w:link w:val="Style_1304"/>
    <w:rPr>
      <w:b w:val="1"/>
      <w:sz w:val="24"/>
    </w:rPr>
  </w:style>
  <w:style w:styleId="Style_1305" w:type="paragraph">
    <w:name w:val="xl99"/>
    <w:basedOn w:val="Style_10"/>
    <w:link w:val="Style_1305_ch"/>
    <w:pPr>
      <w:spacing w:afterAutospacing="on" w:beforeAutospacing="on" w:line="240" w:lineRule="auto"/>
      <w:ind/>
      <w:jc w:val="center"/>
    </w:pPr>
    <w:rPr>
      <w:sz w:val="24"/>
    </w:rPr>
  </w:style>
  <w:style w:styleId="Style_1305_ch" w:type="character">
    <w:name w:val="xl99"/>
    <w:basedOn w:val="Style_10_ch"/>
    <w:link w:val="Style_1305"/>
    <w:rPr>
      <w:sz w:val="24"/>
    </w:rPr>
  </w:style>
  <w:style w:styleId="Style_1306" w:type="table">
    <w:name w:val="Сетка таблицы1"/>
    <w:basedOn w:val="Style_4"/>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07" w:type="table">
    <w:name w:val="Сетка таблицы321"/>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08" w:type="table">
    <w:name w:val="Сетка таблицы41"/>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09" w:type="table">
    <w:name w:val="Сетка таблицы31"/>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10" w:type="table">
    <w:name w:val="Сетка таблицы34"/>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11" w:type="table">
    <w:name w:val="Сетка таблицы56"/>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12" w:type="table">
    <w:name w:val="Light List Accent 4"/>
    <w:basedOn w:val="Style_4"/>
    <w:tblPr>
      <w:tblInd w:type="dxa" w:w="0"/>
      <w:tblBorders>
        <w:top w:color="8064A2" w:sz="8" w:val="single"/>
        <w:left w:color="8064A2" w:sz="8" w:val="single"/>
        <w:bottom w:color="8064A2" w:sz="8" w:val="single"/>
        <w:right w:color="8064A2" w:sz="8" w:val="single"/>
      </w:tblBorders>
      <w:tblCellMar>
        <w:top w:type="dxa" w:w="0"/>
        <w:left w:type="dxa" w:w="108"/>
        <w:bottom w:type="dxa" w:w="0"/>
        <w:right w:type="dxa" w:w="108"/>
      </w:tblCellMar>
    </w:tblPr>
  </w:style>
  <w:style w:styleId="Style_1313" w:type="table">
    <w:name w:val="Сетка таблицы13"/>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14" w:type="table">
    <w:name w:val="Сетка таблицы55"/>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15" w:type="table">
    <w:name w:val="Сетка таблицы5"/>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16" w:type="table">
    <w:name w:val="Сетка таблицы19"/>
    <w:basedOn w:val="Style_4"/>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17" w:type="table">
    <w:name w:val="Table Grid"/>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18" w:type="table">
    <w:name w:val="Сетка таблицы410"/>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19" w:type="table">
    <w:name w:val="Сетка таблицы53"/>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20" w:type="table">
    <w:name w:val="Сетка таблицы211"/>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21" w:type="table">
    <w:name w:val="Сетка таблицы26"/>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22" w:type="table">
    <w:name w:val="Сетка таблицы6"/>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23" w:type="table">
    <w:name w:val="Сетка таблицы52"/>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24" w:type="table">
    <w:name w:val="Сетка таблицы23"/>
    <w:basedOn w:val="Style_4"/>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25" w:type="table">
    <w:name w:val="Сетка таблицы25"/>
    <w:basedOn w:val="Style_4"/>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26" w:type="table">
    <w:name w:val="Сетка таблицы35"/>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27" w:type="table">
    <w:name w:val="Сетка таблицы12"/>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28" w:type="table">
    <w:name w:val="Сетка таблицы111"/>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29" w:type="table">
    <w:name w:val="Сетка таблицы39"/>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30" w:type="table">
    <w:name w:val="Сетка таблицы50"/>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31" w:type="table">
    <w:name w:val="Сетка таблицы18"/>
    <w:basedOn w:val="Style_4"/>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32" w:type="table">
    <w:name w:val="Сетка таблицы8"/>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33" w:type="table">
    <w:name w:val="Сетка таблицы48"/>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34" w:type="table">
    <w:name w:val="Сетка таблицы57"/>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35" w:type="table">
    <w:name w:val="Сетка таблицы411"/>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36" w:type="table">
    <w:name w:val="Сетка таблицы10"/>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37" w:type="table">
    <w:name w:val="Сетка таблицы3"/>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38" w:type="table">
    <w:name w:val="Сетка таблицы113"/>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39" w:type="table">
    <w:name w:val="Сетка таблицы311"/>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40" w:type="table">
    <w:name w:val="Сетка таблицы27"/>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41" w:type="table">
    <w:name w:val="Сетка таблицы30"/>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42" w:type="table">
    <w:name w:val="Light Shading Accent 5"/>
    <w:basedOn w:val="Style_4"/>
    <w:rPr>
      <w:color w:val="31849B"/>
    </w:rPr>
    <w:tblPr>
      <w:tblInd w:type="dxa" w:w="0"/>
      <w:tblBorders>
        <w:top w:color="4BACC6" w:sz="8" w:val="single"/>
        <w:bottom w:color="4BACC6" w:sz="8" w:val="single"/>
      </w:tblBorders>
      <w:tblCellMar>
        <w:top w:type="dxa" w:w="0"/>
        <w:left w:type="dxa" w:w="108"/>
        <w:bottom w:type="dxa" w:w="0"/>
        <w:right w:type="dxa" w:w="108"/>
      </w:tblCellMar>
    </w:tblPr>
  </w:style>
  <w:style w:styleId="Style_1343" w:type="table">
    <w:name w:val="Сетка таблицы20"/>
    <w:basedOn w:val="Style_4"/>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44" w:type="table">
    <w:name w:val="Сетка таблицы521"/>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45" w:type="table">
    <w:name w:val="Сетка таблицы38"/>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46" w:type="table">
    <w:name w:val="Сетка таблицы11"/>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47" w:type="table">
    <w:name w:val="Сетка таблицы24"/>
    <w:basedOn w:val="Style_4"/>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48" w:type="table">
    <w:name w:val="Сетка таблицы51"/>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49" w:type="table">
    <w:name w:val="Сетка таблицы4"/>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50" w:type="table">
    <w:name w:val="Сетка таблицы46"/>
    <w:basedOn w:val="Style_4"/>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51" w:type="table">
    <w:name w:val="Сетка таблицы511"/>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52" w:type="table">
    <w:name w:val="Сетка таблицы58"/>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53" w:type="table">
    <w:name w:val="Сетка таблицы412"/>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54" w:type="table">
    <w:name w:val="Table Professional"/>
    <w:basedOn w:val="Style_4"/>
    <w:tblPr>
      <w:tblInd w:type="dxa" w:w="0"/>
      <w:tblBorders>
        <w:top w:color="000000" w:sz="6" w:val="single"/>
        <w:left w:color="000000" w:sz="6" w:val="single"/>
        <w:bottom w:color="000000" w:sz="6" w:val="single"/>
        <w:right w:color="000000" w:sz="6" w:val="single"/>
        <w:insideH w:color="000000" w:sz="6" w:val="single"/>
        <w:insideV w:color="000000" w:sz="6" w:val="single"/>
      </w:tblBorders>
      <w:tblCellMar>
        <w:top w:type="dxa" w:w="0"/>
        <w:left w:type="dxa" w:w="108"/>
        <w:bottom w:type="dxa" w:w="0"/>
        <w:right w:type="dxa" w:w="108"/>
      </w:tblCellMar>
    </w:tblPr>
  </w:style>
  <w:style w:styleId="Style_1355" w:type="table">
    <w:name w:val="Сетка таблицы22"/>
    <w:basedOn w:val="Style_4"/>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56" w:type="table">
    <w:name w:val="Сетка таблицы14"/>
    <w:basedOn w:val="Style_4"/>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57" w:type="table">
    <w:name w:val="Сетка таблицы112"/>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58" w:type="table">
    <w:name w:val="Сетка таблицы42"/>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59" w:type="table">
    <w:name w:val="Сетка таблицы21"/>
    <w:basedOn w:val="Style_4"/>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60" w:type="table">
    <w:name w:val="Сетка таблицы40"/>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61" w:type="table">
    <w:name w:val="Сетка таблицы43"/>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62" w:type="table">
    <w:name w:val="Сетка таблицы29"/>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63" w:type="table">
    <w:name w:val="Сетка таблицы7"/>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64" w:type="table">
    <w:name w:val="Сетка таблицы59"/>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default="1" w:styleId="Style_4" w:type="table">
    <w:name w:val="Normal Table"/>
    <w:tblPr>
      <w:tblInd w:type="dxa" w:w="0"/>
      <w:tblCellMar>
        <w:top w:type="dxa" w:w="0"/>
        <w:left w:type="dxa" w:w="108"/>
        <w:bottom w:type="dxa" w:w="0"/>
        <w:right w:type="dxa" w:w="108"/>
      </w:tblCellMar>
    </w:tblPr>
  </w:style>
  <w:style w:styleId="Style_1365" w:type="table">
    <w:name w:val="Сетка таблицы28"/>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66" w:type="table">
    <w:name w:val="Сетка таблицы110"/>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67" w:type="table">
    <w:name w:val="Сетка таблицы9"/>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68" w:type="table">
    <w:name w:val="Сетка таблицы32"/>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69" w:type="table">
    <w:name w:val="Сетка таблицы33"/>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70" w:type="table">
    <w:name w:val="Сетка таблицы61"/>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71" w:type="table">
    <w:name w:val="Сетка таблицы37"/>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72" w:type="table">
    <w:name w:val="Сетка таблицы54"/>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73" w:type="table">
    <w:name w:val="Сетка таблицы49"/>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74" w:type="table">
    <w:name w:val="Сетка таблицы15"/>
    <w:basedOn w:val="Style_4"/>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75" w:type="table">
    <w:name w:val="Сетка таблицы16"/>
    <w:basedOn w:val="Style_4"/>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76" w:type="table">
    <w:name w:val="Сетка таблицы2"/>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77" w:type="table">
    <w:name w:val="Сетка таблицы36"/>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78" w:type="table">
    <w:name w:val="Сетка таблицы17"/>
    <w:basedOn w:val="Style_4"/>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79" w:type="table">
    <w:name w:val="Сетка таблицы45"/>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80" w:type="table">
    <w:name w:val="Сетка таблицы47"/>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81" w:type="table">
    <w:name w:val="Сетка таблицы44"/>
    <w:basedOn w:val="Style_4"/>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382" w:type="table">
    <w:name w:val="Сетка таблицы421"/>
    <w:basedOn w:val="Style_4"/>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5" Target="numbering.xml" Type="http://schemas.openxmlformats.org/officeDocument/2006/relationships/numbering"/>
  <Relationship Id="rId11" Target="styles.xml" Type="http://schemas.openxmlformats.org/officeDocument/2006/relationships/styles"/>
  <Relationship Id="rId10" Target="settings.xml" Type="http://schemas.openxmlformats.org/officeDocument/2006/relationships/settings"/>
  <Relationship Id="rId14" Target="theme/theme1.xml" Type="http://schemas.openxmlformats.org/officeDocument/2006/relationships/theme"/>
  <Relationship Id="rId7" Target="media/1.png" Type="http://schemas.openxmlformats.org/officeDocument/2006/relationships/image"/>
  <Relationship Id="rId6" Target="footer6.xml" Type="http://schemas.openxmlformats.org/officeDocument/2006/relationships/footer"/>
  <Relationship Id="rId13" Target="webSettings.xml" Type="http://schemas.openxmlformats.org/officeDocument/2006/relationships/webSettings"/>
  <Relationship Id="rId9" Target="fontTable.xml" Type="http://schemas.openxmlformats.org/officeDocument/2006/relationships/fontTable"/>
  <Relationship Id="rId5" Target="header5.xml" Type="http://schemas.openxmlformats.org/officeDocument/2006/relationships/header"/>
  <Relationship Id="rId8" Target="media/2.png" Type="http://schemas.openxmlformats.org/officeDocument/2006/relationships/image"/>
  <Relationship Id="rId4" Target="header4.xml" Type="http://schemas.openxmlformats.org/officeDocument/2006/relationships/header"/>
  <Relationship Id="rId12" Target="stylesWithEffects.xml" Type="http://schemas.microsoft.com/office/2007/relationships/stylesWithEffects"/>
  <Relationship Id="rId3" Target="footer3.xml" Type="http://schemas.openxmlformats.org/officeDocument/2006/relationships/footer"/>
  <Relationship Id="rId2" Target="header2.xml" Type="http://schemas.openxmlformats.org/officeDocument/2006/relationships/head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2024-01-23T12:40:03Z</dcterms:modified>
</cp:coreProperties>
</file>